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9B2B0" w14:textId="547119BE" w:rsidR="00F2123B" w:rsidRPr="00A71C40" w:rsidRDefault="00F2123B" w:rsidP="00F2123B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D82E1A">
        <w:rPr>
          <w:rFonts w:asciiTheme="majorBidi" w:hAnsiTheme="majorBidi" w:cstheme="majorBidi"/>
          <w:b/>
          <w:bCs/>
          <w:sz w:val="24"/>
          <w:szCs w:val="24"/>
        </w:rPr>
        <w:t>Figure 1</w:t>
      </w:r>
      <w:r w:rsidR="00D82E1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D82E1A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>emporal trends in f</w:t>
      </w:r>
      <w:r w:rsidRPr="00A71C40">
        <w:rPr>
          <w:rFonts w:asciiTheme="majorBidi" w:hAnsiTheme="majorBidi" w:cstheme="majorBidi"/>
          <w:sz w:val="24"/>
          <w:szCs w:val="24"/>
        </w:rPr>
        <w:t xml:space="preserve">irst medication prescribed/dispensed among incident NVAF </w:t>
      </w:r>
    </w:p>
    <w:p w14:paraId="4E28C68E" w14:textId="77777777" w:rsidR="00F2123B" w:rsidRDefault="00F2123B" w:rsidP="00F2123B"/>
    <w:p w14:paraId="0D560D68" w14:textId="58B1EAD3" w:rsidR="00F2123B" w:rsidRDefault="002B2B36" w:rsidP="00F2123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A8DC0" wp14:editId="3124732A">
                <wp:simplePos x="0" y="0"/>
                <wp:positionH relativeFrom="column">
                  <wp:posOffset>4806950</wp:posOffset>
                </wp:positionH>
                <wp:positionV relativeFrom="paragraph">
                  <wp:posOffset>164465</wp:posOffset>
                </wp:positionV>
                <wp:extent cx="914400" cy="273050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B00DB5" w14:textId="4169F495" w:rsidR="002B2B36" w:rsidRPr="002B2B36" w:rsidRDefault="002B2B3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B2B36">
                              <w:rPr>
                                <w:sz w:val="24"/>
                                <w:szCs w:val="24"/>
                              </w:rPr>
                              <w:t>P&lt;0.001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A8D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.5pt;margin-top:12.95pt;width:1in;height:21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PaZRgIAAJ4EAAAOAAAAZHJzL2Uyb0RvYy54bWysVE1vGjEQvVfqf7B8LwuEfBSxRJSIqhJK&#10;IkGVs/F6YVWvx7INu/TX99l8hCQ9Vb14xzPjNzNvZnZ039aa7ZTzFZmc9zpdzpSRVFRmnfOfy9mX&#10;O858EKYQmozK+V55fj/+/GnU2KHq04Z0oRwDiPHDxuZ8E4IdZpmXG1UL3yGrDIwluVoEXN06K5xo&#10;gF7rrN/t3mQNucI6ksp7aB8ORj5O+GWpZHgqS68C0zlHbiGdLp2reGbjkRiunbCbSh7TEP+QRS0q&#10;g6BnqAcRBNu66gNUXUlHnsrQkVRnVJaVVKkGVNPrvqtmsRFWpVpAjrdnmvz/g5WPu2fHqiLnfc6M&#10;qNGipWoD+0Yt60d2GuuHcFpYuIUWanT5pPdQxqLb0tXxi3IY7OB5f+Y2gkkov/YGgy4sEqb+7VX3&#10;OnGfvT62zofvimoWhZw7tC4xKnZzH5AIXE8uMZYnXRWzSut0ieOiptqxnUCjdUgp4sUbL21Yk/Ob&#10;K4T+gBChz+9XWshfsci3CLhpA2Wk5FB6lEK7ao88rajYgyZHhzHzVs4q4M6FD8/CYa5QP3YlPOEo&#10;NSEZOkqcbcj9/ps++qPdsHLWYE5zbrBInOkfBmOQWMVYp8vg+raPCO7Ssrq0mG09JfDTw05amcTo&#10;H/RJLB3VL1ioSYwJkzASkXMeTuI0HHYHCynVZJKcMMhWhLlZWBmhI7WRzWX7Ipw9djNgDB7pNM9i&#10;+K6pB9/40tBkG6isUscjvQdOj6xjCVJTjgsbt+zynrxefyvjPwAAAP//AwBQSwMEFAAGAAgAAAAh&#10;AGONfzXgAAAACQEAAA8AAABkcnMvZG93bnJldi54bWxMj81OwzAQhO9IvIO1SNyo01ZJk5BNhSo4&#10;ISFakNqjE29+RLyOYrcNb485wXF2RrPfFNvZDOJCk+stIywXEQji2uqeW4TPj5eHFITzirUaLBPC&#10;NznYlrc3hcq1vfKeLgffilDCLlcInfdjLqWrOzLKLexIHLzGTkb5IKdW6kldQ7kZ5CqKEmlUz+FD&#10;p0badVR/Hc4G4W2X2HhdzWnz/P5q922zlqf4iHh/Nz89gvA0+78w/OIHdCgDU2XPrJ0YEDbxJmzx&#10;CKs4AxECWbQMhwohSTOQZSH/Lyh/AAAA//8DAFBLAQItABQABgAIAAAAIQC2gziS/gAAAOEBAAAT&#10;AAAAAAAAAAAAAAAAAAAAAABbQ29udGVudF9UeXBlc10ueG1sUEsBAi0AFAAGAAgAAAAhADj9If/W&#10;AAAAlAEAAAsAAAAAAAAAAAAAAAAALwEAAF9yZWxzLy5yZWxzUEsBAi0AFAAGAAgAAAAhAETQ9plG&#10;AgAAngQAAA4AAAAAAAAAAAAAAAAALgIAAGRycy9lMm9Eb2MueG1sUEsBAi0AFAAGAAgAAAAhAGON&#10;fzXgAAAACQEAAA8AAAAAAAAAAAAAAAAAoAQAAGRycy9kb3ducmV2LnhtbFBLBQYAAAAABAAEAPMA&#10;AACtBQAAAAA=&#10;" fillcolor="white [3201]" strokeweight=".5pt">
                <v:textbox>
                  <w:txbxContent>
                    <w:p w14:paraId="29B00DB5" w14:textId="4169F495" w:rsidR="002B2B36" w:rsidRPr="002B2B36" w:rsidRDefault="002B2B36">
                      <w:pPr>
                        <w:rPr>
                          <w:sz w:val="24"/>
                          <w:szCs w:val="24"/>
                        </w:rPr>
                      </w:pPr>
                      <w:r w:rsidRPr="002B2B36">
                        <w:rPr>
                          <w:sz w:val="24"/>
                          <w:szCs w:val="24"/>
                        </w:rPr>
                        <w:t>P&lt;0.001</w:t>
                      </w:r>
                    </w:p>
                  </w:txbxContent>
                </v:textbox>
              </v:shape>
            </w:pict>
          </mc:Fallback>
        </mc:AlternateContent>
      </w:r>
      <w:r w:rsidR="00F2123B">
        <w:rPr>
          <w:noProof/>
        </w:rPr>
        <w:drawing>
          <wp:inline distT="0" distB="0" distL="0" distR="0" wp14:anchorId="59AFF768" wp14:editId="4EB33B41">
            <wp:extent cx="5731510" cy="3769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CFDC3" w14:textId="67F31060" w:rsidR="00F2123B" w:rsidRDefault="00F2123B" w:rsidP="00F2123B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A71C40">
        <w:rPr>
          <w:rFonts w:asciiTheme="majorBidi" w:hAnsiTheme="majorBidi" w:cstheme="majorBidi"/>
          <w:sz w:val="24"/>
          <w:szCs w:val="24"/>
        </w:rPr>
        <w:t xml:space="preserve">VKA- vitamin K antagonists; NOAC- </w:t>
      </w:r>
      <w:r>
        <w:rPr>
          <w:rFonts w:asciiTheme="majorBidi" w:hAnsiTheme="majorBidi" w:cstheme="majorBidi"/>
          <w:sz w:val="24"/>
          <w:szCs w:val="24"/>
        </w:rPr>
        <w:t>New</w:t>
      </w:r>
      <w:r w:rsidRPr="007B79B8">
        <w:rPr>
          <w:rFonts w:asciiTheme="majorBidi" w:hAnsiTheme="majorBidi" w:cstheme="majorBidi"/>
          <w:sz w:val="24"/>
          <w:szCs w:val="24"/>
        </w:rPr>
        <w:t xml:space="preserve"> antagonist oral anticoagulants </w:t>
      </w:r>
    </w:p>
    <w:p w14:paraId="45FE9B68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E161946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D50A703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DCC1B17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EDDEAE0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D729C6C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8A69733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A8E7F18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C8A64B4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564F78E" w14:textId="77777777" w:rsidR="00143184" w:rsidRDefault="00143184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3CAEDD5" w14:textId="3818E439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Figure 2. </w:t>
      </w:r>
      <w:r w:rsidRPr="00D82E1A">
        <w:rPr>
          <w:rFonts w:asciiTheme="majorBidi" w:hAnsiTheme="majorBidi" w:cstheme="majorBidi"/>
          <w:sz w:val="24"/>
          <w:szCs w:val="24"/>
        </w:rPr>
        <w:t>Time (months, median</w:t>
      </w:r>
      <w:r w:rsidR="009D729E" w:rsidRPr="00D82E1A">
        <w:rPr>
          <w:rFonts w:asciiTheme="majorBidi" w:hAnsiTheme="majorBidi" w:cstheme="majorBidi"/>
          <w:sz w:val="24"/>
          <w:szCs w:val="24"/>
        </w:rPr>
        <w:t xml:space="preserve"> [IQR]</w:t>
      </w:r>
      <w:r w:rsidRPr="00D82E1A">
        <w:rPr>
          <w:rFonts w:asciiTheme="majorBidi" w:hAnsiTheme="majorBidi" w:cstheme="majorBidi"/>
          <w:sz w:val="24"/>
          <w:szCs w:val="24"/>
        </w:rPr>
        <w:t>) from diagnosis to first dispense of therapy among incident patients according to the year of diagnosis</w:t>
      </w:r>
    </w:p>
    <w:p w14:paraId="2B12E411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4A86E88" wp14:editId="35D1AAD2">
            <wp:extent cx="5731510" cy="3197860"/>
            <wp:effectExtent l="0" t="0" r="2540" b="254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CB468670-EC31-4EC8-8658-F7F48FCE4B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EC41D65" w14:textId="77777777" w:rsidR="0033419A" w:rsidRDefault="0033419A" w:rsidP="0033419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0DD52B3" w14:textId="77777777" w:rsidR="003F43C0" w:rsidRPr="00F2123B" w:rsidRDefault="003F43C0"/>
    <w:sectPr w:rsidR="003F43C0" w:rsidRPr="00F21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3B"/>
    <w:rsid w:val="00007F16"/>
    <w:rsid w:val="00143184"/>
    <w:rsid w:val="00153479"/>
    <w:rsid w:val="002B2B36"/>
    <w:rsid w:val="0033419A"/>
    <w:rsid w:val="003F43C0"/>
    <w:rsid w:val="00431A05"/>
    <w:rsid w:val="00653261"/>
    <w:rsid w:val="009D729E"/>
    <w:rsid w:val="00D82E1A"/>
    <w:rsid w:val="00E35F46"/>
    <w:rsid w:val="00F2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841F9"/>
  <w15:chartTrackingRefBased/>
  <w15:docId w15:val="{B3B21888-A51B-475B-844D-8D65F010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23B"/>
    <w:pPr>
      <w:spacing w:after="200" w:line="276" w:lineRule="auto"/>
    </w:pPr>
    <w:rPr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34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9A"/>
    <w:rPr>
      <w:sz w:val="20"/>
      <w:szCs w:val="20"/>
      <w:lang w:val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B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B36"/>
    <w:rPr>
      <w:b/>
      <w:bCs/>
      <w:sz w:val="20"/>
      <w:szCs w:val="20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\Medicine\&#1508;&#1497;&#1497;&#1494;&#1512;\prescription%20traits\manuscript\figure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Sheet1!$F$5</c:f>
              <c:strCache>
                <c:ptCount val="1"/>
                <c:pt idx="0">
                  <c:v>NOACs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Sheet1!$E$6:$E$9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Sheet1!$F$6:$F$9</c:f>
              <c:numCache>
                <c:formatCode>General</c:formatCode>
                <c:ptCount val="4"/>
                <c:pt idx="0">
                  <c:v>1.9</c:v>
                </c:pt>
                <c:pt idx="1">
                  <c:v>1</c:v>
                </c:pt>
                <c:pt idx="2">
                  <c:v>0.8</c:v>
                </c:pt>
                <c:pt idx="3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2D-47FA-950A-D00DCF292D16}"/>
            </c:ext>
          </c:extLst>
        </c:ser>
        <c:ser>
          <c:idx val="1"/>
          <c:order val="1"/>
          <c:tx>
            <c:strRef>
              <c:f>Sheet1!$G$5</c:f>
              <c:strCache>
                <c:ptCount val="1"/>
                <c:pt idx="0">
                  <c:v>VKAs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Sheet1!$E$6:$E$9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Sheet1!$G$6:$G$9</c:f>
              <c:numCache>
                <c:formatCode>General</c:formatCode>
                <c:ptCount val="4"/>
                <c:pt idx="0">
                  <c:v>0.3</c:v>
                </c:pt>
                <c:pt idx="1">
                  <c:v>0.4</c:v>
                </c:pt>
                <c:pt idx="2">
                  <c:v>0.4</c:v>
                </c:pt>
                <c:pt idx="3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2D-47FA-950A-D00DCF292D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6721560"/>
        <c:axId val="546725168"/>
      </c:barChart>
      <c:catAx>
        <c:axId val="546721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I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546725168"/>
        <c:crosses val="autoZero"/>
        <c:auto val="1"/>
        <c:lblAlgn val="ctr"/>
        <c:lblOffset val="100"/>
        <c:noMultiLvlLbl val="0"/>
      </c:catAx>
      <c:valAx>
        <c:axId val="546725168"/>
        <c:scaling>
          <c:orientation val="minMax"/>
          <c:max val="2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Months (mean)</a:t>
                </a:r>
              </a:p>
            </c:rich>
          </c:tx>
          <c:layout>
            <c:manualLayout>
              <c:xMode val="edge"/>
              <c:yMode val="edge"/>
              <c:x val="6.6474628849988917E-3"/>
              <c:y val="0.2985371467168669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IL"/>
            </a:p>
          </c:txPr>
        </c:title>
        <c:numFmt formatCode="General" sourceLinked="1"/>
        <c:majorTickMark val="out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546721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I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I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0.08031</cdr:x>
      <cdr:y>0.16255</cdr:y>
    </cdr:from>
    <cdr:to>
      <cdr:x>0.14106</cdr:x>
      <cdr:y>0.21178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60325" y="519822"/>
          <a:ext cx="348167" cy="1574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800" baseline="0"/>
            <a:t>1.9 [0.6, 12]</a:t>
          </a:r>
          <a:endParaRPr lang="en-IL" sz="800"/>
        </a:p>
      </cdr:txBody>
    </cdr:sp>
  </cdr:relSizeAnchor>
  <cdr:relSizeAnchor xmlns:cdr="http://schemas.openxmlformats.org/drawingml/2006/chartDrawing">
    <cdr:from>
      <cdr:x>0.27863</cdr:x>
      <cdr:y>0.44254</cdr:y>
    </cdr:from>
    <cdr:to>
      <cdr:x>0.33938</cdr:x>
      <cdr:y>0.49176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596975" y="1415172"/>
          <a:ext cx="348167" cy="1574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800" baseline="0"/>
            <a:t>1 [0.4, 3.4]</a:t>
          </a:r>
          <a:endParaRPr lang="en-IL" sz="800"/>
        </a:p>
      </cdr:txBody>
    </cdr:sp>
  </cdr:relSizeAnchor>
  <cdr:relSizeAnchor xmlns:cdr="http://schemas.openxmlformats.org/drawingml/2006/chartDrawing">
    <cdr:from>
      <cdr:x>0.48027</cdr:x>
      <cdr:y>0.50409</cdr:y>
    </cdr:from>
    <cdr:to>
      <cdr:x>0.54102</cdr:x>
      <cdr:y>0.55332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2752675" y="1612022"/>
          <a:ext cx="348167" cy="1574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800" baseline="0"/>
            <a:t>0.8 [0.3, 2]</a:t>
          </a:r>
          <a:endParaRPr lang="en-IL" sz="800"/>
        </a:p>
      </cdr:txBody>
    </cdr:sp>
  </cdr:relSizeAnchor>
  <cdr:relSizeAnchor xmlns:cdr="http://schemas.openxmlformats.org/drawingml/2006/chartDrawing">
    <cdr:from>
      <cdr:x>0.67415</cdr:x>
      <cdr:y>0.53388</cdr:y>
    </cdr:from>
    <cdr:to>
      <cdr:x>0.7349</cdr:x>
      <cdr:y>0.58311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3863925" y="1707272"/>
          <a:ext cx="348167" cy="1574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800" baseline="0"/>
            <a:t>0.7 [0.3, 1.6]</a:t>
          </a:r>
          <a:endParaRPr lang="en-IL" sz="800"/>
        </a:p>
      </cdr:txBody>
    </cdr:sp>
  </cdr:relSizeAnchor>
  <cdr:relSizeAnchor xmlns:cdr="http://schemas.openxmlformats.org/drawingml/2006/chartDrawing">
    <cdr:from>
      <cdr:x>0.15344</cdr:x>
      <cdr:y>0.64905</cdr:y>
    </cdr:from>
    <cdr:to>
      <cdr:x>0.21418</cdr:x>
      <cdr:y>0.69828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879425" y="2075572"/>
          <a:ext cx="348167" cy="1574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800" baseline="0"/>
            <a:t>0.3 [0.1, 0.7]</a:t>
          </a:r>
          <a:endParaRPr lang="en-IL" sz="800"/>
        </a:p>
      </cdr:txBody>
    </cdr:sp>
  </cdr:relSizeAnchor>
  <cdr:relSizeAnchor xmlns:cdr="http://schemas.openxmlformats.org/drawingml/2006/chartDrawing">
    <cdr:from>
      <cdr:x>0.35286</cdr:x>
      <cdr:y>0.60934</cdr:y>
    </cdr:from>
    <cdr:to>
      <cdr:x>0.41361</cdr:x>
      <cdr:y>0.65856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022425" y="1948572"/>
          <a:ext cx="348167" cy="1574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800" baseline="0"/>
            <a:t>0.4 [0.1, 1.4]</a:t>
          </a:r>
          <a:endParaRPr lang="en-IL" sz="800"/>
        </a:p>
      </cdr:txBody>
    </cdr:sp>
  </cdr:relSizeAnchor>
  <cdr:relSizeAnchor xmlns:cdr="http://schemas.openxmlformats.org/drawingml/2006/chartDrawing">
    <cdr:from>
      <cdr:x>0.55007</cdr:x>
      <cdr:y>0.61529</cdr:y>
    </cdr:from>
    <cdr:to>
      <cdr:x>0.61081</cdr:x>
      <cdr:y>0.66452</cdr:y>
    </cdr:to>
    <cdr:sp macro="" textlink="">
      <cdr:nvSpPr>
        <cdr:cNvPr id="11" name="TextBox 1"/>
        <cdr:cNvSpPr txBox="1"/>
      </cdr:nvSpPr>
      <cdr:spPr>
        <a:xfrm xmlns:a="http://schemas.openxmlformats.org/drawingml/2006/main">
          <a:off x="3152725" y="1967622"/>
          <a:ext cx="348167" cy="1574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800" baseline="0"/>
            <a:t>0.4 [0.1, 0.9]</a:t>
          </a:r>
          <a:endParaRPr lang="en-IL" sz="800"/>
        </a:p>
      </cdr:txBody>
    </cdr:sp>
  </cdr:relSizeAnchor>
  <cdr:relSizeAnchor xmlns:cdr="http://schemas.openxmlformats.org/drawingml/2006/chartDrawing">
    <cdr:from>
      <cdr:x>0.74285</cdr:x>
      <cdr:y>0.68479</cdr:y>
    </cdr:from>
    <cdr:to>
      <cdr:x>0.80359</cdr:x>
      <cdr:y>0.73402</cdr:y>
    </cdr:to>
    <cdr:sp macro="" textlink="">
      <cdr:nvSpPr>
        <cdr:cNvPr id="12" name="TextBox 1"/>
        <cdr:cNvSpPr txBox="1"/>
      </cdr:nvSpPr>
      <cdr:spPr>
        <a:xfrm xmlns:a="http://schemas.openxmlformats.org/drawingml/2006/main">
          <a:off x="4257625" y="2189872"/>
          <a:ext cx="348167" cy="1574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800" baseline="0"/>
            <a:t>0.2 [0, 0.2]</a:t>
          </a:r>
          <a:endParaRPr lang="en-IL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3F01-9552-4C44-A84F-3667C5F5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Shiyovich</dc:creator>
  <cp:keywords/>
  <dc:description/>
  <cp:lastModifiedBy>Arthur Shiyovich</cp:lastModifiedBy>
  <cp:revision>5</cp:revision>
  <dcterms:created xsi:type="dcterms:W3CDTF">2021-07-26T19:52:00Z</dcterms:created>
  <dcterms:modified xsi:type="dcterms:W3CDTF">2021-08-06T08:19:00Z</dcterms:modified>
</cp:coreProperties>
</file>