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drawing>
          <wp:inline distT="0" distB="0" distL="114300" distR="114300">
            <wp:extent cx="5271770" cy="3895090"/>
            <wp:effectExtent l="0" t="0" r="11430" b="3810"/>
            <wp:docPr id="3" name="图片 3" descr="图片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both"/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ascii="Times New Roman" w:hAnsi="Times New Roman"/>
          <w:b/>
          <w:bCs/>
          <w:sz w:val="21"/>
          <w:szCs w:val="21"/>
        </w:rPr>
        <w:t>S</w:t>
      </w:r>
      <w:r>
        <w:rPr>
          <w:rFonts w:hint="eastAsia" w:ascii="Times New Roman" w:hAnsi="Times New Roman"/>
          <w:b/>
          <w:bCs/>
          <w:sz w:val="21"/>
          <w:szCs w:val="21"/>
        </w:rPr>
        <w:t>u</w:t>
      </w:r>
      <w:r>
        <w:rPr>
          <w:rFonts w:ascii="Times New Roman" w:hAnsi="Times New Roman" w:eastAsia="Microsoft YaHei UI"/>
          <w:b/>
          <w:bCs/>
          <w:sz w:val="21"/>
          <w:szCs w:val="21"/>
        </w:rPr>
        <w:t>pplementary</w:t>
      </w:r>
      <w:r>
        <w:rPr>
          <w:rFonts w:hint="eastAsia" w:ascii="Times New Roman" w:hAnsi="Times New Roman" w:eastAsia="Microsoft YaHei UI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 xml:space="preserve">Figure 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 xml:space="preserve">1. 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Flow chart of the study population enrollment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.</w:t>
      </w:r>
    </w:p>
    <w:p>
      <w:pPr>
        <w:jc w:val="both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MIMIC, Medical Information Mart for Intensive Care; ICU, 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intensive care unit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; CABG, coronary artery bypass graft surgery; LDH, lactate dehydrogenase; 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NLR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neutrophil-lymphocyte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ratio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 xml:space="preserve">; LMR, lymphocyte-monocyte ratio; PLR, platelet-lymphocyte </w:t>
      </w:r>
      <w:r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ratio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  <w:t>; SAPS, simplified acute physiology score.</w:t>
      </w:r>
    </w:p>
    <w:p>
      <w:pPr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2724150" cy="2533650"/>
            <wp:effectExtent l="0" t="0" r="635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15500" t="10538" r="13000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line="276" w:lineRule="auto"/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ascii="Times New Roman" w:hAnsi="Times New Roman"/>
          <w:b/>
          <w:bCs/>
          <w:sz w:val="21"/>
          <w:szCs w:val="21"/>
        </w:rPr>
        <w:t>S</w:t>
      </w:r>
      <w:r>
        <w:rPr>
          <w:rFonts w:hint="eastAsia" w:ascii="Times New Roman" w:hAnsi="Times New Roman"/>
          <w:b/>
          <w:bCs/>
          <w:sz w:val="21"/>
          <w:szCs w:val="21"/>
        </w:rPr>
        <w:t>u</w:t>
      </w:r>
      <w:r>
        <w:rPr>
          <w:rFonts w:ascii="Times New Roman" w:hAnsi="Times New Roman" w:eastAsia="Microsoft YaHei UI"/>
          <w:b/>
          <w:bCs/>
          <w:sz w:val="21"/>
          <w:szCs w:val="21"/>
        </w:rPr>
        <w:t>pplementary</w:t>
      </w:r>
      <w:r>
        <w:rPr>
          <w:rFonts w:hint="eastAsia" w:ascii="Times New Roman" w:hAnsi="Times New Roman" w:eastAsia="Microsoft YaHei UI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</w:rPr>
        <w:t>Figure 2</w:t>
      </w:r>
      <w:r>
        <w:rPr>
          <w:rFonts w:hint="eastAsia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</w:rPr>
        <w:t>The receiver operating characteristic</w:t>
      </w:r>
      <w:r>
        <w:rPr>
          <w:rFonts w:hint="eastAsia" w:ascii="Times New Roman" w:hAnsi="Times New Roman" w:cs="Times New Roman"/>
          <w:color w:val="auto"/>
          <w:kern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</w:rPr>
        <w:t xml:space="preserve">curve of 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  <w:lang w:val="en-US" w:eastAsia="zh-CN"/>
        </w:rPr>
        <w:t>LDH for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</w:rPr>
        <w:t xml:space="preserve"> predicting in-hospital 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  <w:lang w:val="en-US" w:eastAsia="zh-CN"/>
        </w:rPr>
        <w:t>mortality in MIMIC III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</w:rPr>
        <w:t xml:space="preserve">.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The 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best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>cut-off value was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color w:val="auto"/>
          <w:kern w:val="0"/>
          <w:sz w:val="21"/>
          <w:szCs w:val="21"/>
          <w:lang w:val="en-US" w:eastAsia="zh-CN"/>
        </w:rPr>
        <w:t>&gt;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328</w:t>
      </w:r>
      <w:r>
        <w:rPr>
          <w:rFonts w:hint="default" w:ascii="Times New Roman" w:hAnsi="Times New Roman" w:eastAsia="DejaVu Sans" w:cs="Times New Roman"/>
          <w:color w:val="auto"/>
          <w:sz w:val="21"/>
          <w:szCs w:val="21"/>
        </w:rPr>
        <w:t>u/l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. 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>rea under</w:t>
      </w:r>
      <w:r>
        <w:rPr>
          <w:rFonts w:hint="eastAsia" w:ascii="Times New Roman" w:hAnsi="Times New Roman" w:eastAsia="Calibri-Bold" w:cs="Times New Roman"/>
          <w:b w:val="0"/>
          <w:bCs w:val="0"/>
          <w:color w:val="231F20"/>
          <w:kern w:val="0"/>
          <w:sz w:val="21"/>
          <w:szCs w:val="21"/>
          <w:lang w:val="en-US" w:eastAsia="zh-CN" w:bidi="ar"/>
        </w:rPr>
        <w:t xml:space="preserve"> the curve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 was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Style w:val="6"/>
          <w:rFonts w:hint="default" w:ascii="Times New Roman" w:hAnsi="Times New Roman" w:eastAsia="宋体" w:cs="Times New Roman"/>
          <w:color w:val="auto"/>
          <w:sz w:val="21"/>
          <w:szCs w:val="21"/>
        </w:rPr>
        <w:t>0.795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 and the sensitivity, specificity,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95%CI lower and 95%CI upper were </w:t>
      </w:r>
      <w:r>
        <w:rPr>
          <w:rStyle w:val="6"/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65.4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%, </w:t>
      </w:r>
      <w:r>
        <w:rPr>
          <w:rStyle w:val="6"/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76.6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%,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 xml:space="preserve">0.778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and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</w:rPr>
        <w:t>0.811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>respectively.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Calibri-Bold" w:cs="Times New Roman"/>
          <w:b w:val="0"/>
          <w:bCs w:val="0"/>
          <w:color w:val="231F20"/>
          <w:kern w:val="0"/>
          <w:sz w:val="21"/>
          <w:szCs w:val="21"/>
          <w:lang w:val="en-US" w:eastAsia="zh-CN" w:bidi="ar"/>
        </w:rPr>
        <w:t xml:space="preserve">LDH, lactate dehydrogenase; </w:t>
      </w:r>
      <w:r>
        <w:rPr>
          <w:rFonts w:hint="default" w:ascii="Times New Roman" w:hAnsi="Times New Roman" w:eastAsia="Calibri-Bold" w:cs="Times New Roman"/>
          <w:b w:val="0"/>
          <w:bCs w:val="0"/>
          <w:color w:val="231F20"/>
          <w:kern w:val="0"/>
          <w:sz w:val="21"/>
          <w:szCs w:val="21"/>
          <w:lang w:val="en-US" w:eastAsia="zh-CN" w:bidi="ar"/>
        </w:rPr>
        <w:t xml:space="preserve">95% CI, 95% </w:t>
      </w:r>
      <w:r>
        <w:rPr>
          <w:rFonts w:hint="eastAsia" w:ascii="Times New Roman" w:hAnsi="Times New Roman" w:eastAsia="Calibri-Bold" w:cs="Times New Roman"/>
          <w:b w:val="0"/>
          <w:bCs w:val="0"/>
          <w:color w:val="231F20"/>
          <w:kern w:val="0"/>
          <w:sz w:val="21"/>
          <w:szCs w:val="21"/>
          <w:lang w:val="en-US" w:eastAsia="zh-CN" w:bidi="ar"/>
        </w:rPr>
        <w:t>c</w:t>
      </w:r>
      <w:r>
        <w:rPr>
          <w:rFonts w:hint="default" w:ascii="Times New Roman" w:hAnsi="Times New Roman" w:eastAsia="Calibri-Bold" w:cs="Times New Roman"/>
          <w:b w:val="0"/>
          <w:bCs w:val="0"/>
          <w:color w:val="231F20"/>
          <w:kern w:val="0"/>
          <w:sz w:val="21"/>
          <w:szCs w:val="21"/>
          <w:lang w:val="en-US" w:eastAsia="zh-CN" w:bidi="ar"/>
        </w:rPr>
        <w:t xml:space="preserve">onfidence </w:t>
      </w:r>
      <w:r>
        <w:rPr>
          <w:rFonts w:hint="eastAsia" w:ascii="Times New Roman" w:hAnsi="Times New Roman" w:eastAsia="Calibri-Bold" w:cs="Times New Roman"/>
          <w:b w:val="0"/>
          <w:bCs w:val="0"/>
          <w:color w:val="231F20"/>
          <w:kern w:val="0"/>
          <w:sz w:val="21"/>
          <w:szCs w:val="21"/>
          <w:lang w:val="en-US" w:eastAsia="zh-CN" w:bidi="ar"/>
        </w:rPr>
        <w:t>i</w:t>
      </w:r>
      <w:r>
        <w:rPr>
          <w:rFonts w:hint="default" w:ascii="Times New Roman" w:hAnsi="Times New Roman" w:eastAsia="Calibri-Bold" w:cs="Times New Roman"/>
          <w:b w:val="0"/>
          <w:bCs w:val="0"/>
          <w:color w:val="231F20"/>
          <w:kern w:val="0"/>
          <w:sz w:val="21"/>
          <w:szCs w:val="21"/>
          <w:lang w:val="en-US" w:eastAsia="zh-CN" w:bidi="ar"/>
        </w:rPr>
        <w:t>nterval</w:t>
      </w:r>
      <w:r>
        <w:rPr>
          <w:rFonts w:hint="eastAsia" w:ascii="Times New Roman" w:hAnsi="Times New Roman" w:eastAsia="Calibri-Bold" w:cs="Times New Roman"/>
          <w:b w:val="0"/>
          <w:bCs w:val="0"/>
          <w:color w:val="231F20"/>
          <w:kern w:val="0"/>
          <w:sz w:val="21"/>
          <w:szCs w:val="21"/>
          <w:lang w:val="en-US" w:eastAsia="zh-CN" w:bidi="ar"/>
        </w:rPr>
        <w:t>; MIMIC, Medical Information Mart for Intensive Care.</w:t>
      </w:r>
    </w:p>
    <w:p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 .</w:t>
      </w:r>
    </w:p>
    <w:p>
      <w:pPr>
        <w:rPr>
          <w:rStyle w:val="6"/>
          <w:rFonts w:hint="default" w:ascii="Arial" w:hAnsi="Arial" w:eastAsia="宋体" w:cs="Arial"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-Bold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936F0"/>
    <w:rsid w:val="0D455299"/>
    <w:rsid w:val="13AC58D6"/>
    <w:rsid w:val="14EA7B82"/>
    <w:rsid w:val="178A04D9"/>
    <w:rsid w:val="1B995C82"/>
    <w:rsid w:val="2DB41063"/>
    <w:rsid w:val="40EC0AA7"/>
    <w:rsid w:val="49EF1FD2"/>
    <w:rsid w:val="4AFF2073"/>
    <w:rsid w:val="506A2913"/>
    <w:rsid w:val="536C1DF9"/>
    <w:rsid w:val="5F430C60"/>
    <w:rsid w:val="74CA40F1"/>
    <w:rsid w:val="7823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  <w:style w:type="character" w:customStyle="1" w:styleId="5">
    <w:name w:val="normal2"/>
    <w:basedOn w:val="3"/>
    <w:qFormat/>
    <w:uiPriority w:val="0"/>
    <w:rPr>
      <w:color w:val="000000"/>
    </w:rPr>
  </w:style>
  <w:style w:type="character" w:customStyle="1" w:styleId="6">
    <w:name w:val="result"/>
    <w:basedOn w:val="3"/>
    <w:qFormat/>
    <w:uiPriority w:val="0"/>
    <w:rPr>
      <w:color w:val="000080"/>
    </w:rPr>
  </w:style>
  <w:style w:type="character" w:customStyle="1" w:styleId="7">
    <w:name w:val="warning"/>
    <w:basedOn w:val="3"/>
    <w:qFormat/>
    <w:uiPriority w:val="0"/>
    <w:rPr>
      <w:color w:val="FF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2021-09-20T14:32:00Z</dcterms:created>
  <dc:creator>admin</dc:creator>
  <cp:lastModifiedBy>admin</cp:lastModifiedBy>
  <dcterms:modified xsi:type="dcterms:W3CDTF">2021-12-12T07:53:15Z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B4CE457EE83B44EEAEC7A58BFA86D617</vt:lpwstr>
  </property>
</Properties>
</file>