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bidi="ar"/>
        </w:rPr>
        <w:t xml:space="preserve">Supplementary Table 1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eastAsia="zh-CN" w:bidi="ar"/>
        </w:rPr>
        <w:t>Single-factor</w:t>
      </w:r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>Cox regression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 xml:space="preserve">analysis of </w:t>
      </w:r>
      <w:bookmarkStart w:id="0" w:name="OLE_LINK1"/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 xml:space="preserve">covariates </w:t>
      </w:r>
      <w:bookmarkEnd w:id="0"/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 xml:space="preserve">and 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>all-cause</w:t>
      </w:r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 xml:space="preserve"> mortality</w:t>
      </w:r>
    </w:p>
    <w:tbl>
      <w:tblPr>
        <w:tblStyle w:val="5"/>
        <w:tblW w:w="8061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340"/>
        <w:gridCol w:w="790"/>
        <w:gridCol w:w="1350"/>
        <w:gridCol w:w="750"/>
        <w:gridCol w:w="1370"/>
        <w:gridCol w:w="80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Variables</w:t>
            </w:r>
          </w:p>
        </w:tc>
        <w:tc>
          <w:tcPr>
            <w:tcW w:w="2130" w:type="dxa"/>
            <w:gridSpan w:val="2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30-day all-cause mortality</w:t>
            </w:r>
          </w:p>
        </w:tc>
        <w:tc>
          <w:tcPr>
            <w:tcW w:w="2100" w:type="dxa"/>
            <w:gridSpan w:val="2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90-day all-cause mortality</w:t>
            </w:r>
          </w:p>
        </w:tc>
        <w:tc>
          <w:tcPr>
            <w:tcW w:w="2170" w:type="dxa"/>
            <w:gridSpan w:val="2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1-year all-cause mortality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vMerge w:val="continue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4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HR (95%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CI)</w:t>
            </w:r>
          </w:p>
        </w:tc>
        <w:tc>
          <w:tcPr>
            <w:tcW w:w="79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-Value</w:t>
            </w:r>
          </w:p>
        </w:tc>
        <w:tc>
          <w:tcPr>
            <w:tcW w:w="135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HR (95%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CI)</w:t>
            </w:r>
          </w:p>
        </w:tc>
        <w:tc>
          <w:tcPr>
            <w:tcW w:w="75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-Value</w:t>
            </w:r>
          </w:p>
        </w:tc>
        <w:tc>
          <w:tcPr>
            <w:tcW w:w="137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HR (95%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CI)</w:t>
            </w:r>
          </w:p>
        </w:tc>
        <w:tc>
          <w:tcPr>
            <w:tcW w:w="800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(years)</w:t>
            </w:r>
          </w:p>
        </w:tc>
        <w:tc>
          <w:tcPr>
            <w:tcW w:w="134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1.04 (1.03, 1.05) </w:t>
            </w:r>
          </w:p>
        </w:tc>
        <w:tc>
          <w:tcPr>
            <w:tcW w:w="79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1.04 (1.04,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1.05) </w:t>
            </w:r>
          </w:p>
        </w:tc>
        <w:tc>
          <w:tcPr>
            <w:tcW w:w="75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1.04 (1.04,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1.04) </w:t>
            </w:r>
          </w:p>
        </w:tc>
        <w:tc>
          <w:tcPr>
            <w:tcW w:w="80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Sex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Female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Male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0.79 (0.71, 0.88)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0.79 (0.72,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0.86)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0.78 (0.72,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0.84)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Race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Other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White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0.76 (0.67, 0.85)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0.8 (0.73,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0.88)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0.94 (0.86,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1.02)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0.124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Hypertension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0.67 (0.61, 0.75)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0.61 (0.56,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0.68)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0.59 (0.54,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0.64)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Diabetes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0.96 (0.86, 1.07)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0.461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1.02 (0.92,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1.12)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0.743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1.11 (1.02,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0.013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CHF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1.39 (1.25, 1.54)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1.48 (1.35,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1.62)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1.57 (1.46,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1.7)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PVD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1.05 (0.91, 1.21)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0.476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1.11 (0.99,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1.25)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0.078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1.17 (1.06,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1.29)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Cerebrovascular disease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1.63 (1.44, 1.84)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1.51 (1.35,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1.69)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1.42 (1.3,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1.56)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CPD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1.04 (0.93, 1.16)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0.502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1.08 (0.98,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1.19)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0.108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1.16 (1.07,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1.25)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Renal disease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1.56 (1.4, 1.74)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1.67 (1.52,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1.83)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1.76 (1.63,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1.9)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Liver disease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2.48 (2.15,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2.85)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2.42 (2.14,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2.74)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2.16 (1.93,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2.41)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Malignancy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1.98 (1.74, 2.25)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2.15 (1.93,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2.4)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2.38 (2.17,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2.61)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Sepsis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2.49 (2.2, 2.82)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2.23 (2.01,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2.48)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1.83 (1.68,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1.98)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AHF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1.33 (1.18, 1.49)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1.42 (1.29,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1.57)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1.53 (1.41,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1.66)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Stroke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2.17 (1.89, 2.51)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2.02 (1.78,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2.29)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1.84 (1.64,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2.05)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AKI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3.13 (2.57, 3.81)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2.6 (2.23,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3.04)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1.8 (1.61,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2.01)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SOFA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1.18 (1.17, 1.19)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1.15 (1.14,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1.17)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1.12 (1.11,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1.13)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SAPS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Ⅱ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1.05 (1.05, 1.06)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1.05 (1.04,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1.05)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1.04 (1.04,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1.04)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CCI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1.22 (1.19, 1.24)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1.23 (1.21,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1.25)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1.25 (1.23,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1.26)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Hemoglobin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(g/dL)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1.02 (1, 1.04)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0.087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0.9989 (0.9798,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1.0184)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0.912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0.9908 (0.9749,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1.007)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0.265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Platelets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(×10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perscript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/L)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1.0015 (1.0011, 1.0019)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1.0016 (1.0012,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1.0019)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1.0016 (1.0013,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1.0019)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WBC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(×10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perscript"/>
                <w:lang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/L)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1.0094 (1.0069, 1.0118)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1.0085 (1.0061,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1.0109)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1.0071 (1.0046,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1.0095)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RDW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(%)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1.19 (1.17, 1.2)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1.19 (1.17,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1.21)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1.2 (1.18,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1.21)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Anion gap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(mmol/L)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 (1.09, 1.11)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1.09 (1.09,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1.09 (1.08,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1.09)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BUN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(mg/dL)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1.01 (1.01, 1.02)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1.01 (1.01,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1.02)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1.01 (1.01,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1.02)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Creatinine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(mg/dL)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1.15 (1.12, 1.18)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1.14 (1.12,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1.17)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1.15 (1.13,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1.16)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Glucose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(mg/dL)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1.0015 (1.0011, 1.0018)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1.0014 (1.0011,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1.0017)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1.0013 (1.001,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1.0016)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HR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  <w:t>(beats/minute)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1.01 (1.01, 1.01)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1.01 (1.01,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1.01)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1.01 (1.01,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1.01)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MBP (mmHg)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0.9982 (0.9953,1.0012)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0.238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0.9972 (0.9947,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0.9998)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0.035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0.9982 (0.996,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1.0003)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0.098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RR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vertAlign w:val="baseline"/>
                <w:lang w:val="en-US" w:eastAsia="zh-CN"/>
              </w:rPr>
              <w:t>(beats/minute)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1.06 (1.05, 1.07)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1.06 (1.05,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1.07)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1.06 (1.05,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1.06)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SpO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bscript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(%)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0.95 (0.95, 0.96)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0.96 (0.95,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0.96)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0.96 (0.95,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0.96)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ntiplatelet agents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0.51 (0.45,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0.58) 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0.57 (0.52,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0.64) 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0.62 (0.57,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0.68) 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Anticoagulant agents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0.81 (0.73,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0.9)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0.89 (0.82,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0.98) 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0.013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0.96 (0.89,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1.03) 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0.282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Antiarrhythmic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agents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0.72 (0.65, 0.8)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0.78 (0.72,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0.86)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0.82 (0.76,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0.88)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MV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2.15 (1.93,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2.39) 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1.85 (1.69,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2.02) 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1.49 (1.38,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1.61) 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RRT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2.88 (2.5, 3.32)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2.79 (2.46,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3.16)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59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2.9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Vasopressors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No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Yes</w:t>
            </w:r>
          </w:p>
        </w:tc>
        <w:tc>
          <w:tcPr>
            <w:tcW w:w="1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1.39 (1.25, 1.55) </w:t>
            </w:r>
          </w:p>
        </w:tc>
        <w:tc>
          <w:tcPr>
            <w:tcW w:w="7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1.17 (1.07,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1.29) </w:t>
            </w:r>
          </w:p>
        </w:tc>
        <w:tc>
          <w:tcPr>
            <w:tcW w:w="7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&lt; 0.001</w:t>
            </w:r>
          </w:p>
        </w:tc>
        <w:tc>
          <w:tcPr>
            <w:tcW w:w="13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0.99 (0.92,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1.07) 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0.762</w:t>
            </w:r>
          </w:p>
        </w:tc>
      </w:tr>
    </w:tbl>
    <w:p>
      <w:pPr>
        <w:rPr>
          <w:rFonts w:ascii="Times New Roman" w:hAnsi="Times New Roman" w:cs="Times New Roman"/>
          <w:color w:val="000000"/>
          <w:sz w:val="15"/>
          <w:szCs w:val="15"/>
        </w:rPr>
      </w:pPr>
      <w:r>
        <w:rPr>
          <w:rFonts w:ascii="Times New Roman" w:hAnsi="Times New Roman" w:cs="Times New Roman"/>
          <w:color w:val="000000"/>
          <w:sz w:val="15"/>
          <w:szCs w:val="15"/>
        </w:rPr>
        <w:t>Notes: data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present</w:t>
      </w:r>
      <w:r>
        <w:rPr>
          <w:rFonts w:ascii="Times New Roman" w:hAnsi="Times New Roman" w:cs="Times New Roman"/>
          <w:color w:val="000000"/>
          <w:sz w:val="15"/>
          <w:szCs w:val="15"/>
        </w:rPr>
        <w:t>ed are</w:t>
      </w:r>
      <w:r>
        <w:rPr>
          <w:rFonts w:hint="eastAsia" w:ascii="Times New Roman" w:hAnsi="Times New Roman" w:cs="Times New Roman"/>
          <w:color w:val="000000"/>
          <w:sz w:val="15"/>
          <w:szCs w:val="15"/>
          <w:lang w:val="en-US" w:eastAsia="zh-CN"/>
        </w:rPr>
        <w:t xml:space="preserve"> HR</w:t>
      </w:r>
      <w:r>
        <w:rPr>
          <w:rFonts w:ascii="Times New Roman" w:hAnsi="Times New Roman" w:cs="Times New Roman"/>
          <w:color w:val="000000"/>
          <w:sz w:val="15"/>
          <w:szCs w:val="15"/>
        </w:rPr>
        <w:t>s and 95% CIs</w:t>
      </w:r>
      <w:r>
        <w:rPr>
          <w:rFonts w:hint="eastAsia" w:ascii="Times New Roman" w:hAnsi="Times New Roman" w:cs="Times New Roman"/>
          <w:color w:val="000000"/>
          <w:sz w:val="15"/>
          <w:szCs w:val="15"/>
        </w:rPr>
        <w:t>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</w:pPr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 xml:space="preserve">Abbreviations: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HR, hazard ratio; CI, confidence interval; CHF,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congestive heart failure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PVD, peripheral vascular disease; CPD,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hronic pulmonary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AKI, acute kidney injury; AHF, acute heart failure; SOFA,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sequential organ failure assessment;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simplified acute physiology score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Charlson comorbidity index; WBC, white blood cell; RDW, red cell distribution width; BUN,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lood urea nitrogen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HR, heart rate; MBP, mean blood pressure; RR, respiratory rate; SpO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saturation of pulse oximetry; MV, mechanical ventilation; RRT, renal replacement therapy.</w:t>
      </w: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bidi="ar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bidi="ar"/>
        </w:rPr>
        <w:t xml:space="preserve">Supplementary 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 xml:space="preserve">2 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Relationship between BMI and all-cause mortality after excluding participants with incomplete data of </w:t>
      </w:r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>covariates</w:t>
      </w:r>
    </w:p>
    <w:tbl>
      <w:tblPr>
        <w:tblStyle w:val="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291"/>
        <w:gridCol w:w="714"/>
        <w:gridCol w:w="1291"/>
        <w:gridCol w:w="714"/>
        <w:gridCol w:w="1291"/>
        <w:gridCol w:w="714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restart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Variables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Crude model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1" w:type="dxa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714" w:type="dxa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HR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(95% CI)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HR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(95% CI)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single" w:color="auto" w:sz="8" w:space="0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30-day all-cause mortality</w:t>
            </w:r>
          </w:p>
        </w:tc>
        <w:tc>
          <w:tcPr>
            <w:tcW w:w="1291" w:type="dxa"/>
            <w:tcBorders>
              <w:top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714" w:type="dxa"/>
            <w:tcBorders>
              <w:top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bookmarkStart w:id="1" w:name="OLE_LINK6"/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BMI category </w:t>
            </w:r>
          </w:p>
        </w:tc>
        <w:tc>
          <w:tcPr>
            <w:tcW w:w="1291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bookmarkEnd w:id="1"/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bookmarkStart w:id="2" w:name="OLE_LINK9" w:colFirst="0" w:colLast="0"/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1.93 (1.49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2.5)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1.96 (1.51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1.62 (1.24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2.12)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Normal-weight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Overweight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0.76 (0.66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0.86)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0.85 (0.75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0.018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0.83 (0.72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0.94)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Obese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0.61 (0.53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0.69)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0.79 (0.69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 (0.69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0.92)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bookmarkEnd w:id="2"/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for trend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bookmarkStart w:id="3" w:name="OLE_LINK2"/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  <w:bookmarkEnd w:id="3"/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90-day all-cause mortality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BMI category 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1.73 (1.37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2.17)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1.76 (1.4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1.48 (1.17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Normal-weight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Overweight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 (0.63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0.79)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0.79 (0.71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0.77 (0.68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Obese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0.55 (0.49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0.62)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0.72 (0.64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0.71 (0.63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for trend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1-year all-cause mortality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BMI category  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1.72 (1.41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2.1)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1.75 (1.43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1.48 (1.21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Normal-weight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Overweight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 (0.64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0.77)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0.78 (0.71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0.76 (0.7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1896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Obese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0.56 (0.51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0.62)</w:t>
            </w: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0.72 (0.66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 (0.63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for trend</w:t>
            </w:r>
          </w:p>
        </w:tc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Note: The sample size was 9111. Crude model was adjusted for none; Model 1 was adjusted for age, sex and race; Model 2 was </w:t>
      </w:r>
      <w:r>
        <w:rPr>
          <w:rFonts w:hint="default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 xml:space="preserve">further adjusted (from Model </w:t>
      </w:r>
      <w:r>
        <w:rPr>
          <w:rFonts w:hint="eastAsia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>1</w:t>
      </w:r>
      <w:r>
        <w:rPr>
          <w:rFonts w:hint="default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>) for</w:t>
      </w:r>
      <w:r>
        <w:rPr>
          <w:rFonts w:hint="eastAsia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 xml:space="preserve"> hypertension, diabetes, CHF, PVD, </w:t>
      </w:r>
      <w:bookmarkStart w:id="4" w:name="OLE_LINK5"/>
      <w:r>
        <w:rPr>
          <w:rFonts w:hint="eastAsia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erebrovascular disease</w:t>
      </w:r>
      <w:bookmarkEnd w:id="4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CPD, r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enal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liver disease, malignancy, sepsis, AKI, AHF, stroke, SOFA, 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hemoglobin, WBC,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platelet, RDW, anion gap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BUN, creatinine, glucose, HR, MBP, RR, SpO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antiplatelet agents, anticoagulant agents, a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ntiarrhythmic agents, MV, RRT, and vasopressors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  <w:t>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</w:pPr>
      <w:bookmarkStart w:id="5" w:name="OLE_LINK4"/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Abbreviations: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BMI, body mass index; </w:t>
      </w:r>
      <w:bookmarkStart w:id="6" w:name="OLE_LINK10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HR, hazard ratio; CI, confidence interval;</w:t>
      </w:r>
      <w:bookmarkEnd w:id="6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CHF,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congestive heart failure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PVD, peripheral vascular disease; CPD,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hronic pulmonary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AKI, acute kidney injury; AHF, acute heart failure; SOFA,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sequential organ failure assessment;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simplified acute physiology score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Charlson comorbidity index; WBC, white blood cell; RDW, red cell distribution width; BUN,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lood urea nitrogen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HR, heart rate; MBP, mean blood pressure; RR, respiratory rate; SpO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saturation of pulse oximetry; MV, mechanical ventilation; RRT, renal replacement therapy.</w:t>
      </w:r>
      <w:bookmarkEnd w:id="5"/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lang w:val="en-US" w:eastAsia="zh-CN" w:bidi="ar"/>
        </w:rPr>
        <w:t>Supplementary</w:t>
      </w:r>
      <w: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  <w:t xml:space="preserve">Table 3 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Threshold effect analysis of the relationship between BMI and all-cause mortality after excluding participants with incomplete data of </w:t>
      </w:r>
      <w:r>
        <w:rPr>
          <w:rFonts w:ascii="Times New Roman" w:hAnsi="Times New Roman" w:eastAsia="宋体" w:cs="Times New Roman"/>
          <w:color w:val="000000"/>
          <w:kern w:val="0"/>
          <w:sz w:val="16"/>
          <w:szCs w:val="16"/>
          <w:lang w:bidi="ar"/>
        </w:rPr>
        <w:t>covariates</w:t>
      </w:r>
    </w:p>
    <w:tbl>
      <w:tblPr>
        <w:tblStyle w:val="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222"/>
        <w:gridCol w:w="1523"/>
        <w:gridCol w:w="714"/>
        <w:gridCol w:w="222"/>
        <w:gridCol w:w="1523"/>
        <w:gridCol w:w="714"/>
        <w:gridCol w:w="222"/>
        <w:gridCol w:w="1523"/>
        <w:gridCol w:w="714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>
            <w:pPr>
              <w:spacing w:line="480" w:lineRule="auto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Threshold of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BMI</w:t>
            </w:r>
          </w:p>
        </w:tc>
        <w:tc>
          <w:tcPr>
            <w:tcW w:w="0" w:type="auto"/>
            <w:vMerge w:val="restart"/>
          </w:tcPr>
          <w:p>
            <w:pPr>
              <w:jc w:val="center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gridSpan w:val="2"/>
            <w:tcBorders>
              <w:bottom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30-day all-cause mortality</w:t>
            </w:r>
          </w:p>
        </w:tc>
        <w:tc>
          <w:tcPr>
            <w:tcW w:w="0" w:type="auto"/>
            <w:vMerge w:val="restart"/>
            <w:tcBorders>
              <w:bottom w:val="single" w:color="auto" w:sz="8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gridSpan w:val="2"/>
            <w:tcBorders>
              <w:bottom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90-day all-cause mortality</w:t>
            </w:r>
          </w:p>
        </w:tc>
        <w:tc>
          <w:tcPr>
            <w:tcW w:w="0" w:type="auto"/>
            <w:vMerge w:val="restart"/>
            <w:tcBorders>
              <w:bottom w:val="single" w:color="auto" w:sz="8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gridSpan w:val="2"/>
            <w:tcBorders>
              <w:bottom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1-year all-cause mortality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HR (95%CI)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bottom w:val="single" w:color="auto" w:sz="8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HR (95%CI)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bottom w:val="single" w:color="auto" w:sz="8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HR (95%CI)</w:t>
            </w:r>
          </w:p>
        </w:tc>
        <w:tc>
          <w:tcPr>
            <w:tcW w:w="0" w:type="auto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8" w:space="0"/>
            </w:tcBorders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&lt;</w:t>
            </w:r>
            <w:bookmarkStart w:id="7" w:name="OLE_LINK3"/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kg/m</w:t>
            </w:r>
            <w:r>
              <w:rPr>
                <w:rFonts w:hint="eastAsia" w:ascii="Times New Roman" w:hAnsi="Times New Roman" w:cs="Times New Roman" w:eastAsiaTheme="minorEastAsia"/>
                <w:sz w:val="16"/>
                <w:szCs w:val="16"/>
                <w:highlight w:val="none"/>
                <w:vertAlign w:val="superscript"/>
                <w:lang w:val="en-US" w:eastAsia="zh-CN"/>
              </w:rPr>
              <w:t>2</w:t>
            </w:r>
            <w:bookmarkEnd w:id="7"/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0.937 (0.919, 0.955)  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0.931 (0.915,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0.946)  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0.932 (0.919,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0.946)  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30kg/m</w:t>
            </w:r>
            <w:r>
              <w:rPr>
                <w:rFonts w:hint="eastAsia" w:ascii="Times New Roman" w:hAnsi="Times New Roman" w:cs="Times New Roman" w:eastAsiaTheme="minorEastAsia"/>
                <w:sz w:val="16"/>
                <w:szCs w:val="16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0.995 (0.97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1.017) 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0.663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0.992 (0.97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1.011)  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0.417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0.996 (0.98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1.01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)  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0.62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Likelihood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atio test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</w:tbl>
    <w:p>
      <w:pPr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highlight w:val="none"/>
          <w:u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Note: HRs were adjusted for age, sex, race, </w:t>
      </w:r>
      <w:r>
        <w:rPr>
          <w:rFonts w:hint="eastAsia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>hypertension, diabetes, CHF, PVD,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erebrovascular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CPD, r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enal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liver disease, m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  <w:t>alignancy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sepsis, AKI, AHF, stroke, SOFA, 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hemoglobin, WBC,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platelet, RDW, anion gap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BUN, creatinine, glucose, HR, MBP, RR, Sp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O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, antiplatelet agents, anticoagulant agents, antiarrhythmic agents, MV, RRT, and vasopressors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highlight w:val="none"/>
          <w:u w:val="none"/>
          <w:lang w:val="en-US" w:eastAsia="zh-CN"/>
        </w:rPr>
        <w:t>.</w:t>
      </w:r>
    </w:p>
    <w:p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Abbreviations: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BMI, body mass index; HR, hazard ratio; CI, confidence interval; CHF,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congestive heart failure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PVD, peripheral vascular disease; CPD,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hronic pulmonary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AKI, acute kidney injury; AHF, acute heart failure; SOFA,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sequential organ failure assessment;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simplified acute physiology score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Charlson comorbidity index; WBC, white blood cell; RDW, red cell distribution width; BUN,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lood urea nitrogen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HR, heart rate; MBP, mean blood pressure; RR, respiratory rate; SpO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saturation of pulse oximetry; MV, mechanical ventilation; RRT, renal replacement therapy.</w:t>
      </w: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eastAsia" w:ascii="Times New Roman" w:hAnsi="Times New Roman" w:cs="Times New Roman"/>
          <w:b/>
          <w:bCs/>
          <w:sz w:val="16"/>
          <w:szCs w:val="16"/>
          <w:highlight w:val="yellow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>Supplementary Table 4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 Relationship between BMI and all-cause mortality when</w:t>
      </w:r>
      <w:bookmarkStart w:id="8" w:name="OLE_LINK11"/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 patients with BMI </w:t>
      </w:r>
      <w:r>
        <w:rPr>
          <w:rFonts w:hint="default" w:ascii="Times New Roman" w:hAnsi="Times New Roman" w:cs="Times New Roman"/>
          <w:color w:val="000000" w:themeColor="text1"/>
          <w:sz w:val="16"/>
          <w:szCs w:val="16"/>
          <w:highlight w:val="none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Times New Roman" w:hAnsi="Times New Roman" w:cs="Times New Roman"/>
          <w:color w:val="000000" w:themeColor="text1"/>
          <w:sz w:val="16"/>
          <w:szCs w:val="16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>30 kg/m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 are divided into obese group and morbidly obese group</w:t>
      </w:r>
    </w:p>
    <w:bookmarkEnd w:id="8"/>
    <w:tbl>
      <w:tblPr>
        <w:tblStyle w:val="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291"/>
        <w:gridCol w:w="714"/>
        <w:gridCol w:w="1291"/>
        <w:gridCol w:w="714"/>
        <w:gridCol w:w="1291"/>
        <w:gridCol w:w="714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restart"/>
          </w:tcPr>
          <w:p>
            <w:pPr>
              <w:spacing w:line="48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Variables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Crude model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vMerge w:val="continue"/>
            <w:tcBorders>
              <w:bottom w:val="single" w:color="auto" w:sz="8" w:space="0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HR (95% CI)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HR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(95% CI)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HR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(95% CI)</w:t>
            </w:r>
          </w:p>
        </w:tc>
        <w:tc>
          <w:tcPr>
            <w:tcW w:w="0" w:type="auto"/>
            <w:tcBorders>
              <w:top w:val="nil"/>
              <w:bottom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op w:val="single" w:color="auto" w:sz="8" w:space="0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30-day all-cause mortality</w:t>
            </w: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8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BMI category 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  <w:t>1.89 (1.46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  <w:t>2.44)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  <w:t>1.92 (1.48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eastAsia="zh-CN"/>
              </w:rPr>
              <w:t>2.48)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1.58 (1.21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2.07)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Normal-weight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Overweight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0.75 (0.66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0.84 (0.74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0.82 (0.72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Obese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 (0.52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0.77 (0.66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0.79 (0.68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0.92)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Morbidly obese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0.59 (0.46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0.87 (0.69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0.272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bookmarkStart w:id="9" w:name="OLE_LINK1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0.77 (0.6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0.98)</w:t>
            </w:r>
            <w:bookmarkEnd w:id="9"/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0.034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for trend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90-day all-cause mortality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BMI category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1.7 (1.35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1.73 (1.38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1.46 (1.15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Normal-weight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Overweight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 (0.63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0.79 (0.7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0.76 (0.68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Obese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0.55 (0.49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 (0.62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0.71 (0.62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Morbidly obese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0.54 (0.44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 (0.65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0.036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0.68 (0.55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for trend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1-year all-cause mortality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BMI category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Underweight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1.69 (1.39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2.06)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1.72 (1.41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2.09)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1.45 (1.19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ind w:firstLine="160" w:firstLineChars="100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Normal-weight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1.00 (Reference)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Overweight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 (0.63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0.78 (0.71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0.76 (0.69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Obese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0.56 (0.5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 (0.63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0.77)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 (0.62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 Morbidly obese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0.58 (0.49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0.83 (0.7</w:t>
            </w: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0.034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0.7 (0.59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0.83)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6"/>
                <w:szCs w:val="16"/>
                <w:highlight w:val="none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 xml:space="preserve"> for trend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highlight w:val="none"/>
                <w:vertAlign w:val="baseline"/>
                <w:lang w:val="en-US" w:eastAsia="zh-CN"/>
              </w:rPr>
              <w:t>&lt;0.001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Note: Crude model was adjusted for none; Model 1 was </w:t>
      </w:r>
      <w:bookmarkStart w:id="10" w:name="OLE_LINK7"/>
      <w:r>
        <w:rPr>
          <w:rFonts w:hint="eastAsia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adjusted for age, sex and race; Model 2 was </w:t>
      </w:r>
      <w:r>
        <w:rPr>
          <w:rFonts w:hint="default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 xml:space="preserve">further adjusted (from Model </w:t>
      </w:r>
      <w:r>
        <w:rPr>
          <w:rFonts w:hint="eastAsia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>1</w:t>
      </w:r>
      <w:r>
        <w:rPr>
          <w:rFonts w:hint="default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>) for</w:t>
      </w:r>
      <w:r>
        <w:rPr>
          <w:rFonts w:hint="eastAsia" w:ascii="Times New Roman" w:hAnsi="Times New Roman" w:eastAsia="微软雅黑" w:cs="Times New Roman"/>
          <w:sz w:val="16"/>
          <w:szCs w:val="16"/>
          <w:vertAlign w:val="baseline"/>
          <w:lang w:val="en-US" w:eastAsia="zh-CN"/>
        </w:rPr>
        <w:t xml:space="preserve"> hypertension, diabetes, CHF, PVD,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erebrovascular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CPD, r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enal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liver disease, malignancy, sepsis, AKI, AHF, stroke, SOFA, 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hemoglobin, WBC,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platelet, RDW, anion gap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BUN, creatinine, glucose, HR, MBP, RR, SpO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antiplatelet agents, anticoagulant agents, a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ntiarrhythmic agents, MV, RRT, and vasopressors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  <w:t>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Abbreviations: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BMI, body mass index; HR, hazard ratio; CI, confidence interval; CHF,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congestive heart failure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PVD, peripheral vascular disease; CPD,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hronic pulmonary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AKI, acute kidney injury; AHF, acute heart failure; SOFA,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sequential organ failure assessment;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SAPS </w:t>
      </w:r>
      <w:bookmarkStart w:id="11" w:name="OLE_LINK17"/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bookmarkEnd w:id="11"/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simplified acute physiology score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Charlson comorbidity index; WBC, white blood cell; RDW, red cell distribution width; BUN,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lood urea nitrogen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HR, heart rate; MBP, mean blood pressure; RR, respiratory rate; SpO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saturation of pulse oximetry; MV, mechanical ventilation; RRT, renal replacement therapy.</w:t>
      </w:r>
    </w:p>
    <w:bookmarkEnd w:id="10"/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drawing>
          <wp:inline distT="0" distB="0" distL="114300" distR="114300">
            <wp:extent cx="6664325" cy="4723765"/>
            <wp:effectExtent l="0" t="0" r="3175" b="635"/>
            <wp:docPr id="5" name="图片 5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64325" cy="472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 Stratified analyses of patients with BMI &lt; 30 kg/m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>. The forest plot shows the results of subgroup analyses of 30-day (A), 90-day (B), and 1-year (C) mortality. HRs were adjusted for age, sex , race, hypertension, diabetes, CHF, PVD, cerebrovascular disease, CPD, renal disease, liver disease, malignancy, sepsis, AKI, AHF, stroke, SOFA, SAPS Ⅱ, CCI, hemoglobin, WBC, platelet, RDW, anion gap, BUN, creatinine, glucose, HR, MBP, RR, SpO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>, antiplatelet agents, anticoagulant agents, antiarrh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  <w:t>ythmic agents, MV, RRT, and vasopressors.</w:t>
      </w: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Abbreviations: BMI, body mass index; HR, hazard ratio; CI, confidence interval; CHF, congestive heart failure; PVD, peripheral vascular disease; CPD, chronic pulmonary disease; AKI, acute kidney injury; AHF, acute heart failure; SOFA, sequential organ failure assessment; SAPS </w:t>
      </w:r>
      <w:bookmarkStart w:id="12" w:name="OLE_LINK16"/>
      <w: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  <w:t>Ⅱ</w:t>
      </w:r>
      <w:bookmarkEnd w:id="12"/>
      <w: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  <w:t>, simplified acute physiology score Ⅱ; CCI, Charlson comorbidity index; WBC, white blood cell; RDW, red cell distribution width; BUN, blood urea nitrogen; HR, heart rate; MBP, mean blood pressure; RR, respiratory rate; SpO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  <w:t xml:space="preserve">, saturation of pulse oximetry; MV, mechanical ventilation; RRT, renal replacement therapy. </w:t>
      </w: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  <w:drawing>
          <wp:inline distT="0" distB="0" distL="114300" distR="114300">
            <wp:extent cx="6652895" cy="2267585"/>
            <wp:effectExtent l="0" t="0" r="1905" b="5715"/>
            <wp:docPr id="3" name="图片 3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2895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</w:pPr>
      <w:bookmarkStart w:id="13" w:name="OLE_LINK13"/>
      <w:bookmarkStart w:id="14" w:name="OLE_LINK15"/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>Supplementary Fig.</w:t>
      </w:r>
      <w:bookmarkStart w:id="17" w:name="_GoBack"/>
      <w:bookmarkEnd w:id="17"/>
      <w:r>
        <w:rPr>
          <w:rFonts w:hint="eastAsia" w:ascii="Times New Roman" w:hAnsi="Times New Roman" w:cs="Times New Roman"/>
          <w:b/>
          <w:bCs/>
          <w:sz w:val="16"/>
          <w:szCs w:val="16"/>
          <w:highlight w:val="none"/>
          <w:lang w:val="en-US" w:eastAsia="zh-CN"/>
        </w:rPr>
        <w:t xml:space="preserve"> 2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 </w:t>
      </w:r>
      <w:bookmarkEnd w:id="13"/>
      <w:bookmarkStart w:id="15" w:name="OLE_LINK8"/>
      <w:r>
        <w:rPr>
          <w:rFonts w:ascii="Times New Roman" w:hAnsi="Times New Roman" w:cs="Times New Roman"/>
          <w:sz w:val="16"/>
          <w:szCs w:val="16"/>
          <w:highlight w:val="none"/>
        </w:rPr>
        <w:t>Multivariable-adjusted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</w:rPr>
        <w:t>restricted cubic spline analys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>es</w:t>
      </w:r>
      <w:r>
        <w:rPr>
          <w:rFonts w:ascii="Times New Roman" w:hAnsi="Times New Roman" w:cs="Times New Roman"/>
          <w:sz w:val="16"/>
          <w:szCs w:val="16"/>
          <w:highlight w:val="none"/>
        </w:rPr>
        <w:t xml:space="preserve"> of relationship between</w:t>
      </w:r>
      <w:r>
        <w:rPr>
          <w:rFonts w:hint="eastAsia" w:ascii="Times New Roman" w:hAnsi="Times New Roman" w:cs="Times New Roman"/>
          <w:sz w:val="16"/>
          <w:szCs w:val="16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BMI and all-cause mortality </w:t>
      </w:r>
      <w:bookmarkEnd w:id="15"/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>using complete dataset.</w:t>
      </w:r>
      <w:bookmarkEnd w:id="14"/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 The upper limit of the BMI is restricted to 99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vertAlign w:val="baseline"/>
          <w:lang w:val="en-US" w:eastAsia="zh-CN"/>
        </w:rPr>
        <w:t>th</w:t>
      </w:r>
      <w:r>
        <w:rPr>
          <w:rFonts w:hint="eastAsia" w:ascii="Times New Roman" w:hAnsi="Times New Roman" w:cs="Times New Roman"/>
          <w:b w:val="0"/>
          <w:bCs w:val="0"/>
          <w:sz w:val="16"/>
          <w:szCs w:val="16"/>
          <w:highlight w:val="none"/>
          <w:lang w:val="en-US" w:eastAsia="zh-CN"/>
        </w:rPr>
        <w:t xml:space="preserve">. The purple lines represent the estimated risk of all-cause mortality, and the gray bands represent the point-by-point 95% CI adjusted for covariates. HRs were adjusted for age, sex , race, </w:t>
      </w:r>
      <w:r>
        <w:rPr>
          <w:rFonts w:hint="eastAsia" w:ascii="Times New Roman" w:hAnsi="Times New Roman" w:eastAsia="微软雅黑" w:cs="Times New Roman"/>
          <w:sz w:val="16"/>
          <w:szCs w:val="16"/>
          <w:highlight w:val="none"/>
          <w:vertAlign w:val="baseline"/>
          <w:lang w:val="en-US" w:eastAsia="zh-CN"/>
        </w:rPr>
        <w:t>hypertension, diabetes, CHF, PVD,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erebrovascular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, CPD, r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enal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 xml:space="preserve">, liver disease, malignancy, sepsis, AKI, AHF, stroke, SOFA, 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 xml:space="preserve">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 xml:space="preserve">hemoglobin, WBC,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platelet, RDW, anion gap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, BUN, creatinine, glucose, HR, MBP, RR, SpO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highlight w:val="none"/>
          <w:u w:val="none"/>
          <w:lang w:val="en-US" w:eastAsia="zh-CN" w:bidi="ar"/>
        </w:rPr>
        <w:t>, antiplatelet agents, anticoagulant agents, ant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iarrhythmic agents, MV, RRT, and vasopressors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  <w:t>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sz w:val="16"/>
          <w:szCs w:val="16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Abbreviations: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BMI, body mass index; HR, hazard ratio; CI, confidence interval; </w:t>
      </w:r>
      <w:bookmarkStart w:id="16" w:name="OLE_LINK14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CHF,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congestive heart failure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PVD, peripheral vascular disease; CPD, c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hronic pulmonary disease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AKI, acute kidney injury; AHF, acute heart failure; SOFA,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sequential organ failure assessment;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SAPS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simplified acute physiology score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Ⅱ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; CCI, </w:t>
      </w:r>
      <w:r>
        <w:rPr>
          <w:rFonts w:hint="eastAsia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Charlson comorbidity index; WBC, white blood cell; RDW, red cell distribution width; BUN, 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lood urea nitrogen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; HR, heart rate; MBP, mean blood pressure; RR, respiratory rate; SpO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vertAlign w:val="subscript"/>
          <w:lang w:val="en-US" w:eastAsia="zh-CN" w:bidi="ar"/>
        </w:rPr>
        <w:t>2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, saturation of pulse oximetry; MV, mechanical ventilation; RRT, renal replacement therapy</w:t>
      </w:r>
      <w:bookmarkEnd w:id="16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.</w:t>
      </w: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sz w:val="16"/>
          <w:szCs w:val="16"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color w:val="000000"/>
          <w:kern w:val="0"/>
          <w:sz w:val="16"/>
          <w:szCs w:val="16"/>
          <w:lang w:val="en-US" w:eastAsia="zh-CN" w:bidi="ar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OTU0MTkyOWQwZjViOTk4YTRiN2U3ZTBlMGUwMDIifQ=="/>
    <w:docVar w:name="KY_MEDREF_DOCUID" w:val="{8AE0707E-3439-4B04-AAA6-7AD23231741D}"/>
    <w:docVar w:name="KY_MEDREF_VERSION" w:val="3"/>
  </w:docVars>
  <w:rsids>
    <w:rsidRoot w:val="00000000"/>
    <w:rsid w:val="040E415E"/>
    <w:rsid w:val="0A8D4582"/>
    <w:rsid w:val="0CDB4675"/>
    <w:rsid w:val="0F4E7DFD"/>
    <w:rsid w:val="0FA00B1D"/>
    <w:rsid w:val="0FD26705"/>
    <w:rsid w:val="10940925"/>
    <w:rsid w:val="155C080C"/>
    <w:rsid w:val="21F967B3"/>
    <w:rsid w:val="23E81925"/>
    <w:rsid w:val="24C26FA6"/>
    <w:rsid w:val="29E65DE9"/>
    <w:rsid w:val="29E663CA"/>
    <w:rsid w:val="2C0A09B9"/>
    <w:rsid w:val="336257A7"/>
    <w:rsid w:val="35661DED"/>
    <w:rsid w:val="3BC41DC5"/>
    <w:rsid w:val="3E0A17ED"/>
    <w:rsid w:val="3E1B1313"/>
    <w:rsid w:val="507761D2"/>
    <w:rsid w:val="53BA410B"/>
    <w:rsid w:val="56AF5501"/>
    <w:rsid w:val="596A4482"/>
    <w:rsid w:val="5C2D660D"/>
    <w:rsid w:val="60E40C85"/>
    <w:rsid w:val="61DB028D"/>
    <w:rsid w:val="62B463B4"/>
    <w:rsid w:val="64215A14"/>
    <w:rsid w:val="6B6603F1"/>
    <w:rsid w:val="6DFE5F85"/>
    <w:rsid w:val="6E0821B5"/>
    <w:rsid w:val="76A54454"/>
    <w:rsid w:val="7A6971D9"/>
    <w:rsid w:val="7D382B6C"/>
    <w:rsid w:val="7E5A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2142</Words>
  <Characters>11656</Characters>
  <Lines>0</Lines>
  <Paragraphs>0</Paragraphs>
  <TotalTime>13</TotalTime>
  <ScaleCrop>false</ScaleCrop>
  <LinksUpToDate>false</LinksUpToDate>
  <CharactersWithSpaces>13363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2022-12-16T16:00:00Z</dcterms:created>
  <dc:creator>YD157</dc:creator>
  <cp:lastModifiedBy>杨铎铎（duó)</cp:lastModifiedBy>
  <dcterms:modified xsi:type="dcterms:W3CDTF">2023-03-19T15:34:37Z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232EC2F35F2B40FBAE61E67233CFF3DF</vt:lpwstr>
  </property>
</Properties>
</file>