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FF9E5" w14:textId="75A8FB46" w:rsidR="00784EE1" w:rsidRPr="00583353" w:rsidRDefault="00784EE1" w:rsidP="00784EE1">
      <w:pPr>
        <w:spacing w:line="48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Supplementary t</w:t>
      </w:r>
      <w:r w:rsidRPr="00583353">
        <w:rPr>
          <w:rFonts w:ascii="Times New Roman" w:eastAsia="Calibri" w:hAnsi="Times New Roman" w:cs="Times New Roman"/>
          <w:b/>
          <w:bCs/>
          <w:sz w:val="20"/>
          <w:szCs w:val="20"/>
        </w:rPr>
        <w:t xml:space="preserve">able </w:t>
      </w:r>
      <w:r>
        <w:rPr>
          <w:rFonts w:ascii="Times New Roman" w:eastAsia="Calibri" w:hAnsi="Times New Roman" w:cs="Times New Roman"/>
          <w:b/>
          <w:bCs/>
          <w:sz w:val="20"/>
          <w:szCs w:val="20"/>
        </w:rPr>
        <w:t xml:space="preserve">II: </w:t>
      </w:r>
      <w:r w:rsidRPr="00583353">
        <w:rPr>
          <w:rFonts w:ascii="Times New Roman" w:eastAsia="Calibri" w:hAnsi="Times New Roman" w:cs="Times New Roman"/>
          <w:b/>
          <w:bCs/>
          <w:sz w:val="20"/>
          <w:szCs w:val="20"/>
        </w:rPr>
        <w:t xml:space="preserve"> Definitions of adverse events severity including level 3 Tiers </w:t>
      </w:r>
      <w:r>
        <w:rPr>
          <w:rFonts w:ascii="Times New Roman" w:eastAsia="Calibri" w:hAnsi="Times New Roman" w:cs="Times New Roman"/>
          <w:b/>
          <w:bCs/>
          <w:sz w:val="20"/>
          <w:szCs w:val="20"/>
        </w:rPr>
        <w:fldChar w:fldCharType="begin"/>
      </w:r>
      <w:r>
        <w:rPr>
          <w:rFonts w:ascii="Times New Roman" w:eastAsia="Calibri" w:hAnsi="Times New Roman" w:cs="Times New Roman"/>
          <w:b/>
          <w:bCs/>
          <w:sz w:val="20"/>
          <w:szCs w:val="20"/>
        </w:rPr>
        <w:instrText xml:space="preserve"> ADDIN EN.CITE &lt;EndNote&gt;&lt;Cite&gt;&lt;Author&gt;Quinn&lt;/Author&gt;&lt;Year&gt;2024&lt;/Year&gt;&lt;RecNum&gt;41&lt;/RecNum&gt;&lt;DisplayText&gt;(21)&lt;/DisplayText&gt;&lt;record&gt;&lt;rec-number&gt;41&lt;/rec-number&gt;&lt;foreign-keys&gt;&lt;key app="EN" db-id="2wffae5fxrpr09exfvg5d9ahr9dt99v2verx" timestamp="1719477726"&gt;41&lt;/key&gt;&lt;/foreign-keys&gt;&lt;ref-type name="Journal Article"&gt;17&lt;/ref-type&gt;&lt;contributors&gt;&lt;authors&gt;&lt;author&gt;Quinn, Brian P&lt;/author&gt;&lt;author&gt;Gunnelson, Lauren C&lt;/author&gt;&lt;author&gt;Kotin, Sarah G&lt;/author&gt;&lt;author&gt;Gauvreau, Kimberlee&lt;/author&gt;&lt;author&gt;Yeh, Mary J&lt;/author&gt;&lt;author&gt;Hasan, Babar&lt;/author&gt;&lt;author&gt;Lozier, John&lt;/author&gt;&lt;author&gt;Barry, Oliver M&lt;/author&gt;&lt;author&gt;Shahanavaz, Shabana&lt;/author&gt;&lt;author&gt;Batlivala, Sarosh P&lt;/author&gt;&lt;/authors&gt;&lt;/contributors&gt;&lt;titles&gt;&lt;title&gt;Catheterization for Congenital Heart Disease Adjustment for Risk Method II&lt;/title&gt;&lt;secondary-title&gt;Circulation: Cardiovascular Interventions&lt;/secondary-title&gt;&lt;/titles&gt;&lt;periodical&gt;&lt;full-title&gt;Circulation: Cardiovascular Interventions&lt;/full-title&gt;&lt;/periodical&gt;&lt;pages&gt;e012834&lt;/pages&gt;&lt;volume&gt;17&lt;/volume&gt;&lt;number&gt;3&lt;/number&gt;&lt;dates&gt;&lt;year&gt;2024&lt;/year&gt;&lt;/dates&gt;&lt;isbn&gt;1941-7632&lt;/isbn&gt;&lt;urls&gt;&lt;/urls&gt;&lt;/record&gt;&lt;/Cite&gt;&lt;/EndNote&gt;</w:instrText>
      </w:r>
      <w:r>
        <w:rPr>
          <w:rFonts w:ascii="Times New Roman" w:eastAsia="Calibri" w:hAnsi="Times New Roman" w:cs="Times New Roman"/>
          <w:b/>
          <w:bCs/>
          <w:sz w:val="20"/>
          <w:szCs w:val="20"/>
        </w:rPr>
        <w:fldChar w:fldCharType="separate"/>
      </w:r>
      <w:r>
        <w:rPr>
          <w:rFonts w:ascii="Times New Roman" w:eastAsia="Calibri" w:hAnsi="Times New Roman" w:cs="Times New Roman"/>
          <w:b/>
          <w:bCs/>
          <w:noProof/>
          <w:sz w:val="20"/>
          <w:szCs w:val="20"/>
        </w:rPr>
        <w:t>(21)</w:t>
      </w:r>
      <w:r>
        <w:rPr>
          <w:rFonts w:ascii="Times New Roman" w:eastAsia="Calibri" w:hAnsi="Times New Roman" w:cs="Times New Roman"/>
          <w:b/>
          <w:bCs/>
          <w:sz w:val="20"/>
          <w:szCs w:val="20"/>
        </w:rPr>
        <w:fldChar w:fldCharType="end"/>
      </w:r>
    </w:p>
    <w:tbl>
      <w:tblPr>
        <w:tblStyle w:val="TableGrid"/>
        <w:tblW w:w="10988" w:type="dxa"/>
        <w:tblInd w:w="-856" w:type="dxa"/>
        <w:tblLook w:val="04A0" w:firstRow="1" w:lastRow="0" w:firstColumn="1" w:lastColumn="0" w:noHBand="0" w:noVBand="1"/>
      </w:tblPr>
      <w:tblGrid>
        <w:gridCol w:w="2181"/>
        <w:gridCol w:w="8807"/>
      </w:tblGrid>
      <w:tr w:rsidR="00784EE1" w:rsidRPr="005F19DF" w14:paraId="66EB25A3" w14:textId="77777777" w:rsidTr="00784EE1">
        <w:trPr>
          <w:trHeight w:val="454"/>
        </w:trPr>
        <w:tc>
          <w:tcPr>
            <w:tcW w:w="2181" w:type="dxa"/>
          </w:tcPr>
          <w:p w14:paraId="40B29CF5" w14:textId="77777777" w:rsidR="00784EE1" w:rsidRPr="00BD6AE1" w:rsidRDefault="00784EE1" w:rsidP="00C97C8F">
            <w:pPr>
              <w:spacing w:after="160" w:line="259" w:lineRule="auto"/>
              <w:rPr>
                <w:rFonts w:ascii="Times New Roman" w:hAnsi="Times New Roman" w:cs="Times New Roman"/>
                <w:sz w:val="24"/>
                <w:szCs w:val="24"/>
              </w:rPr>
            </w:pPr>
            <w:r w:rsidRPr="00BD6AE1">
              <w:rPr>
                <w:rFonts w:ascii="Times New Roman" w:hAnsi="Times New Roman" w:cs="Times New Roman"/>
                <w:sz w:val="24"/>
                <w:szCs w:val="24"/>
              </w:rPr>
              <w:t xml:space="preserve">Severity Level </w:t>
            </w:r>
          </w:p>
        </w:tc>
        <w:tc>
          <w:tcPr>
            <w:tcW w:w="8807" w:type="dxa"/>
          </w:tcPr>
          <w:p w14:paraId="1F3C49E2" w14:textId="77777777" w:rsidR="00784EE1" w:rsidRPr="00BD6AE1" w:rsidRDefault="00784EE1" w:rsidP="00C97C8F">
            <w:pPr>
              <w:spacing w:after="160" w:line="259" w:lineRule="auto"/>
              <w:rPr>
                <w:rFonts w:ascii="Times New Roman" w:hAnsi="Times New Roman" w:cs="Times New Roman"/>
                <w:sz w:val="24"/>
                <w:szCs w:val="24"/>
              </w:rPr>
            </w:pPr>
            <w:r w:rsidRPr="00BD6AE1">
              <w:rPr>
                <w:rFonts w:ascii="Times New Roman" w:hAnsi="Times New Roman" w:cs="Times New Roman"/>
                <w:sz w:val="24"/>
                <w:szCs w:val="24"/>
              </w:rPr>
              <w:t xml:space="preserve">Definition </w:t>
            </w:r>
          </w:p>
        </w:tc>
      </w:tr>
      <w:tr w:rsidR="00784EE1" w:rsidRPr="005F19DF" w14:paraId="254F4540" w14:textId="77777777" w:rsidTr="00784EE1">
        <w:trPr>
          <w:trHeight w:val="757"/>
        </w:trPr>
        <w:tc>
          <w:tcPr>
            <w:tcW w:w="2181" w:type="dxa"/>
          </w:tcPr>
          <w:p w14:paraId="660FC371" w14:textId="77777777" w:rsidR="00784EE1" w:rsidRPr="00BD6AE1" w:rsidRDefault="00784EE1" w:rsidP="00C97C8F">
            <w:pPr>
              <w:spacing w:after="160" w:line="259" w:lineRule="auto"/>
              <w:rPr>
                <w:rFonts w:ascii="Times New Roman" w:hAnsi="Times New Roman" w:cs="Times New Roman"/>
                <w:sz w:val="24"/>
                <w:szCs w:val="24"/>
              </w:rPr>
            </w:pPr>
            <w:r w:rsidRPr="00BD6AE1">
              <w:rPr>
                <w:rFonts w:ascii="Times New Roman" w:hAnsi="Times New Roman" w:cs="Times New Roman"/>
                <w:sz w:val="24"/>
                <w:szCs w:val="24"/>
              </w:rPr>
              <w:t>Level 1: None</w:t>
            </w:r>
          </w:p>
        </w:tc>
        <w:tc>
          <w:tcPr>
            <w:tcW w:w="8807" w:type="dxa"/>
          </w:tcPr>
          <w:p w14:paraId="05C9AF1B" w14:textId="77777777" w:rsidR="00784EE1" w:rsidRPr="00BD6AE1" w:rsidRDefault="00784EE1" w:rsidP="00C97C8F">
            <w:pPr>
              <w:spacing w:after="160" w:line="259" w:lineRule="auto"/>
              <w:rPr>
                <w:rFonts w:ascii="Times New Roman" w:hAnsi="Times New Roman" w:cs="Times New Roman"/>
                <w:sz w:val="24"/>
                <w:szCs w:val="24"/>
              </w:rPr>
            </w:pPr>
            <w:r w:rsidRPr="00BD6AE1">
              <w:rPr>
                <w:rFonts w:ascii="Times New Roman" w:hAnsi="Times New Roman" w:cs="Times New Roman"/>
                <w:sz w:val="24"/>
                <w:szCs w:val="24"/>
              </w:rPr>
              <w:t>No harm, no change in condition, may have required monitoring to assess for potential change in condition with no intervention indicated</w:t>
            </w:r>
          </w:p>
        </w:tc>
      </w:tr>
      <w:tr w:rsidR="00784EE1" w:rsidRPr="005F19DF" w14:paraId="094F5BD3" w14:textId="77777777" w:rsidTr="00784EE1">
        <w:trPr>
          <w:trHeight w:val="1060"/>
        </w:trPr>
        <w:tc>
          <w:tcPr>
            <w:tcW w:w="2181" w:type="dxa"/>
          </w:tcPr>
          <w:p w14:paraId="6D2062B1" w14:textId="77777777" w:rsidR="00784EE1" w:rsidRPr="00BD6AE1" w:rsidRDefault="00784EE1" w:rsidP="00C97C8F">
            <w:pPr>
              <w:spacing w:after="160" w:line="259" w:lineRule="auto"/>
              <w:rPr>
                <w:rFonts w:ascii="Times New Roman" w:hAnsi="Times New Roman" w:cs="Times New Roman"/>
                <w:sz w:val="24"/>
                <w:szCs w:val="24"/>
              </w:rPr>
            </w:pPr>
            <w:r w:rsidRPr="00BD6AE1">
              <w:rPr>
                <w:rFonts w:ascii="Times New Roman" w:hAnsi="Times New Roman" w:cs="Times New Roman"/>
                <w:sz w:val="24"/>
                <w:szCs w:val="24"/>
              </w:rPr>
              <w:t>Level2: Minor</w:t>
            </w:r>
          </w:p>
        </w:tc>
        <w:tc>
          <w:tcPr>
            <w:tcW w:w="8807" w:type="dxa"/>
          </w:tcPr>
          <w:p w14:paraId="0E771438" w14:textId="77777777" w:rsidR="00784EE1" w:rsidRPr="00BD6AE1" w:rsidRDefault="00784EE1" w:rsidP="00C97C8F">
            <w:pPr>
              <w:spacing w:after="160" w:line="259" w:lineRule="auto"/>
              <w:rPr>
                <w:rFonts w:ascii="Times New Roman" w:hAnsi="Times New Roman" w:cs="Times New Roman"/>
                <w:sz w:val="24"/>
                <w:szCs w:val="24"/>
              </w:rPr>
            </w:pPr>
            <w:r w:rsidRPr="00BD6AE1">
              <w:rPr>
                <w:rFonts w:ascii="Times New Roman" w:hAnsi="Times New Roman" w:cs="Times New Roman"/>
                <w:sz w:val="24"/>
                <w:szCs w:val="24"/>
              </w:rPr>
              <w:t xml:space="preserve">Transient change in condition, not life-threatening, condition returns to baseline, required monitoring, required minor intervention such as holding a medication, or obtaining </w:t>
            </w:r>
            <w:r>
              <w:rPr>
                <w:rFonts w:ascii="Times New Roman" w:hAnsi="Times New Roman" w:cs="Times New Roman"/>
                <w:sz w:val="24"/>
                <w:szCs w:val="24"/>
              </w:rPr>
              <w:t xml:space="preserve">a </w:t>
            </w:r>
            <w:r w:rsidRPr="00BD6AE1">
              <w:rPr>
                <w:rFonts w:ascii="Times New Roman" w:hAnsi="Times New Roman" w:cs="Times New Roman"/>
                <w:sz w:val="24"/>
                <w:szCs w:val="24"/>
              </w:rPr>
              <w:t>lab</w:t>
            </w:r>
            <w:r>
              <w:rPr>
                <w:rFonts w:ascii="Times New Roman" w:hAnsi="Times New Roman" w:cs="Times New Roman"/>
                <w:sz w:val="24"/>
                <w:szCs w:val="24"/>
              </w:rPr>
              <w:t>oratory</w:t>
            </w:r>
            <w:r w:rsidRPr="00BD6AE1">
              <w:rPr>
                <w:rFonts w:ascii="Times New Roman" w:hAnsi="Times New Roman" w:cs="Times New Roman"/>
                <w:sz w:val="24"/>
                <w:szCs w:val="24"/>
              </w:rPr>
              <w:t xml:space="preserve"> test.</w:t>
            </w:r>
          </w:p>
        </w:tc>
      </w:tr>
      <w:tr w:rsidR="00784EE1" w:rsidRPr="005F19DF" w14:paraId="0A8C16B5" w14:textId="77777777" w:rsidTr="00784EE1">
        <w:trPr>
          <w:trHeight w:val="1363"/>
        </w:trPr>
        <w:tc>
          <w:tcPr>
            <w:tcW w:w="2181" w:type="dxa"/>
          </w:tcPr>
          <w:p w14:paraId="448258F6" w14:textId="77777777" w:rsidR="00784EE1" w:rsidRPr="00BD6AE1" w:rsidRDefault="00784EE1" w:rsidP="00C97C8F">
            <w:pPr>
              <w:spacing w:after="160" w:line="259" w:lineRule="auto"/>
              <w:rPr>
                <w:rFonts w:ascii="Times New Roman" w:hAnsi="Times New Roman" w:cs="Times New Roman"/>
                <w:sz w:val="24"/>
                <w:szCs w:val="24"/>
              </w:rPr>
            </w:pPr>
            <w:r w:rsidRPr="00BD6AE1">
              <w:rPr>
                <w:rFonts w:ascii="Times New Roman" w:hAnsi="Times New Roman" w:cs="Times New Roman"/>
                <w:sz w:val="24"/>
                <w:szCs w:val="24"/>
              </w:rPr>
              <w:t>Level 3: Moderate</w:t>
            </w:r>
          </w:p>
        </w:tc>
        <w:tc>
          <w:tcPr>
            <w:tcW w:w="8807" w:type="dxa"/>
          </w:tcPr>
          <w:p w14:paraId="579BAEC1" w14:textId="77777777" w:rsidR="00784EE1" w:rsidRPr="00BD6AE1" w:rsidRDefault="00784EE1" w:rsidP="00C97C8F">
            <w:pPr>
              <w:spacing w:after="160" w:line="259" w:lineRule="auto"/>
              <w:rPr>
                <w:rFonts w:ascii="Times New Roman" w:hAnsi="Times New Roman" w:cs="Times New Roman"/>
                <w:sz w:val="24"/>
                <w:szCs w:val="24"/>
              </w:rPr>
            </w:pPr>
            <w:r w:rsidRPr="00BD6AE1">
              <w:rPr>
                <w:rFonts w:ascii="Times New Roman" w:hAnsi="Times New Roman" w:cs="Times New Roman"/>
                <w:sz w:val="24"/>
                <w:szCs w:val="24"/>
              </w:rPr>
              <w:t>Transient change in condition may be life threatening if not treated, condition returns to baseline, required monitoring, required intervention such as reversal agent, additional medication, transfer to the intensive care unit for monitoring, or moderate transcatheter intervention to correct condition</w:t>
            </w:r>
          </w:p>
        </w:tc>
      </w:tr>
      <w:tr w:rsidR="00784EE1" w:rsidRPr="005F19DF" w14:paraId="1B479FC2" w14:textId="77777777" w:rsidTr="00784EE1">
        <w:trPr>
          <w:trHeight w:val="832"/>
        </w:trPr>
        <w:tc>
          <w:tcPr>
            <w:tcW w:w="2181" w:type="dxa"/>
          </w:tcPr>
          <w:p w14:paraId="3B4FC325" w14:textId="77777777" w:rsidR="00784EE1" w:rsidRPr="00BD6AE1" w:rsidRDefault="00784EE1" w:rsidP="00C97C8F">
            <w:pPr>
              <w:rPr>
                <w:rFonts w:ascii="Times New Roman" w:hAnsi="Times New Roman" w:cs="Times New Roman"/>
                <w:sz w:val="24"/>
                <w:szCs w:val="24"/>
              </w:rPr>
            </w:pPr>
            <w:r w:rsidRPr="00BD6AE1">
              <w:rPr>
                <w:rFonts w:ascii="Times New Roman" w:hAnsi="Times New Roman" w:cs="Times New Roman"/>
                <w:sz w:val="24"/>
                <w:szCs w:val="24"/>
              </w:rPr>
              <w:t>3a</w:t>
            </w:r>
          </w:p>
        </w:tc>
        <w:tc>
          <w:tcPr>
            <w:tcW w:w="8807" w:type="dxa"/>
          </w:tcPr>
          <w:p w14:paraId="7DFE2E6A" w14:textId="77777777" w:rsidR="00784EE1" w:rsidRPr="00BD6AE1" w:rsidRDefault="00784EE1" w:rsidP="00C97C8F">
            <w:pPr>
              <w:rPr>
                <w:rFonts w:ascii="Times New Roman" w:hAnsi="Times New Roman" w:cs="Times New Roman"/>
                <w:sz w:val="24"/>
                <w:szCs w:val="24"/>
              </w:rPr>
            </w:pPr>
            <w:r w:rsidRPr="00BD6AE1">
              <w:rPr>
                <w:rFonts w:ascii="Times New Roman" w:hAnsi="Times New Roman" w:cs="Times New Roman"/>
                <w:sz w:val="24"/>
                <w:szCs w:val="24"/>
              </w:rPr>
              <w:t xml:space="preserve">Event resulting in minimal impact to patient’s hemodynamics or condition, requires minor medical or transcatheter therapy to completely reverse condition with little risk of any long-term impact. </w:t>
            </w:r>
          </w:p>
        </w:tc>
      </w:tr>
      <w:tr w:rsidR="00784EE1" w:rsidRPr="005F19DF" w14:paraId="582F441B" w14:textId="77777777" w:rsidTr="00784EE1">
        <w:trPr>
          <w:trHeight w:val="545"/>
        </w:trPr>
        <w:tc>
          <w:tcPr>
            <w:tcW w:w="2181" w:type="dxa"/>
          </w:tcPr>
          <w:p w14:paraId="25C883B6" w14:textId="77777777" w:rsidR="00784EE1" w:rsidRPr="00BD6AE1" w:rsidRDefault="00784EE1" w:rsidP="00C97C8F">
            <w:pPr>
              <w:rPr>
                <w:rFonts w:ascii="Times New Roman" w:hAnsi="Times New Roman" w:cs="Times New Roman"/>
                <w:sz w:val="24"/>
                <w:szCs w:val="24"/>
              </w:rPr>
            </w:pPr>
            <w:r w:rsidRPr="00BD6AE1">
              <w:rPr>
                <w:rFonts w:ascii="Times New Roman" w:hAnsi="Times New Roman" w:cs="Times New Roman"/>
                <w:sz w:val="24"/>
                <w:szCs w:val="24"/>
              </w:rPr>
              <w:t>3b</w:t>
            </w:r>
          </w:p>
        </w:tc>
        <w:tc>
          <w:tcPr>
            <w:tcW w:w="8807" w:type="dxa"/>
          </w:tcPr>
          <w:p w14:paraId="1871935E" w14:textId="77777777" w:rsidR="00784EE1" w:rsidRPr="00BD6AE1" w:rsidRDefault="00784EE1" w:rsidP="00C97C8F">
            <w:pPr>
              <w:rPr>
                <w:rFonts w:ascii="Times New Roman" w:hAnsi="Times New Roman" w:cs="Times New Roman"/>
                <w:sz w:val="24"/>
                <w:szCs w:val="24"/>
              </w:rPr>
            </w:pPr>
            <w:r w:rsidRPr="00BD6AE1">
              <w:rPr>
                <w:rFonts w:ascii="Times New Roman" w:hAnsi="Times New Roman" w:cs="Times New Roman"/>
                <w:sz w:val="24"/>
                <w:szCs w:val="24"/>
              </w:rPr>
              <w:t>Transient event that results in moderate change in baseline hemodynamics or condition requiring moderate medical or transcatheter therapy to treat the condition.</w:t>
            </w:r>
          </w:p>
        </w:tc>
      </w:tr>
      <w:tr w:rsidR="00784EE1" w:rsidRPr="005F19DF" w14:paraId="5A77A371" w14:textId="77777777" w:rsidTr="00784EE1">
        <w:trPr>
          <w:trHeight w:val="1393"/>
        </w:trPr>
        <w:tc>
          <w:tcPr>
            <w:tcW w:w="2181" w:type="dxa"/>
          </w:tcPr>
          <w:p w14:paraId="28549A2D" w14:textId="77777777" w:rsidR="00784EE1" w:rsidRPr="00BD6AE1" w:rsidRDefault="00784EE1" w:rsidP="00C97C8F">
            <w:pPr>
              <w:rPr>
                <w:rFonts w:ascii="Times New Roman" w:hAnsi="Times New Roman" w:cs="Times New Roman"/>
                <w:sz w:val="24"/>
                <w:szCs w:val="24"/>
              </w:rPr>
            </w:pPr>
            <w:r w:rsidRPr="00BD6AE1">
              <w:rPr>
                <w:rFonts w:ascii="Times New Roman" w:hAnsi="Times New Roman" w:cs="Times New Roman"/>
                <w:sz w:val="24"/>
                <w:szCs w:val="24"/>
              </w:rPr>
              <w:t>3c</w:t>
            </w:r>
          </w:p>
        </w:tc>
        <w:tc>
          <w:tcPr>
            <w:tcW w:w="8807" w:type="dxa"/>
          </w:tcPr>
          <w:p w14:paraId="50AB6612" w14:textId="77777777" w:rsidR="00784EE1" w:rsidRPr="00BD6AE1" w:rsidRDefault="00784EE1" w:rsidP="00C97C8F">
            <w:pPr>
              <w:rPr>
                <w:rFonts w:ascii="Times New Roman" w:hAnsi="Times New Roman" w:cs="Times New Roman"/>
                <w:sz w:val="24"/>
                <w:szCs w:val="24"/>
              </w:rPr>
            </w:pPr>
            <w:r w:rsidRPr="00BD6AE1">
              <w:rPr>
                <w:rFonts w:ascii="Times New Roman" w:hAnsi="Times New Roman" w:cs="Times New Roman"/>
                <w:sz w:val="24"/>
                <w:szCs w:val="24"/>
              </w:rPr>
              <w:t>Event resulting in significant impact to patient’s baseline hemodynamics or condition requiring major medical therapy or complex transcatheter intervention. May require intensive care unit admission for invasive monitoring or prolonged need for medical or ventilatory support. May result in a life-threatening event if intensive therapy is unable to promptly rescue the patient, preventing a major or catastrophic event from occurring.</w:t>
            </w:r>
          </w:p>
        </w:tc>
      </w:tr>
      <w:tr w:rsidR="00784EE1" w:rsidRPr="005F19DF" w14:paraId="6423F007" w14:textId="77777777" w:rsidTr="00784EE1">
        <w:trPr>
          <w:trHeight w:val="1650"/>
        </w:trPr>
        <w:tc>
          <w:tcPr>
            <w:tcW w:w="2181" w:type="dxa"/>
          </w:tcPr>
          <w:p w14:paraId="3AC61D43" w14:textId="77777777" w:rsidR="00784EE1" w:rsidRPr="00BD6AE1" w:rsidRDefault="00784EE1" w:rsidP="00C97C8F">
            <w:pPr>
              <w:spacing w:after="160" w:line="259" w:lineRule="auto"/>
              <w:rPr>
                <w:rFonts w:ascii="Times New Roman" w:hAnsi="Times New Roman" w:cs="Times New Roman"/>
                <w:sz w:val="24"/>
                <w:szCs w:val="24"/>
              </w:rPr>
            </w:pPr>
            <w:r w:rsidRPr="00BD6AE1">
              <w:rPr>
                <w:rFonts w:ascii="Times New Roman" w:hAnsi="Times New Roman" w:cs="Times New Roman"/>
                <w:sz w:val="24"/>
                <w:szCs w:val="24"/>
              </w:rPr>
              <w:t>Level 4: Major</w:t>
            </w:r>
          </w:p>
        </w:tc>
        <w:tc>
          <w:tcPr>
            <w:tcW w:w="8807" w:type="dxa"/>
          </w:tcPr>
          <w:p w14:paraId="5D5D6CCE" w14:textId="77777777" w:rsidR="00784EE1" w:rsidRPr="00BD6AE1" w:rsidRDefault="00784EE1" w:rsidP="00C97C8F">
            <w:pPr>
              <w:spacing w:after="160" w:line="259" w:lineRule="auto"/>
              <w:rPr>
                <w:rFonts w:ascii="Times New Roman" w:hAnsi="Times New Roman" w:cs="Times New Roman"/>
                <w:sz w:val="24"/>
                <w:szCs w:val="24"/>
              </w:rPr>
            </w:pPr>
            <w:r w:rsidRPr="00BD6AE1">
              <w:rPr>
                <w:rFonts w:ascii="Times New Roman" w:hAnsi="Times New Roman" w:cs="Times New Roman"/>
                <w:sz w:val="24"/>
                <w:szCs w:val="24"/>
              </w:rPr>
              <w:t>Change in the patient’s clinical condition, which is life-threatening and requires intense medical therapy, cardiopulmonary resuscitation, or major invasive transcatheter or urgent/emergent surgical intervention to treat the condition. May also result in unplanned cardiopulmonary support in form of</w:t>
            </w:r>
            <w:r>
              <w:rPr>
                <w:rFonts w:ascii="Times New Roman" w:hAnsi="Times New Roman" w:cs="Times New Roman"/>
                <w:sz w:val="24"/>
                <w:szCs w:val="24"/>
              </w:rPr>
              <w:t xml:space="preserve"> </w:t>
            </w:r>
            <w:r w:rsidRPr="00BD6AE1">
              <w:rPr>
                <w:rFonts w:ascii="Times New Roman" w:hAnsi="Times New Roman" w:cs="Times New Roman"/>
                <w:sz w:val="24"/>
                <w:szCs w:val="24"/>
              </w:rPr>
              <w:t>ECMO to prevent a catastrophic event from occurring.</w:t>
            </w:r>
          </w:p>
        </w:tc>
      </w:tr>
      <w:tr w:rsidR="00784EE1" w:rsidRPr="005F19DF" w14:paraId="624C820E" w14:textId="77777777" w:rsidTr="00784EE1">
        <w:trPr>
          <w:trHeight w:val="1226"/>
        </w:trPr>
        <w:tc>
          <w:tcPr>
            <w:tcW w:w="2181" w:type="dxa"/>
          </w:tcPr>
          <w:p w14:paraId="51BC2A89" w14:textId="77777777" w:rsidR="00784EE1" w:rsidRPr="00BD6AE1" w:rsidRDefault="00784EE1" w:rsidP="00C97C8F">
            <w:pPr>
              <w:spacing w:after="160" w:line="259" w:lineRule="auto"/>
              <w:rPr>
                <w:rFonts w:ascii="Times New Roman" w:hAnsi="Times New Roman" w:cs="Times New Roman"/>
                <w:sz w:val="24"/>
                <w:szCs w:val="24"/>
              </w:rPr>
            </w:pPr>
            <w:r w:rsidRPr="00BD6AE1">
              <w:rPr>
                <w:rFonts w:ascii="Times New Roman" w:hAnsi="Times New Roman" w:cs="Times New Roman"/>
                <w:sz w:val="24"/>
                <w:szCs w:val="24"/>
              </w:rPr>
              <w:t xml:space="preserve"> Level 5: Catastrophic </w:t>
            </w:r>
          </w:p>
        </w:tc>
        <w:tc>
          <w:tcPr>
            <w:tcW w:w="8807" w:type="dxa"/>
          </w:tcPr>
          <w:p w14:paraId="3AB8BC7C" w14:textId="77777777" w:rsidR="00784EE1" w:rsidRPr="00BD6AE1" w:rsidRDefault="00784EE1" w:rsidP="00C97C8F">
            <w:pPr>
              <w:spacing w:after="160" w:line="259" w:lineRule="auto"/>
              <w:rPr>
                <w:rFonts w:ascii="Times New Roman" w:hAnsi="Times New Roman" w:cs="Times New Roman"/>
                <w:sz w:val="24"/>
                <w:szCs w:val="24"/>
              </w:rPr>
            </w:pPr>
            <w:r w:rsidRPr="00BD6AE1">
              <w:rPr>
                <w:rFonts w:ascii="Times New Roman" w:hAnsi="Times New Roman" w:cs="Times New Roman"/>
                <w:sz w:val="24"/>
                <w:szCs w:val="24"/>
              </w:rPr>
              <w:t xml:space="preserve">Any death, and emergent surgery, or heart lung bypass support </w:t>
            </w:r>
            <w:r>
              <w:rPr>
                <w:rFonts w:ascii="Times New Roman" w:hAnsi="Times New Roman" w:cs="Times New Roman"/>
                <w:sz w:val="24"/>
                <w:szCs w:val="24"/>
              </w:rPr>
              <w:t>(</w:t>
            </w:r>
            <w:r w:rsidRPr="00BD6AE1">
              <w:rPr>
                <w:rFonts w:ascii="Times New Roman" w:hAnsi="Times New Roman" w:cs="Times New Roman"/>
                <w:sz w:val="24"/>
                <w:szCs w:val="24"/>
              </w:rPr>
              <w:t>ECMO) to prevent death with failure to wean from bypass support.</w:t>
            </w:r>
          </w:p>
          <w:p w14:paraId="5C23BE68" w14:textId="77777777" w:rsidR="00784EE1" w:rsidRPr="00BD6AE1" w:rsidRDefault="00784EE1" w:rsidP="00C97C8F">
            <w:pPr>
              <w:spacing w:after="160" w:line="259" w:lineRule="auto"/>
              <w:rPr>
                <w:rFonts w:ascii="Times New Roman" w:hAnsi="Times New Roman" w:cs="Times New Roman"/>
                <w:sz w:val="24"/>
                <w:szCs w:val="24"/>
              </w:rPr>
            </w:pPr>
          </w:p>
        </w:tc>
      </w:tr>
    </w:tbl>
    <w:p w14:paraId="2C2650F8" w14:textId="77777777" w:rsidR="00784EE1" w:rsidRDefault="00784EE1" w:rsidP="00784EE1">
      <w:pPr>
        <w:spacing w:line="48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Source: </w:t>
      </w:r>
      <w:r w:rsidRPr="003C2EF0">
        <w:rPr>
          <w:rFonts w:ascii="Times New Roman" w:eastAsia="Calibri" w:hAnsi="Times New Roman" w:cs="Times New Roman"/>
          <w:sz w:val="20"/>
          <w:szCs w:val="20"/>
        </w:rPr>
        <w:t xml:space="preserve">Quinn BP, </w:t>
      </w:r>
      <w:proofErr w:type="spellStart"/>
      <w:r w:rsidRPr="003C2EF0">
        <w:rPr>
          <w:rFonts w:ascii="Times New Roman" w:eastAsia="Calibri" w:hAnsi="Times New Roman" w:cs="Times New Roman"/>
          <w:sz w:val="20"/>
          <w:szCs w:val="20"/>
        </w:rPr>
        <w:t>Gunnelson</w:t>
      </w:r>
      <w:proofErr w:type="spellEnd"/>
      <w:r w:rsidRPr="003C2EF0">
        <w:rPr>
          <w:rFonts w:ascii="Times New Roman" w:eastAsia="Calibri" w:hAnsi="Times New Roman" w:cs="Times New Roman"/>
          <w:sz w:val="20"/>
          <w:szCs w:val="20"/>
        </w:rPr>
        <w:t xml:space="preserve"> LC, Kotin SG, Gauvreau K, Yeh MJ, Hasan B, et al. Catheterization for Congenital Heart Disease Adjustment for Risk Method II. Circulation: Cardiovascular Interventions. 2024;17(3): e012834</w:t>
      </w:r>
    </w:p>
    <w:p w14:paraId="54FCF390" w14:textId="77777777" w:rsidR="00784EE1" w:rsidRDefault="00784EE1" w:rsidP="00784EE1">
      <w:pPr>
        <w:spacing w:line="48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ECMO = </w:t>
      </w:r>
      <w:r w:rsidRPr="00901CFE">
        <w:rPr>
          <w:rFonts w:ascii="Times New Roman" w:eastAsia="Calibri" w:hAnsi="Times New Roman" w:cs="Times New Roman"/>
          <w:sz w:val="20"/>
          <w:szCs w:val="20"/>
        </w:rPr>
        <w:t>Extracorporeal membrane oxygenatio</w:t>
      </w:r>
      <w:r>
        <w:rPr>
          <w:rFonts w:ascii="Times New Roman" w:eastAsia="Calibri" w:hAnsi="Times New Roman" w:cs="Times New Roman"/>
          <w:sz w:val="20"/>
          <w:szCs w:val="20"/>
        </w:rPr>
        <w:t>n</w:t>
      </w:r>
    </w:p>
    <w:p w14:paraId="504094C6" w14:textId="77777777" w:rsidR="00B67D1D" w:rsidRDefault="00B67D1D"/>
    <w:sectPr w:rsidR="00B67D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EE1"/>
    <w:rsid w:val="001F0F26"/>
    <w:rsid w:val="00784EE1"/>
    <w:rsid w:val="00B67D1D"/>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58567"/>
  <w15:chartTrackingRefBased/>
  <w15:docId w15:val="{FA0E9CC8-0177-41E5-BEEC-7064B61DE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EE1"/>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4EE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524</Words>
  <Characters>2992</Characters>
  <Application>Microsoft Office Word</Application>
  <DocSecurity>0</DocSecurity>
  <Lines>24</Lines>
  <Paragraphs>7</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MBABAZI NESTOR</dc:creator>
  <cp:keywords/>
  <dc:description/>
  <cp:lastModifiedBy>DR MBABAZI NESTOR</cp:lastModifiedBy>
  <cp:revision>1</cp:revision>
  <dcterms:created xsi:type="dcterms:W3CDTF">2024-07-26T01:04:00Z</dcterms:created>
  <dcterms:modified xsi:type="dcterms:W3CDTF">2024-07-26T01:05:00Z</dcterms:modified>
</cp:coreProperties>
</file>