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DEBB7" w14:textId="08C175BB" w:rsidR="00AF4739" w:rsidRDefault="00AF4739" w:rsidP="00AF4739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AF4739">
        <w:rPr>
          <w:rFonts w:ascii="Times New Roman" w:hAnsi="Times New Roman" w:cs="Times New Roman"/>
          <w:b/>
          <w:bCs/>
          <w:color w:val="000000"/>
          <w:sz w:val="32"/>
          <w:szCs w:val="32"/>
        </w:rPr>
        <w:t>Supplemental materials</w:t>
      </w:r>
    </w:p>
    <w:p w14:paraId="2D01AE9C" w14:textId="77777777" w:rsidR="00AF4739" w:rsidRPr="00AF4739" w:rsidRDefault="00AF4739" w:rsidP="00AF4739">
      <w:pPr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7757794E" w14:textId="78AF66F6" w:rsidR="00AF4739" w:rsidRDefault="00AF4739" w:rsidP="00AF473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5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Supplementa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Pr="00B855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Figure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1: </w:t>
      </w:r>
      <w:r w:rsidRPr="002E1828">
        <w:rPr>
          <w:rFonts w:ascii="Times New Roman" w:hAnsi="Times New Roman" w:cs="Times New Roman"/>
          <w:color w:val="000000"/>
          <w:sz w:val="24"/>
          <w:szCs w:val="24"/>
        </w:rPr>
        <w:t>Distributions of propensity scores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(PS)</w:t>
      </w:r>
      <w:r w:rsidRPr="002E1828">
        <w:rPr>
          <w:rFonts w:ascii="Times New Roman" w:hAnsi="Times New Roman" w:cs="Times New Roman"/>
          <w:color w:val="000000"/>
          <w:sz w:val="24"/>
          <w:szCs w:val="24"/>
        </w:rPr>
        <w:t xml:space="preserve"> in both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SEMA and control </w:t>
      </w:r>
      <w:r w:rsidRPr="002E1828">
        <w:rPr>
          <w:rFonts w:ascii="Times New Roman" w:hAnsi="Times New Roman" w:cs="Times New Roman"/>
          <w:color w:val="000000"/>
          <w:sz w:val="24"/>
          <w:szCs w:val="24"/>
        </w:rPr>
        <w:t>groups (A) before and (B) after matching.</w:t>
      </w:r>
    </w:p>
    <w:p w14:paraId="73139651" w14:textId="77777777" w:rsidR="00285536" w:rsidRPr="002E1828" w:rsidRDefault="00285536" w:rsidP="00AF473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C36CFC" w14:textId="324105D0" w:rsidR="00AF4739" w:rsidRDefault="00285536" w:rsidP="00AF4739">
      <w:pPr>
        <w:rPr>
          <w:color w:val="000000"/>
          <w:szCs w:val="24"/>
        </w:rPr>
      </w:pPr>
      <w:r>
        <w:rPr>
          <w:noProof/>
        </w:rPr>
        <w:drawing>
          <wp:inline distT="0" distB="0" distL="0" distR="0" wp14:anchorId="7226FA3E" wp14:editId="634F5287">
            <wp:extent cx="5760720" cy="2138680"/>
            <wp:effectExtent l="0" t="0" r="0" b="0"/>
            <wp:docPr id="296839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3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8E1DA" w14:textId="77777777" w:rsidR="00AF4739" w:rsidRDefault="00AF4739" w:rsidP="00AF4739">
      <w:pPr>
        <w:rPr>
          <w:color w:val="000000"/>
          <w:szCs w:val="24"/>
        </w:rPr>
      </w:pPr>
    </w:p>
    <w:p w14:paraId="473D4E06" w14:textId="77777777" w:rsidR="00AF4739" w:rsidRDefault="00AF4739" w:rsidP="00AF4739">
      <w:pPr>
        <w:rPr>
          <w:color w:val="000000"/>
          <w:szCs w:val="24"/>
        </w:rPr>
      </w:pPr>
    </w:p>
    <w:p w14:paraId="15E71041" w14:textId="77777777" w:rsidR="00AF4739" w:rsidRDefault="00AF4739" w:rsidP="00AF4739">
      <w:pPr>
        <w:rPr>
          <w:color w:val="000000"/>
          <w:szCs w:val="24"/>
        </w:rPr>
      </w:pPr>
    </w:p>
    <w:p w14:paraId="5C673972" w14:textId="77777777" w:rsidR="00AF4739" w:rsidRDefault="00AF4739" w:rsidP="00AF4739">
      <w:pPr>
        <w:rPr>
          <w:color w:val="000000"/>
          <w:szCs w:val="24"/>
        </w:rPr>
      </w:pPr>
    </w:p>
    <w:p w14:paraId="7F13AE37" w14:textId="77777777" w:rsidR="00AF4739" w:rsidRDefault="00AF4739" w:rsidP="00AF4739">
      <w:pPr>
        <w:rPr>
          <w:color w:val="000000"/>
          <w:szCs w:val="24"/>
        </w:rPr>
      </w:pPr>
    </w:p>
    <w:p w14:paraId="310F7216" w14:textId="77777777" w:rsidR="00AF4739" w:rsidRDefault="00AF4739" w:rsidP="00AF4739">
      <w:pPr>
        <w:rPr>
          <w:color w:val="000000"/>
          <w:szCs w:val="24"/>
        </w:rPr>
      </w:pPr>
    </w:p>
    <w:p w14:paraId="38988471" w14:textId="77777777" w:rsidR="00AF4739" w:rsidRDefault="00AF4739" w:rsidP="00AF4739">
      <w:pPr>
        <w:rPr>
          <w:color w:val="000000"/>
          <w:szCs w:val="24"/>
        </w:rPr>
      </w:pPr>
    </w:p>
    <w:p w14:paraId="4E1DC3B5" w14:textId="77777777" w:rsidR="00AF4739" w:rsidRDefault="00AF4739" w:rsidP="00AF4739">
      <w:pPr>
        <w:rPr>
          <w:color w:val="000000"/>
          <w:szCs w:val="24"/>
        </w:rPr>
      </w:pPr>
    </w:p>
    <w:p w14:paraId="66E9DCBB" w14:textId="77777777" w:rsidR="00AF4739" w:rsidRDefault="00AF4739" w:rsidP="00AF4739">
      <w:pPr>
        <w:rPr>
          <w:color w:val="000000"/>
          <w:szCs w:val="24"/>
        </w:rPr>
      </w:pPr>
    </w:p>
    <w:p w14:paraId="65CBAF83" w14:textId="77777777" w:rsidR="00285536" w:rsidRDefault="00285536" w:rsidP="00AF4739">
      <w:pPr>
        <w:rPr>
          <w:color w:val="000000"/>
          <w:szCs w:val="24"/>
        </w:rPr>
      </w:pPr>
    </w:p>
    <w:p w14:paraId="26DDFD0A" w14:textId="77777777" w:rsidR="00285536" w:rsidRDefault="00285536" w:rsidP="00AF4739">
      <w:pPr>
        <w:rPr>
          <w:color w:val="000000"/>
          <w:szCs w:val="24"/>
        </w:rPr>
      </w:pPr>
    </w:p>
    <w:p w14:paraId="38CE6E17" w14:textId="77777777" w:rsidR="00285536" w:rsidRDefault="00285536" w:rsidP="00AF4739">
      <w:pPr>
        <w:rPr>
          <w:color w:val="000000"/>
          <w:szCs w:val="24"/>
        </w:rPr>
      </w:pPr>
    </w:p>
    <w:p w14:paraId="34C5D3F1" w14:textId="77777777" w:rsidR="00AF4739" w:rsidRDefault="00AF4739" w:rsidP="00AF4739">
      <w:pPr>
        <w:rPr>
          <w:color w:val="000000"/>
          <w:szCs w:val="24"/>
        </w:rPr>
      </w:pPr>
    </w:p>
    <w:p w14:paraId="24608E82" w14:textId="77777777" w:rsidR="00AF4739" w:rsidRDefault="00AF4739" w:rsidP="00AF4739">
      <w:pPr>
        <w:rPr>
          <w:color w:val="000000"/>
          <w:szCs w:val="24"/>
        </w:rPr>
      </w:pPr>
    </w:p>
    <w:p w14:paraId="565350A4" w14:textId="77777777" w:rsidR="00285536" w:rsidRPr="00BC4895" w:rsidRDefault="00285536" w:rsidP="00285536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yellow"/>
        </w:rPr>
      </w:pPr>
      <w:r w:rsidRPr="00BC4895">
        <w:rPr>
          <w:rFonts w:asciiTheme="majorBidi" w:hAnsiTheme="majorBidi" w:cstheme="majorBidi"/>
          <w:b/>
          <w:bCs/>
          <w:sz w:val="24"/>
          <w:szCs w:val="24"/>
          <w:highlight w:val="yellow"/>
        </w:rPr>
        <w:lastRenderedPageBreak/>
        <w:t>Supplemental Figure 2: Distribution of percentage weight reduction in the SEMA and control groups at one year</w:t>
      </w:r>
    </w:p>
    <w:p w14:paraId="554983DC" w14:textId="77777777" w:rsidR="00285536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  <w:r w:rsidRPr="00BC4895">
        <w:rPr>
          <w:rFonts w:asciiTheme="majorBidi" w:hAnsiTheme="majorBidi" w:cstheme="majorBidi"/>
          <w:sz w:val="24"/>
          <w:szCs w:val="24"/>
          <w:highlight w:val="yellow"/>
        </w:rPr>
        <w:t>The SEMA group shows a significantly greater proportion of weight reduction compared to the control group.</w:t>
      </w:r>
    </w:p>
    <w:p w14:paraId="6BB8612D" w14:textId="77777777" w:rsidR="00285536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14:paraId="6CE11BA5" w14:textId="5AEE4648" w:rsidR="00285536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020B12C0" wp14:editId="0A972411">
            <wp:extent cx="5760720" cy="4651375"/>
            <wp:effectExtent l="0" t="0" r="0" b="0"/>
            <wp:docPr id="3184562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55FFD" w14:textId="77777777" w:rsidR="00285536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14:paraId="7776E2FB" w14:textId="77777777" w:rsidR="00285536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14:paraId="2C57C13C" w14:textId="77777777" w:rsidR="00285536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14:paraId="46A1A292" w14:textId="77777777" w:rsidR="00285536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14:paraId="47AD991B" w14:textId="77777777" w:rsidR="00285536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14:paraId="0B3E1BD5" w14:textId="77777777" w:rsidR="00285536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14:paraId="6DCE0D9D" w14:textId="77777777" w:rsidR="00285536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14:paraId="6BE8DFF0" w14:textId="77777777" w:rsidR="00285536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14:paraId="45DED91C" w14:textId="77777777" w:rsidR="00285536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14:paraId="41AF9C33" w14:textId="77777777" w:rsidR="00285536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14:paraId="1B6D7161" w14:textId="77777777" w:rsidR="00285536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14:paraId="721145DA" w14:textId="77777777" w:rsidR="00285536" w:rsidRPr="00BC4895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  <w:r w:rsidRPr="00BC4895">
        <w:rPr>
          <w:rFonts w:asciiTheme="majorBidi" w:hAnsiTheme="majorBidi" w:cstheme="majorBidi"/>
          <w:b/>
          <w:bCs/>
          <w:sz w:val="24"/>
          <w:szCs w:val="24"/>
          <w:highlight w:val="yellow"/>
        </w:rPr>
        <w:lastRenderedPageBreak/>
        <w:t>Supplemental Figure 3: Correlation between percentage change of body mass index (BMI) and 6-minute walk distance (6MWD) change within the SEMA group from baseline to one year.</w:t>
      </w:r>
      <w:r w:rsidRPr="00BC4895">
        <w:rPr>
          <w:rFonts w:asciiTheme="majorBidi" w:hAnsiTheme="majorBidi" w:cstheme="majorBidi"/>
          <w:sz w:val="24"/>
          <w:szCs w:val="24"/>
          <w:highlight w:val="yellow"/>
        </w:rPr>
        <w:t xml:space="preserve"> </w:t>
      </w:r>
    </w:p>
    <w:p w14:paraId="1BB1AA0B" w14:textId="77777777" w:rsidR="00285536" w:rsidRPr="00BC4895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  <w:r w:rsidRPr="00BC4895">
        <w:rPr>
          <w:rFonts w:asciiTheme="majorBidi" w:hAnsiTheme="majorBidi" w:cstheme="majorBidi"/>
          <w:sz w:val="24"/>
          <w:szCs w:val="24"/>
          <w:highlight w:val="yellow"/>
        </w:rPr>
        <w:t>There was a significant negative correlation, indicating that greater reductions in BMI in patients with heart failure are associated with greater improvements in 6MWD.</w:t>
      </w:r>
    </w:p>
    <w:p w14:paraId="2740B5C3" w14:textId="77777777" w:rsidR="00285536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14:paraId="3DA6AAF9" w14:textId="6618268A" w:rsidR="00285536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440706D5" wp14:editId="41EBB54D">
            <wp:extent cx="5760720" cy="4675505"/>
            <wp:effectExtent l="0" t="0" r="0" b="0"/>
            <wp:docPr id="195628420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7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5FCCF" w14:textId="77777777" w:rsidR="00285536" w:rsidRPr="00BC4895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</w:p>
    <w:p w14:paraId="391E313A" w14:textId="10704BF2" w:rsidR="00285536" w:rsidRDefault="00285536" w:rsidP="00AF4739">
      <w:pPr>
        <w:rPr>
          <w:color w:val="000000"/>
          <w:szCs w:val="24"/>
        </w:rPr>
      </w:pPr>
    </w:p>
    <w:p w14:paraId="330C2DEE" w14:textId="77777777" w:rsidR="00285536" w:rsidRDefault="00285536" w:rsidP="00AF4739">
      <w:pPr>
        <w:rPr>
          <w:color w:val="000000"/>
          <w:szCs w:val="24"/>
        </w:rPr>
      </w:pPr>
    </w:p>
    <w:p w14:paraId="52F371D6" w14:textId="77777777" w:rsidR="00285536" w:rsidRDefault="00285536" w:rsidP="00AF4739">
      <w:pPr>
        <w:rPr>
          <w:color w:val="000000"/>
          <w:szCs w:val="24"/>
        </w:rPr>
      </w:pPr>
    </w:p>
    <w:p w14:paraId="4F96C16C" w14:textId="77777777" w:rsidR="00285536" w:rsidRDefault="00285536" w:rsidP="00AF4739">
      <w:pPr>
        <w:rPr>
          <w:color w:val="000000"/>
          <w:szCs w:val="24"/>
        </w:rPr>
      </w:pPr>
    </w:p>
    <w:p w14:paraId="0CC6B8D6" w14:textId="77777777" w:rsidR="00285536" w:rsidRDefault="00285536" w:rsidP="00AF4739">
      <w:pPr>
        <w:rPr>
          <w:color w:val="000000"/>
          <w:szCs w:val="24"/>
        </w:rPr>
      </w:pPr>
    </w:p>
    <w:p w14:paraId="26A03191" w14:textId="77777777" w:rsidR="00285536" w:rsidRDefault="00285536" w:rsidP="00AF4739">
      <w:pPr>
        <w:rPr>
          <w:color w:val="000000"/>
          <w:szCs w:val="24"/>
        </w:rPr>
      </w:pPr>
    </w:p>
    <w:p w14:paraId="12F06A77" w14:textId="77777777" w:rsidR="00285536" w:rsidRDefault="00285536" w:rsidP="00AF4739">
      <w:pPr>
        <w:rPr>
          <w:color w:val="000000"/>
          <w:szCs w:val="24"/>
        </w:rPr>
      </w:pPr>
    </w:p>
    <w:p w14:paraId="637A01CD" w14:textId="77777777" w:rsidR="00285536" w:rsidRPr="00BC4895" w:rsidRDefault="00285536" w:rsidP="00285536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highlight w:val="yellow"/>
        </w:rPr>
      </w:pPr>
      <w:r w:rsidRPr="00BC4895">
        <w:rPr>
          <w:rFonts w:asciiTheme="majorBidi" w:hAnsiTheme="majorBidi" w:cstheme="majorBidi"/>
          <w:b/>
          <w:bCs/>
          <w:sz w:val="24"/>
          <w:szCs w:val="24"/>
          <w:highlight w:val="yellow"/>
        </w:rPr>
        <w:lastRenderedPageBreak/>
        <w:t>Supplemental Figure 4: Correlation between percentage change of body mass index (BMI) and NT-proBNP change within the SEMA group from baseline to one year.</w:t>
      </w:r>
    </w:p>
    <w:p w14:paraId="5AA3F801" w14:textId="77777777" w:rsidR="00285536" w:rsidRPr="00BC4895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highlight w:val="yellow"/>
        </w:rPr>
      </w:pPr>
      <w:r w:rsidRPr="00BC4895">
        <w:rPr>
          <w:rFonts w:asciiTheme="majorBidi" w:hAnsiTheme="majorBidi" w:cstheme="majorBidi"/>
          <w:sz w:val="24"/>
          <w:szCs w:val="24"/>
          <w:highlight w:val="yellow"/>
        </w:rPr>
        <w:t>There was a significant positive correlation, indicating that greater reductions in BMI were associated with greater reductions in NT-proBNP levels in patients with heart failure.</w:t>
      </w:r>
    </w:p>
    <w:p w14:paraId="725D3D70" w14:textId="77777777" w:rsidR="00285536" w:rsidRDefault="00285536" w:rsidP="00AF4739">
      <w:pPr>
        <w:rPr>
          <w:color w:val="000000"/>
          <w:szCs w:val="24"/>
        </w:rPr>
      </w:pPr>
    </w:p>
    <w:p w14:paraId="5EBF53CE" w14:textId="04E19018" w:rsidR="00285536" w:rsidRDefault="00285536" w:rsidP="00AF4739">
      <w:pPr>
        <w:rPr>
          <w:color w:val="000000"/>
          <w:szCs w:val="24"/>
        </w:rPr>
      </w:pPr>
      <w:r>
        <w:rPr>
          <w:noProof/>
        </w:rPr>
        <w:drawing>
          <wp:inline distT="0" distB="0" distL="0" distR="0" wp14:anchorId="1F092AA9" wp14:editId="54AB1259">
            <wp:extent cx="5760720" cy="4675505"/>
            <wp:effectExtent l="0" t="0" r="0" b="0"/>
            <wp:docPr id="9356502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7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21CBD" w14:textId="77777777" w:rsidR="00285536" w:rsidRDefault="00285536" w:rsidP="00AF4739">
      <w:pPr>
        <w:rPr>
          <w:color w:val="000000"/>
          <w:szCs w:val="24"/>
        </w:rPr>
      </w:pPr>
    </w:p>
    <w:p w14:paraId="0788395B" w14:textId="77777777" w:rsidR="00285536" w:rsidRDefault="00285536" w:rsidP="00AF4739">
      <w:pPr>
        <w:rPr>
          <w:color w:val="000000"/>
          <w:szCs w:val="24"/>
        </w:rPr>
      </w:pPr>
    </w:p>
    <w:p w14:paraId="285575D1" w14:textId="226F53BA" w:rsidR="00285536" w:rsidRDefault="00285536" w:rsidP="00AF4739">
      <w:pPr>
        <w:rPr>
          <w:noProof/>
        </w:rPr>
      </w:pPr>
    </w:p>
    <w:p w14:paraId="26588401" w14:textId="77777777" w:rsidR="00285536" w:rsidRDefault="00285536" w:rsidP="00AF4739">
      <w:pPr>
        <w:rPr>
          <w:noProof/>
        </w:rPr>
      </w:pPr>
    </w:p>
    <w:p w14:paraId="23C7C1C9" w14:textId="77777777" w:rsidR="00285536" w:rsidRDefault="00285536" w:rsidP="00AF4739">
      <w:pPr>
        <w:rPr>
          <w:noProof/>
        </w:rPr>
      </w:pPr>
    </w:p>
    <w:p w14:paraId="6630612B" w14:textId="77777777" w:rsidR="00285536" w:rsidRDefault="00285536" w:rsidP="00AF4739">
      <w:pPr>
        <w:rPr>
          <w:noProof/>
        </w:rPr>
      </w:pPr>
    </w:p>
    <w:p w14:paraId="22B35355" w14:textId="77777777" w:rsidR="00285536" w:rsidRDefault="00285536" w:rsidP="00AF4739">
      <w:pPr>
        <w:rPr>
          <w:noProof/>
        </w:rPr>
      </w:pPr>
    </w:p>
    <w:p w14:paraId="0D1E907A" w14:textId="77777777" w:rsidR="00285536" w:rsidRDefault="00285536" w:rsidP="00AF4739">
      <w:pPr>
        <w:rPr>
          <w:noProof/>
        </w:rPr>
      </w:pPr>
    </w:p>
    <w:p w14:paraId="11249E4A" w14:textId="77777777" w:rsidR="00285536" w:rsidRPr="00BC4895" w:rsidRDefault="00285536" w:rsidP="00285536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highlight w:val="yellow"/>
        </w:rPr>
      </w:pPr>
      <w:r w:rsidRPr="00BC4895">
        <w:rPr>
          <w:rFonts w:asciiTheme="majorBidi" w:hAnsiTheme="majorBidi" w:cstheme="majorBidi"/>
          <w:b/>
          <w:bCs/>
          <w:sz w:val="24"/>
          <w:szCs w:val="24"/>
          <w:highlight w:val="yellow"/>
        </w:rPr>
        <w:lastRenderedPageBreak/>
        <w:t>Supplemental Figure 5: Left ventricular ejection fraction (LVEF) at baseline and one year for the SEMA and control groups.</w:t>
      </w:r>
    </w:p>
    <w:p w14:paraId="44D92A4A" w14:textId="77777777" w:rsidR="00285536" w:rsidRPr="003A1972" w:rsidRDefault="00285536" w:rsidP="00285536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BC4895">
        <w:rPr>
          <w:rFonts w:asciiTheme="majorBidi" w:hAnsiTheme="majorBidi" w:cstheme="majorBidi"/>
          <w:sz w:val="24"/>
          <w:szCs w:val="24"/>
          <w:highlight w:val="yellow"/>
        </w:rPr>
        <w:t>There was no statistically significant difference in LVEF between the SEMA and control groups at either baseline or one year.</w:t>
      </w:r>
    </w:p>
    <w:p w14:paraId="5EA40442" w14:textId="6D9221F0" w:rsidR="00285536" w:rsidRDefault="00285536" w:rsidP="00AF4739">
      <w:pPr>
        <w:rPr>
          <w:color w:val="000000"/>
          <w:szCs w:val="24"/>
        </w:rPr>
      </w:pPr>
      <w:r>
        <w:rPr>
          <w:noProof/>
        </w:rPr>
        <w:drawing>
          <wp:inline distT="0" distB="0" distL="0" distR="0" wp14:anchorId="5FC5038C" wp14:editId="16ABB77E">
            <wp:extent cx="5760720" cy="5320665"/>
            <wp:effectExtent l="0" t="0" r="0" b="0"/>
            <wp:docPr id="72109375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2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5536" w:rsidSect="00DF6D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92753" w14:textId="77777777" w:rsidR="004B2CAD" w:rsidRDefault="004B2CAD">
      <w:pPr>
        <w:spacing w:line="240" w:lineRule="auto"/>
      </w:pPr>
      <w:r>
        <w:separator/>
      </w:r>
    </w:p>
  </w:endnote>
  <w:endnote w:type="continuationSeparator" w:id="0">
    <w:p w14:paraId="3FAB292E" w14:textId="77777777" w:rsidR="004B2CAD" w:rsidRDefault="004B2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02AD5" w14:textId="77777777" w:rsidR="00C53BF4" w:rsidRDefault="00C53B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E502F" w14:textId="77777777" w:rsidR="00C53BF4" w:rsidRDefault="00C53B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D6C93" w14:textId="77777777" w:rsidR="00C53BF4" w:rsidRDefault="00C53B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91FFF" w14:textId="77777777" w:rsidR="004B2CAD" w:rsidRDefault="004B2CAD">
      <w:pPr>
        <w:spacing w:line="240" w:lineRule="auto"/>
      </w:pPr>
      <w:r>
        <w:separator/>
      </w:r>
    </w:p>
  </w:footnote>
  <w:footnote w:type="continuationSeparator" w:id="0">
    <w:p w14:paraId="263ADA66" w14:textId="77777777" w:rsidR="004B2CAD" w:rsidRDefault="004B2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84216" w14:textId="77777777" w:rsidR="00C53BF4" w:rsidRDefault="00C53B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0890D" w14:textId="77777777" w:rsidR="00C53BF4" w:rsidRDefault="00C53B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3CE4C" w14:textId="77777777" w:rsidR="00C53BF4" w:rsidRDefault="00C53B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739"/>
    <w:rsid w:val="00034BB4"/>
    <w:rsid w:val="00285536"/>
    <w:rsid w:val="00495FDD"/>
    <w:rsid w:val="004B2CAD"/>
    <w:rsid w:val="00665896"/>
    <w:rsid w:val="006C5FAB"/>
    <w:rsid w:val="006F3B92"/>
    <w:rsid w:val="008242CE"/>
    <w:rsid w:val="0083237F"/>
    <w:rsid w:val="008624F8"/>
    <w:rsid w:val="00AF4739"/>
    <w:rsid w:val="00B0580C"/>
    <w:rsid w:val="00C52603"/>
    <w:rsid w:val="00C53BF4"/>
    <w:rsid w:val="00DF6DDE"/>
    <w:rsid w:val="00EB43BA"/>
    <w:rsid w:val="00ED5623"/>
    <w:rsid w:val="00F4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F34DA"/>
  <w15:chartTrackingRefBased/>
  <w15:docId w15:val="{FDBD6FA8-72A0-4076-BFAA-3868F96E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4739"/>
    <w:pPr>
      <w:spacing w:after="0" w:line="480" w:lineRule="auto"/>
    </w:pPr>
    <w:rPr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F4739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739"/>
    <w:rPr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F4739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739"/>
    <w:rPr>
      <w:lang w:val="en-US"/>
      <w14:ligatures w14:val="none"/>
    </w:rPr>
  </w:style>
  <w:style w:type="table" w:styleId="TableGrid">
    <w:name w:val="Table Grid"/>
    <w:basedOn w:val="TableNormal"/>
    <w:uiPriority w:val="39"/>
    <w:rsid w:val="00AF4739"/>
    <w:pPr>
      <w:spacing w:after="0" w:line="240" w:lineRule="auto"/>
    </w:pPr>
    <w:rPr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Balata</dc:creator>
  <cp:keywords/>
  <dc:description/>
  <cp:lastModifiedBy>Mahmoud Balata</cp:lastModifiedBy>
  <cp:revision>2</cp:revision>
  <dcterms:created xsi:type="dcterms:W3CDTF">2024-02-04T17:05:00Z</dcterms:created>
  <dcterms:modified xsi:type="dcterms:W3CDTF">2024-09-16T21:00:00Z</dcterms:modified>
</cp:coreProperties>
</file>