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050B9">
      <w:pPr>
        <w:bidi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Supplementary Material</w:t>
      </w:r>
    </w:p>
    <w:tbl>
      <w:tblPr>
        <w:tblStyle w:val="5"/>
        <w:tblpPr w:leftFromText="180" w:rightFromText="180" w:vertAnchor="page" w:horzAnchor="page" w:tblpX="1217" w:tblpY="1542"/>
        <w:tblOverlap w:val="never"/>
        <w:tblW w:w="4581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1166"/>
        <w:gridCol w:w="1578"/>
        <w:gridCol w:w="721"/>
        <w:gridCol w:w="1142"/>
        <w:gridCol w:w="1618"/>
        <w:gridCol w:w="814"/>
      </w:tblGrid>
      <w:tr w14:paraId="7101C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380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E8F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Table 1.</w:t>
            </w:r>
            <w:r>
              <w:rPr>
                <w:rFonts w:cs="Times New Roman"/>
                <w:sz w:val="20"/>
                <w:szCs w:val="20"/>
              </w:rPr>
              <w:t xml:space="preserve">  Baseline characteristics between the two groups.</w:t>
            </w:r>
          </w:p>
        </w:tc>
      </w:tr>
      <w:tr w14:paraId="45B04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341" w:type="dxa"/>
            <w:vMerge w:val="restart"/>
            <w:tcBorders>
              <w:top w:val="single" w:color="auto" w:sz="8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F6FD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Characteristics</w:t>
            </w:r>
          </w:p>
        </w:tc>
        <w:tc>
          <w:tcPr>
            <w:tcW w:w="346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9D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Before  PSM</w:t>
            </w:r>
          </w:p>
        </w:tc>
        <w:tc>
          <w:tcPr>
            <w:tcW w:w="35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3CA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After  PSM</w:t>
            </w:r>
          </w:p>
        </w:tc>
      </w:tr>
      <w:tr w14:paraId="5D9B7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341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397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A70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reduced-dose</w:t>
            </w:r>
          </w:p>
          <w:p w14:paraId="171331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(n=83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9B4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recommended-dose (n=11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 xml:space="preserve"> )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111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683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reduced-dose</w:t>
            </w:r>
          </w:p>
          <w:p w14:paraId="441532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(n=79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 xml:space="preserve"> )</w:t>
            </w: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F9D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recommended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dose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 xml:space="preserve"> (n=79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 xml:space="preserve"> )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8AF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P value</w:t>
            </w:r>
          </w:p>
        </w:tc>
      </w:tr>
      <w:tr w14:paraId="206AC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AC6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Man , no.（%）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F66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639(76.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B728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85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(73.9)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FFA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19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(7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7.0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356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593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(7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4.6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43F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lang w:val="en-US" w:eastAsia="zh-CN"/>
              </w:rPr>
              <w:t>840</w:t>
            </w:r>
          </w:p>
        </w:tc>
      </w:tr>
      <w:tr w14:paraId="0D6A7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D93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Age, mean (SD)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E71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62.80±9.58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60E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62.42±10.05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065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264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23B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62.6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±9.5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C3F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62.2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±9.7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E59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0.767</w:t>
            </w:r>
          </w:p>
        </w:tc>
      </w:tr>
      <w:tr w14:paraId="51FAB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952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Body mass index, mean (SD)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7A38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25.4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33A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25.2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AC2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228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A65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25.4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3E7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25.3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B83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</w:tr>
      <w:tr w14:paraId="55135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05D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Diagnosis, No. (%)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8B6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350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89D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4DC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50DC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DE4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53E7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849A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NSTEMI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0E7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135(16.2)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981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180(15.5)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3E34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30A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(16.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5508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565A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464</w:t>
            </w:r>
          </w:p>
        </w:tc>
      </w:tr>
      <w:tr w14:paraId="320F6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979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STEMI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333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13(1.6)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1AB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84(7.2)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600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2CA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13(1.6)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BF3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12(1.5)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AA2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0.840</w:t>
            </w:r>
          </w:p>
        </w:tc>
      </w:tr>
      <w:tr w14:paraId="12AED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C7E3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UA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2C1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(82.2)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BBB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89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(77.2)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6B8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2AE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651(8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1.9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315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BD7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520</w:t>
            </w:r>
          </w:p>
        </w:tc>
      </w:tr>
      <w:tr w14:paraId="7BB6E5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E29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SBP (SD), mmHg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F9A4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132.7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±17.4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9378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130.98±17.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0D2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766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132.7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65A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131.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9±17.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98A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73</w:t>
            </w:r>
          </w:p>
        </w:tc>
      </w:tr>
      <w:tr w14:paraId="39209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998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Heart rate, mean (SD)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B98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6.00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±11.55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F61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77.0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±26.91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89C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F7F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±11.6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220E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±31.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F4B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</w:tr>
      <w:tr w14:paraId="42E79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1AD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CRUSADE bleeding score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D16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26.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±11.3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3B63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27.9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±11.7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7E4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327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066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26.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9±11.3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8F9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±11.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4C2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984</w:t>
            </w:r>
          </w:p>
        </w:tc>
      </w:tr>
      <w:tr w14:paraId="2ABC5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60B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Medical history, No. (%)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5D9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B025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5A7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39D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DD0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62F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36CE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766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Hypertension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99D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54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(65.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E03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(64.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5D04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129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52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(65.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BE3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50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(63.5)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0249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</w:tr>
      <w:tr w14:paraId="1CDE0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A89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Diabetes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A409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293(35.2)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CAD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446(38.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BEE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A0A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281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E78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301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E484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298</w:t>
            </w:r>
          </w:p>
        </w:tc>
      </w:tr>
      <w:tr w14:paraId="73249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6DD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Hyperlipidemia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3EC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369(44.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E40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467(40.3)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0C9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0.074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698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35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0E7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(41.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432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42</w:t>
            </w:r>
          </w:p>
        </w:tc>
      </w:tr>
      <w:tr w14:paraId="52EF2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5AD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Anemia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E2E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684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(19.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CA1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4816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(9.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8AB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3FA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96</w:t>
            </w:r>
          </w:p>
        </w:tc>
      </w:tr>
      <w:tr w14:paraId="75370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F8C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Chronic kidney disease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E3D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58(7.0)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819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13C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D21C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55(6.9)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27C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9(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4.9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EBF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089</w:t>
            </w:r>
          </w:p>
        </w:tc>
      </w:tr>
      <w:tr w14:paraId="25781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0B9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Smoking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22B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290(34.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CC8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43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(37.2)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7C9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0.27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AEE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013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F7ED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958</w:t>
            </w:r>
          </w:p>
        </w:tc>
      </w:tr>
      <w:tr w14:paraId="6FAB8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0B0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Previous, No. (%)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5A1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6BB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971F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5278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D27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FF8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AC07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1B4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Stroke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3F4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469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195(16.8)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6D6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426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9C6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A98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958</w:t>
            </w:r>
          </w:p>
        </w:tc>
      </w:tr>
      <w:tr w14:paraId="7996A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D326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MI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ED9C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178(21.4)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8CB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(18.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C1A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188F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1.8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0A5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163(20.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76B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834</w:t>
            </w:r>
          </w:p>
        </w:tc>
      </w:tr>
      <w:tr w14:paraId="4A123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1F7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PCI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A77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291(3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2CE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40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A2D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0.99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3C2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278(35.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2B4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(35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EE9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875</w:t>
            </w:r>
          </w:p>
        </w:tc>
      </w:tr>
      <w:tr w14:paraId="793D3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378B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Laboratory examination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4FA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B51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76F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E2B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53E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E8F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3CCD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EF0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PLT, mean (SD),109/L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F08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203.5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±51.0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48A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216.5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±60.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9F93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0FE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205.1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±51.06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A6D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207.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±53.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834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665</w:t>
            </w:r>
          </w:p>
        </w:tc>
      </w:tr>
      <w:tr w14:paraId="0CDF8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272D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HGB, mean (SD), g/L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776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139.0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±37.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6EB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137.4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±15.73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961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138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139.3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±38.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8B8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40.06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±14.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9C2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174</w:t>
            </w:r>
          </w:p>
        </w:tc>
      </w:tr>
      <w:tr w14:paraId="457E9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FDA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CCr,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mean(SD), ml/min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2B2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3.23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±29.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331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3±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30.13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933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458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D8C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93.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53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±29.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E77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94.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±29.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08DE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58</w:t>
            </w:r>
          </w:p>
        </w:tc>
      </w:tr>
      <w:tr w14:paraId="5E818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6AD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hsTn, mean(SD), ng/m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CF5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0.10±0.49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0B9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809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F37C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±0.50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945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0.11±0.42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271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915</w:t>
            </w:r>
          </w:p>
        </w:tc>
      </w:tr>
      <w:tr w14:paraId="406BF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61C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CKMB, mean(SD), u/l,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150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16.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±14.2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0E6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18.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±28.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511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0.001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960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7.12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5.51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283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7.38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5.21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ADD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113</w:t>
            </w:r>
          </w:p>
        </w:tc>
      </w:tr>
      <w:tr w14:paraId="49223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B29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 xml:space="preserve">  LDL-C, mean(SD), mmol/l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AC89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2.10±0.74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111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2.12±0.7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E74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835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FEE4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2.1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±0.74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143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2.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±0.7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582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0.</w:t>
            </w: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974</w:t>
            </w:r>
          </w:p>
        </w:tc>
      </w:tr>
      <w:tr w14:paraId="6B96E1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938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131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Times New Roman" w:cs="Times New Roman"/>
                <w:color w:val="000000"/>
                <w:sz w:val="20"/>
                <w:szCs w:val="20"/>
                <w:highlight w:val="none"/>
                <w:lang w:eastAsia="zh-CN"/>
              </w:rPr>
              <w:t>PSM, propensity score matching;BMI,body mass index; MI, myocardial infarction; NSTEMI, non-ST-segmental elevation MI; STEMI,ST-segmental elevation MI; UA, unstable angina; CRUSADE[18], can rapid risk stratification of unstable angina patients suppress adverse outcomes with early implementation of the ACC/AHA guidelines; SBP, systolic pressure; PCI, percutaneous coronary intervention; PLT, platelet count; HGB, Hemoglobin count; CCr, creatinine clearance rate, calculated by CG formula.</w:t>
            </w:r>
          </w:p>
        </w:tc>
      </w:tr>
    </w:tbl>
    <w:p w14:paraId="2E9CF801">
      <w:pPr>
        <w:rPr>
          <w:highlight w:val="none"/>
        </w:rPr>
      </w:pPr>
    </w:p>
    <w:p w14:paraId="6CCC838A">
      <w:pPr>
        <w:rPr>
          <w:highlight w:val="none"/>
        </w:rPr>
      </w:pPr>
    </w:p>
    <w:p w14:paraId="13DBA8C0">
      <w:pPr>
        <w:rPr>
          <w:highlight w:val="none"/>
        </w:rPr>
      </w:pPr>
    </w:p>
    <w:tbl>
      <w:tblPr>
        <w:tblStyle w:val="5"/>
        <w:tblW w:w="5311" w:type="pct"/>
        <w:tblInd w:w="-23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7"/>
        <w:gridCol w:w="1236"/>
        <w:gridCol w:w="1769"/>
        <w:gridCol w:w="720"/>
        <w:gridCol w:w="1362"/>
        <w:gridCol w:w="1815"/>
        <w:gridCol w:w="783"/>
      </w:tblGrid>
      <w:tr w14:paraId="561A6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385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9AB8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1"/>
                <w:szCs w:val="21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  <w:t>Table 2.</w:t>
            </w:r>
            <w:r>
              <w:rPr>
                <w:rFonts w:cs="Times New Roman"/>
                <w:sz w:val="20"/>
                <w:szCs w:val="20"/>
                <w:highlight w:val="none"/>
              </w:rPr>
              <w:t xml:space="preserve">  Treatment and procedural characteristics.</w:t>
            </w:r>
          </w:p>
        </w:tc>
      </w:tr>
      <w:tr w14:paraId="1875F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43" w:type="dxa"/>
            <w:vMerge w:val="restart"/>
            <w:tcBorders>
              <w:top w:val="single" w:color="auto" w:sz="8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DED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Characteristics</w:t>
            </w:r>
          </w:p>
        </w:tc>
        <w:tc>
          <w:tcPr>
            <w:tcW w:w="3559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3F0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Before  PSM</w:t>
            </w:r>
          </w:p>
        </w:tc>
        <w:tc>
          <w:tcPr>
            <w:tcW w:w="378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AD5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After  PSM</w:t>
            </w:r>
          </w:p>
        </w:tc>
      </w:tr>
      <w:tr w14:paraId="0CD45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4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E397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BB7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reduced-dose</w:t>
            </w:r>
          </w:p>
          <w:p w14:paraId="356657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eastAsia="宋体" w:cs="Times New Roman"/>
                <w:sz w:val="20"/>
                <w:szCs w:val="20"/>
                <w:highlight w:val="none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83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)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1BF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recommended-dose (</w:t>
            </w:r>
            <w:r>
              <w:rPr>
                <w:rFonts w:hint="eastAsia" w:eastAsia="宋体" w:cs="Times New Roman"/>
                <w:sz w:val="20"/>
                <w:szCs w:val="20"/>
                <w:highlight w:val="none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)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776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P value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DE9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reduced-dose</w:t>
            </w:r>
          </w:p>
          <w:p w14:paraId="2E830F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eastAsia="宋体" w:cs="Times New Roman"/>
                <w:sz w:val="20"/>
                <w:szCs w:val="20"/>
                <w:highlight w:val="none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)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2BF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recommended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-</w:t>
            </w:r>
            <w:r>
              <w:rPr>
                <w:rFonts w:cs="Times New Roman"/>
                <w:sz w:val="20"/>
                <w:szCs w:val="20"/>
                <w:highlight w:val="none"/>
              </w:rPr>
              <w:t>dose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(</w:t>
            </w:r>
            <w:r>
              <w:rPr>
                <w:rFonts w:hint="eastAsia" w:eastAsia="宋体" w:cs="Times New Roman"/>
                <w:sz w:val="20"/>
                <w:szCs w:val="20"/>
                <w:highlight w:val="none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A6E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P value</w:t>
            </w:r>
          </w:p>
        </w:tc>
      </w:tr>
      <w:tr w14:paraId="071E3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04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432D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Perioperative drug use, no. (%)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9E8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FCE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E85E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2B51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2B3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148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</w:tr>
      <w:tr w14:paraId="25608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3D7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Aspirin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5238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83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100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899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60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100.0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350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021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100.0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B47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100.0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DB0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1.000</w:t>
            </w:r>
          </w:p>
        </w:tc>
      </w:tr>
      <w:tr w14:paraId="61E6B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9FE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Clopidogrel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D5D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6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75.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F0B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899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77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9C8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810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599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5.3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441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60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76.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A11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682</w:t>
            </w:r>
          </w:p>
        </w:tc>
      </w:tr>
      <w:tr w14:paraId="1EBE7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236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Ticagrelor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F2A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206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4.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9E6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26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F57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EB5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24.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422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90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23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B01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726</w:t>
            </w:r>
          </w:p>
        </w:tc>
      </w:tr>
      <w:tr w14:paraId="37F0B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DB5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GPI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D44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19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0B1E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76B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49D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BFB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61A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349</w:t>
            </w:r>
          </w:p>
        </w:tc>
      </w:tr>
      <w:tr w14:paraId="267BC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4648F9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Revascularization strategy, no.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cs="Times New Roman"/>
                <w:sz w:val="20"/>
                <w:szCs w:val="20"/>
                <w:highlight w:val="none"/>
              </w:rPr>
              <w:t>(%)</w:t>
            </w:r>
          </w:p>
        </w:tc>
        <w:tc>
          <w:tcPr>
            <w:tcW w:w="1181" w:type="dxa"/>
            <w:vAlign w:val="center"/>
          </w:tcPr>
          <w:p w14:paraId="2ADD47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690" w:type="dxa"/>
            <w:vAlign w:val="center"/>
          </w:tcPr>
          <w:p w14:paraId="46DB1E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vAlign w:val="center"/>
          </w:tcPr>
          <w:p w14:paraId="5BC66F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301" w:type="dxa"/>
            <w:vAlign w:val="center"/>
          </w:tcPr>
          <w:p w14:paraId="1D6794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734" w:type="dxa"/>
            <w:vAlign w:val="center"/>
          </w:tcPr>
          <w:p w14:paraId="12528B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748" w:type="dxa"/>
            <w:vAlign w:val="center"/>
          </w:tcPr>
          <w:p w14:paraId="20184A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</w:tr>
      <w:tr w14:paraId="71846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7BFF75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Balloon angioplasty only</w:t>
            </w:r>
          </w:p>
        </w:tc>
        <w:tc>
          <w:tcPr>
            <w:tcW w:w="1181" w:type="dxa"/>
            <w:vAlign w:val="center"/>
          </w:tcPr>
          <w:p w14:paraId="0D051F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1(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2.5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7974C8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3D132A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0.00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690F5B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1(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5110F3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4CD5A1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749</w:t>
            </w:r>
          </w:p>
        </w:tc>
      </w:tr>
      <w:tr w14:paraId="07E7A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4516A4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Stent implantation</w:t>
            </w:r>
          </w:p>
        </w:tc>
        <w:tc>
          <w:tcPr>
            <w:tcW w:w="1181" w:type="dxa"/>
            <w:vAlign w:val="center"/>
          </w:tcPr>
          <w:p w14:paraId="578D20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4A5444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108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3.7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5C95BC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0.00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4C8F9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17C69AC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776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7.6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02DC3A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749</w:t>
            </w:r>
          </w:p>
        </w:tc>
      </w:tr>
      <w:tr w14:paraId="73B2F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06231E0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Arterial access, no. (%)</w:t>
            </w:r>
          </w:p>
        </w:tc>
        <w:tc>
          <w:tcPr>
            <w:tcW w:w="1181" w:type="dxa"/>
            <w:vAlign w:val="center"/>
          </w:tcPr>
          <w:p w14:paraId="355221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690" w:type="dxa"/>
            <w:vAlign w:val="center"/>
          </w:tcPr>
          <w:p w14:paraId="48E6291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688" w:type="dxa"/>
            <w:vAlign w:val="center"/>
          </w:tcPr>
          <w:p w14:paraId="24FF59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301" w:type="dxa"/>
            <w:vAlign w:val="center"/>
          </w:tcPr>
          <w:p w14:paraId="39D454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1734" w:type="dxa"/>
            <w:vAlign w:val="center"/>
          </w:tcPr>
          <w:p w14:paraId="07E2CF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  <w:tc>
          <w:tcPr>
            <w:tcW w:w="748" w:type="dxa"/>
            <w:vAlign w:val="center"/>
          </w:tcPr>
          <w:p w14:paraId="1B3249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</w:p>
        </w:tc>
      </w:tr>
      <w:tr w14:paraId="668C8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228655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Transradial</w:t>
            </w:r>
          </w:p>
        </w:tc>
        <w:tc>
          <w:tcPr>
            <w:tcW w:w="1181" w:type="dxa"/>
            <w:vAlign w:val="center"/>
          </w:tcPr>
          <w:p w14:paraId="310C30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3E46ACC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113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62158C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281</w:t>
            </w:r>
          </w:p>
        </w:tc>
        <w:tc>
          <w:tcPr>
            <w:tcW w:w="1301" w:type="dxa"/>
            <w:vAlign w:val="center"/>
          </w:tcPr>
          <w:p w14:paraId="659A47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4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00659A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77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cs="Times New Roman"/>
                <w:sz w:val="20"/>
                <w:szCs w:val="20"/>
                <w:highlight w:val="none"/>
              </w:rPr>
              <w:t>(9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63F04C0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574</w:t>
            </w:r>
          </w:p>
        </w:tc>
      </w:tr>
      <w:tr w14:paraId="5A1CB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5191A7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    Transfemoral</w:t>
            </w:r>
          </w:p>
        </w:tc>
        <w:tc>
          <w:tcPr>
            <w:tcW w:w="1181" w:type="dxa"/>
            <w:vAlign w:val="center"/>
          </w:tcPr>
          <w:p w14:paraId="509452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13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20BF12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3629BD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281</w:t>
            </w:r>
          </w:p>
        </w:tc>
        <w:tc>
          <w:tcPr>
            <w:tcW w:w="1301" w:type="dxa"/>
            <w:vAlign w:val="center"/>
          </w:tcPr>
          <w:p w14:paraId="51B536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13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6676A1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2.0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4F5E33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0.574</w:t>
            </w:r>
          </w:p>
        </w:tc>
      </w:tr>
      <w:tr w14:paraId="5F1CC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7197B7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LM disease, no. (%)</w:t>
            </w:r>
          </w:p>
        </w:tc>
        <w:tc>
          <w:tcPr>
            <w:tcW w:w="1181" w:type="dxa"/>
            <w:vAlign w:val="center"/>
          </w:tcPr>
          <w:p w14:paraId="1281EF8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10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0A59C1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68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5.9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225774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0.001</w:t>
            </w:r>
          </w:p>
        </w:tc>
        <w:tc>
          <w:tcPr>
            <w:tcW w:w="1301" w:type="dxa"/>
            <w:vAlign w:val="center"/>
          </w:tcPr>
          <w:p w14:paraId="6501B7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54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6.8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18EA30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4E3CE6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0.6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95</w:t>
            </w:r>
          </w:p>
        </w:tc>
      </w:tr>
      <w:tr w14:paraId="076E7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3DBC3EC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Multivessel disease, no. (%)</w:t>
            </w:r>
          </w:p>
        </w:tc>
        <w:tc>
          <w:tcPr>
            <w:tcW w:w="1181" w:type="dxa"/>
            <w:vAlign w:val="center"/>
          </w:tcPr>
          <w:p w14:paraId="4C51E7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604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690" w:type="dxa"/>
            <w:vAlign w:val="center"/>
          </w:tcPr>
          <w:p w14:paraId="269877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827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71.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688" w:type="dxa"/>
            <w:vAlign w:val="center"/>
          </w:tcPr>
          <w:p w14:paraId="568509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301" w:type="dxa"/>
            <w:vAlign w:val="center"/>
          </w:tcPr>
          <w:p w14:paraId="55C834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57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34" w:type="dxa"/>
            <w:vAlign w:val="center"/>
          </w:tcPr>
          <w:p w14:paraId="4F9D9B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5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71</w:t>
            </w:r>
            <w:r>
              <w:rPr>
                <w:rFonts w:cs="Times New Roman"/>
                <w:sz w:val="20"/>
                <w:szCs w:val="20"/>
                <w:highlight w:val="none"/>
              </w:rPr>
              <w:t>(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71.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748" w:type="dxa"/>
            <w:vAlign w:val="center"/>
          </w:tcPr>
          <w:p w14:paraId="56AC91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823</w:t>
            </w:r>
          </w:p>
        </w:tc>
      </w:tr>
      <w:tr w14:paraId="4E67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220885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No. of stents per patient, mean (SD)</w:t>
            </w:r>
          </w:p>
        </w:tc>
        <w:tc>
          <w:tcPr>
            <w:tcW w:w="1181" w:type="dxa"/>
            <w:vAlign w:val="center"/>
          </w:tcPr>
          <w:p w14:paraId="505EFA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73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86</w:t>
            </w:r>
          </w:p>
        </w:tc>
        <w:tc>
          <w:tcPr>
            <w:tcW w:w="1690" w:type="dxa"/>
            <w:vAlign w:val="center"/>
          </w:tcPr>
          <w:p w14:paraId="7F36D3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1.6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94</w:t>
            </w:r>
          </w:p>
        </w:tc>
        <w:tc>
          <w:tcPr>
            <w:tcW w:w="688" w:type="dxa"/>
            <w:vAlign w:val="center"/>
          </w:tcPr>
          <w:p w14:paraId="4A58E5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0.00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301" w:type="dxa"/>
            <w:vAlign w:val="center"/>
          </w:tcPr>
          <w:p w14:paraId="306E9D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71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734" w:type="dxa"/>
            <w:vAlign w:val="center"/>
          </w:tcPr>
          <w:p w14:paraId="5612B6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.72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748" w:type="dxa"/>
            <w:vAlign w:val="center"/>
          </w:tcPr>
          <w:p w14:paraId="3F948B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0.1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43</w:t>
            </w:r>
          </w:p>
        </w:tc>
      </w:tr>
      <w:tr w14:paraId="3EDCD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3B81B76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Dia. of stents per patient, mean </w:t>
            </w:r>
          </w:p>
        </w:tc>
        <w:tc>
          <w:tcPr>
            <w:tcW w:w="1181" w:type="dxa"/>
            <w:vAlign w:val="center"/>
          </w:tcPr>
          <w:p w14:paraId="1ED772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02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62</w:t>
            </w:r>
          </w:p>
        </w:tc>
        <w:tc>
          <w:tcPr>
            <w:tcW w:w="1690" w:type="dxa"/>
            <w:vAlign w:val="center"/>
          </w:tcPr>
          <w:p w14:paraId="4A9463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89</w:t>
            </w:r>
            <w:r>
              <w:rPr>
                <w:rFonts w:cs="Times New Roman"/>
                <w:sz w:val="20"/>
                <w:szCs w:val="20"/>
                <w:highlight w:val="none"/>
              </w:rPr>
              <w:t>±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0.84</w:t>
            </w:r>
          </w:p>
        </w:tc>
        <w:tc>
          <w:tcPr>
            <w:tcW w:w="688" w:type="dxa"/>
            <w:vAlign w:val="center"/>
          </w:tcPr>
          <w:p w14:paraId="6CE87B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0.00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2B91AE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3.0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±0.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63</w:t>
            </w:r>
          </w:p>
        </w:tc>
        <w:tc>
          <w:tcPr>
            <w:tcW w:w="1734" w:type="dxa"/>
            <w:vAlign w:val="center"/>
          </w:tcPr>
          <w:p w14:paraId="0DA6E47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3.0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cs="Times New Roman"/>
                <w:sz w:val="20"/>
                <w:szCs w:val="20"/>
                <w:highlight w:val="none"/>
              </w:rPr>
              <w:t>±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0.6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48" w:type="dxa"/>
            <w:vAlign w:val="center"/>
          </w:tcPr>
          <w:p w14:paraId="2C6857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472</w:t>
            </w:r>
          </w:p>
        </w:tc>
      </w:tr>
      <w:tr w14:paraId="110A9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49A8AFC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Stent length, mean (SD),mm</w:t>
            </w:r>
          </w:p>
        </w:tc>
        <w:tc>
          <w:tcPr>
            <w:tcW w:w="1181" w:type="dxa"/>
            <w:vAlign w:val="center"/>
          </w:tcPr>
          <w:p w14:paraId="0228E73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4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6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cs="Times New Roman"/>
                <w:sz w:val="20"/>
                <w:szCs w:val="20"/>
                <w:highlight w:val="none"/>
              </w:rPr>
              <w:t>±2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4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.89</w:t>
            </w:r>
          </w:p>
        </w:tc>
        <w:tc>
          <w:tcPr>
            <w:tcW w:w="1690" w:type="dxa"/>
            <w:vAlign w:val="center"/>
          </w:tcPr>
          <w:p w14:paraId="08735B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39.5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±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26.5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688" w:type="dxa"/>
            <w:vAlign w:val="center"/>
          </w:tcPr>
          <w:p w14:paraId="137B1A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0.0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59</w:t>
            </w:r>
          </w:p>
        </w:tc>
        <w:tc>
          <w:tcPr>
            <w:tcW w:w="1301" w:type="dxa"/>
            <w:vAlign w:val="center"/>
          </w:tcPr>
          <w:p w14:paraId="478B1B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4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3</w:t>
            </w:r>
            <w:r>
              <w:rPr>
                <w:rFonts w:cs="Times New Roman"/>
                <w:sz w:val="20"/>
                <w:szCs w:val="20"/>
                <w:highlight w:val="none"/>
              </w:rPr>
              <w:t>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52</w:t>
            </w:r>
            <w:r>
              <w:rPr>
                <w:rFonts w:cs="Times New Roman"/>
                <w:sz w:val="20"/>
                <w:szCs w:val="20"/>
                <w:highlight w:val="none"/>
              </w:rPr>
              <w:t>±2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4.79</w:t>
            </w:r>
          </w:p>
        </w:tc>
        <w:tc>
          <w:tcPr>
            <w:tcW w:w="1734" w:type="dxa"/>
            <w:vAlign w:val="center"/>
          </w:tcPr>
          <w:p w14:paraId="15D80A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40.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cs="Times New Roman"/>
                <w:sz w:val="20"/>
                <w:szCs w:val="20"/>
                <w:highlight w:val="none"/>
              </w:rPr>
              <w:t>±</w:t>
            </w:r>
            <w:r>
              <w:rPr>
                <w:rFonts w:hint="eastAsia" w:cs="Times New Roman"/>
                <w:sz w:val="20"/>
                <w:szCs w:val="20"/>
                <w:highlight w:val="none"/>
              </w:rPr>
              <w:t>25.6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48" w:type="dxa"/>
            <w:vAlign w:val="center"/>
          </w:tcPr>
          <w:p w14:paraId="0FC010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353</w:t>
            </w:r>
          </w:p>
        </w:tc>
      </w:tr>
      <w:tr w14:paraId="46C87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678F3F7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Medications at discharge, no. (%)</w:t>
            </w:r>
          </w:p>
        </w:tc>
        <w:tc>
          <w:tcPr>
            <w:tcW w:w="1181" w:type="dxa"/>
            <w:vAlign w:val="center"/>
          </w:tcPr>
          <w:p w14:paraId="64AA1A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630803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 w14:paraId="39A742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5BCC14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7F57F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14:paraId="4C6244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</w:tr>
      <w:tr w14:paraId="3A0268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14AAA9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Aspirin</w:t>
            </w:r>
          </w:p>
        </w:tc>
        <w:tc>
          <w:tcPr>
            <w:tcW w:w="1181" w:type="dxa"/>
            <w:vAlign w:val="center"/>
          </w:tcPr>
          <w:p w14:paraId="3DF429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82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hint="eastAsia" w:cs="Times New Roman"/>
                <w:sz w:val="20"/>
                <w:szCs w:val="20"/>
              </w:rPr>
              <w:t>99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hint="eastAsia"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0" w:type="dxa"/>
            <w:vAlign w:val="center"/>
          </w:tcPr>
          <w:p w14:paraId="07B668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114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hint="eastAsia" w:cs="Times New Roman"/>
                <w:sz w:val="20"/>
                <w:szCs w:val="20"/>
              </w:rPr>
              <w:t>98.9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88" w:type="dxa"/>
            <w:vAlign w:val="center"/>
          </w:tcPr>
          <w:p w14:paraId="0EB7F4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0.22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301" w:type="dxa"/>
            <w:vAlign w:val="center"/>
          </w:tcPr>
          <w:p w14:paraId="14BECB1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7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90</w:t>
            </w:r>
            <w:r>
              <w:rPr>
                <w:rFonts w:hint="eastAsia" w:cs="Times New Roman"/>
                <w:sz w:val="20"/>
                <w:szCs w:val="20"/>
              </w:rPr>
              <w:t>(99.4)</w:t>
            </w:r>
          </w:p>
        </w:tc>
        <w:tc>
          <w:tcPr>
            <w:tcW w:w="1734" w:type="dxa"/>
            <w:vAlign w:val="center"/>
          </w:tcPr>
          <w:p w14:paraId="1480F23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7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90</w:t>
            </w:r>
            <w:r>
              <w:rPr>
                <w:rFonts w:hint="eastAsia" w:cs="Times New Roman"/>
                <w:sz w:val="20"/>
                <w:szCs w:val="20"/>
              </w:rPr>
              <w:t>(99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.4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748" w:type="dxa"/>
            <w:vAlign w:val="center"/>
          </w:tcPr>
          <w:p w14:paraId="5873229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34AAE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vAlign w:val="center"/>
          </w:tcPr>
          <w:p w14:paraId="01A517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Clopidogrel</w:t>
            </w:r>
          </w:p>
        </w:tc>
        <w:tc>
          <w:tcPr>
            <w:tcW w:w="1181" w:type="dxa"/>
            <w:vAlign w:val="center"/>
          </w:tcPr>
          <w:p w14:paraId="67915F3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48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cs="Times New Roman"/>
                <w:sz w:val="20"/>
                <w:szCs w:val="20"/>
              </w:rPr>
              <w:t>(58.1)</w:t>
            </w:r>
          </w:p>
        </w:tc>
        <w:tc>
          <w:tcPr>
            <w:tcW w:w="1690" w:type="dxa"/>
            <w:vAlign w:val="center"/>
          </w:tcPr>
          <w:p w14:paraId="099EBB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612(52.8)</w:t>
            </w:r>
          </w:p>
        </w:tc>
        <w:tc>
          <w:tcPr>
            <w:tcW w:w="688" w:type="dxa"/>
            <w:vAlign w:val="center"/>
          </w:tcPr>
          <w:p w14:paraId="5CAEA6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0.019</w:t>
            </w:r>
          </w:p>
        </w:tc>
        <w:tc>
          <w:tcPr>
            <w:tcW w:w="1301" w:type="dxa"/>
            <w:vAlign w:val="center"/>
          </w:tcPr>
          <w:p w14:paraId="54EC54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45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</w:rPr>
              <w:t>(57.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1734" w:type="dxa"/>
            <w:vAlign w:val="center"/>
          </w:tcPr>
          <w:p w14:paraId="6F8301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443(55.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748" w:type="dxa"/>
            <w:vAlign w:val="center"/>
          </w:tcPr>
          <w:p w14:paraId="41C414A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544</w:t>
            </w:r>
          </w:p>
        </w:tc>
      </w:tr>
      <w:tr w14:paraId="2ACEC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43" w:type="dxa"/>
            <w:tcBorders>
              <w:bottom w:val="single" w:color="auto" w:sz="4" w:space="0"/>
            </w:tcBorders>
            <w:vAlign w:val="center"/>
          </w:tcPr>
          <w:p w14:paraId="64A47F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Ticagrelor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vAlign w:val="center"/>
          </w:tcPr>
          <w:p w14:paraId="4B91F87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348(41.8)</w:t>
            </w:r>
          </w:p>
        </w:tc>
        <w:tc>
          <w:tcPr>
            <w:tcW w:w="1690" w:type="dxa"/>
            <w:tcBorders>
              <w:bottom w:val="single" w:color="auto" w:sz="4" w:space="0"/>
            </w:tcBorders>
            <w:vAlign w:val="center"/>
          </w:tcPr>
          <w:p w14:paraId="2493A0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539(46.5)</w:t>
            </w:r>
          </w:p>
        </w:tc>
        <w:tc>
          <w:tcPr>
            <w:tcW w:w="688" w:type="dxa"/>
            <w:tcBorders>
              <w:bottom w:val="single" w:color="auto" w:sz="4" w:space="0"/>
            </w:tcBorders>
            <w:vAlign w:val="center"/>
          </w:tcPr>
          <w:p w14:paraId="1F35221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0.0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301" w:type="dxa"/>
            <w:tcBorders>
              <w:bottom w:val="single" w:color="auto" w:sz="4" w:space="0"/>
            </w:tcBorders>
            <w:vAlign w:val="center"/>
          </w:tcPr>
          <w:p w14:paraId="2F397E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Times New Roman"/>
                <w:sz w:val="20"/>
                <w:szCs w:val="20"/>
              </w:rPr>
              <w:t>(42.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1734" w:type="dxa"/>
            <w:tcBorders>
              <w:bottom w:val="single" w:color="auto" w:sz="4" w:space="0"/>
            </w:tcBorders>
            <w:vAlign w:val="center"/>
          </w:tcPr>
          <w:p w14:paraId="0F0D1A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cs="Times New Roman"/>
                <w:sz w:val="20"/>
                <w:szCs w:val="20"/>
              </w:rPr>
              <w:t>(44.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748" w:type="dxa"/>
            <w:tcBorders>
              <w:bottom w:val="single" w:color="auto" w:sz="4" w:space="0"/>
            </w:tcBorders>
            <w:vAlign w:val="center"/>
          </w:tcPr>
          <w:p w14:paraId="1CAEFF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578</w:t>
            </w:r>
          </w:p>
        </w:tc>
      </w:tr>
      <w:tr w14:paraId="5A7B7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385" w:type="dxa"/>
            <w:gridSpan w:val="7"/>
            <w:tcBorders>
              <w:top w:val="single" w:color="auto" w:sz="4" w:space="0"/>
              <w:bottom w:val="nil"/>
            </w:tcBorders>
            <w:vAlign w:val="center"/>
          </w:tcPr>
          <w:p w14:paraId="0FD5B7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PSM, propensity score matching; GPI, glycoprotein IIb/IIIa inhibitor; LM, left main coronary artery</w:t>
            </w:r>
          </w:p>
        </w:tc>
      </w:tr>
    </w:tbl>
    <w:p w14:paraId="2199C166">
      <w:pPr>
        <w:rPr>
          <w:highlight w:val="none"/>
        </w:rPr>
      </w:pPr>
    </w:p>
    <w:tbl>
      <w:tblPr>
        <w:tblStyle w:val="5"/>
        <w:tblpPr w:leftFromText="180" w:rightFromText="180" w:vertAnchor="text" w:horzAnchor="page" w:tblpX="1044" w:tblpY="346"/>
        <w:tblOverlap w:val="never"/>
        <w:tblW w:w="505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"/>
        <w:gridCol w:w="1040"/>
        <w:gridCol w:w="2064"/>
        <w:gridCol w:w="2451"/>
        <w:gridCol w:w="1084"/>
        <w:gridCol w:w="2480"/>
        <w:gridCol w:w="820"/>
      </w:tblGrid>
      <w:tr w14:paraId="127D7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340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3199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hint="eastAsia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 xml:space="preserve">. Dose adjustment in the reduced-dose group. </w:t>
            </w:r>
            <w:r>
              <w:rPr>
                <w:rFonts w:hint="eastAsia" w:cs="Times New Roman"/>
                <w:sz w:val="20"/>
                <w:szCs w:val="20"/>
              </w:rPr>
              <w:t xml:space="preserve"> </w:t>
            </w:r>
          </w:p>
        </w:tc>
      </w:tr>
      <w:tr w14:paraId="3B0E49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401" w:type="dxa"/>
            <w:tcBorders>
              <w:top w:val="single" w:color="auto" w:sz="8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E81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B9D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weight(kg)</w:t>
            </w:r>
          </w:p>
        </w:tc>
        <w:tc>
          <w:tcPr>
            <w:tcW w:w="206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F5A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Loading dose</w:t>
            </w:r>
          </w:p>
          <w:p w14:paraId="2B282E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（0.75mg/kg）（ml）</w:t>
            </w:r>
          </w:p>
        </w:tc>
        <w:tc>
          <w:tcPr>
            <w:tcW w:w="245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641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Maintenance dose</w:t>
            </w:r>
          </w:p>
          <w:p w14:paraId="11FC18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（1.75 mg/kg/h）（ml/h）</w:t>
            </w:r>
          </w:p>
        </w:tc>
        <w:tc>
          <w:tcPr>
            <w:tcW w:w="108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AD2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ACT value</w:t>
            </w:r>
          </w:p>
        </w:tc>
        <w:tc>
          <w:tcPr>
            <w:tcW w:w="24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EC9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Adjust to recommended dose</w:t>
            </w:r>
          </w:p>
        </w:tc>
        <w:tc>
          <w:tcPr>
            <w:tcW w:w="82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E0C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ACT</w:t>
            </w:r>
          </w:p>
        </w:tc>
      </w:tr>
      <w:tr w14:paraId="5F624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4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612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F8754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5F0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245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5B09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29E7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6CB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9ml i.v.,21ml/h ivgt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68D7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14:paraId="34765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C5B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82E5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F38C0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32C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A751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61C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10ml i.v.,23ml/h ivgt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045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428</w:t>
            </w:r>
          </w:p>
        </w:tc>
      </w:tr>
      <w:tr w14:paraId="07E1F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22CE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FF332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9BB2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8F24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0D2D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4D6A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10.5ml i.v.,24.5ml/h ivgt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B6716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352</w:t>
            </w:r>
          </w:p>
        </w:tc>
      </w:tr>
      <w:tr w14:paraId="59B44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88D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710A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1E46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8D79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38BF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7788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13ml i.v.,30ml/h ivgt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8B778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14:paraId="4C60A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DE4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CEA1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3BB4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174D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ACBE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7AB6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10.5ml i.v.,24.5ml/h ivgt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841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14:paraId="3736F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46B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771D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B0CE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245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AA22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0840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B40A3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10.5ml i.v.,24.5ml/h ivgt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0575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387</w:t>
            </w:r>
          </w:p>
        </w:tc>
      </w:tr>
      <w:tr w14:paraId="53ED8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034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B2C0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i.v.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Intravenous injection;Ivgtt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intervenous drop infusion</w:t>
            </w:r>
          </w:p>
        </w:tc>
      </w:tr>
    </w:tbl>
    <w:p w14:paraId="1BA52E22">
      <w:pPr>
        <w:rPr>
          <w:highlight w:val="none"/>
        </w:rPr>
      </w:pPr>
    </w:p>
    <w:p w14:paraId="248064A8">
      <w:pPr>
        <w:rPr>
          <w:highlight w:val="none"/>
        </w:rPr>
      </w:pPr>
    </w:p>
    <w:p w14:paraId="49AE8090">
      <w:pPr>
        <w:rPr>
          <w:highlight w:val="none"/>
        </w:rPr>
      </w:pPr>
    </w:p>
    <w:p w14:paraId="6201CDD0">
      <w:pPr>
        <w:rPr>
          <w:highlight w:val="none"/>
        </w:rPr>
      </w:pPr>
      <w:bookmarkStart w:id="0" w:name="_GoBack"/>
      <w:bookmarkEnd w:id="0"/>
    </w:p>
    <w:tbl>
      <w:tblPr>
        <w:tblStyle w:val="5"/>
        <w:tblpPr w:leftFromText="180" w:rightFromText="180" w:vertAnchor="text" w:horzAnchor="page" w:tblpX="1029" w:tblpY="75"/>
        <w:tblOverlap w:val="never"/>
        <w:tblW w:w="4932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1158"/>
        <w:gridCol w:w="2239"/>
        <w:gridCol w:w="2458"/>
        <w:gridCol w:w="1064"/>
        <w:gridCol w:w="1659"/>
        <w:gridCol w:w="1033"/>
      </w:tblGrid>
      <w:tr w14:paraId="0A949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75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164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hint="eastAsia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 Dose adjustment in the recommended-dose group.  </w:t>
            </w:r>
          </w:p>
        </w:tc>
      </w:tr>
      <w:tr w14:paraId="3DD8C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65" w:type="dxa"/>
            <w:tcBorders>
              <w:top w:val="single" w:color="auto" w:sz="8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3C7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51BA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weight(kg)</w:t>
            </w:r>
          </w:p>
        </w:tc>
        <w:tc>
          <w:tcPr>
            <w:tcW w:w="214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0FD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Loading dose</w:t>
            </w:r>
          </w:p>
          <w:p w14:paraId="5D458DD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（0.75mg/kg）（ml）</w:t>
            </w:r>
          </w:p>
        </w:tc>
        <w:tc>
          <w:tcPr>
            <w:tcW w:w="235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E759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Maintenance dose</w:t>
            </w:r>
          </w:p>
          <w:p w14:paraId="1F7DE1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（1.75 mg/kg/h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>)</w:t>
            </w:r>
            <w:r>
              <w:rPr>
                <w:rFonts w:hint="eastAsia" w:cs="Times New Roman"/>
                <w:sz w:val="20"/>
                <w:szCs w:val="20"/>
              </w:rPr>
              <w:t>（ml/h）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FE3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ACT value</w:t>
            </w:r>
          </w:p>
        </w:tc>
        <w:tc>
          <w:tcPr>
            <w:tcW w:w="159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B330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Additional dose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64B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ACT</w:t>
            </w:r>
          </w:p>
        </w:tc>
      </w:tr>
      <w:tr w14:paraId="447FC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C8A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E5F5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64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6003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10.0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688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23.0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1EF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243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C98A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2D8A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281</w:t>
            </w:r>
          </w:p>
        </w:tc>
      </w:tr>
      <w:tr w14:paraId="0A4F1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ED4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38E6F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85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7B17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60D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59BA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D203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7318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402</w:t>
            </w:r>
          </w:p>
        </w:tc>
      </w:tr>
      <w:tr w14:paraId="449CD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9EC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F516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70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B4724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10.5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7197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09A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FEA2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26DF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375</w:t>
            </w:r>
          </w:p>
        </w:tc>
      </w:tr>
      <w:tr w14:paraId="35E1C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1DB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A6DF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8BF2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9.0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35F8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CC6A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9B04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808F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325</w:t>
            </w:r>
          </w:p>
        </w:tc>
      </w:tr>
      <w:tr w14:paraId="11D873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DCF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7E92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70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8FB5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25F1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26.0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499D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248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247C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5C18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273</w:t>
            </w:r>
          </w:p>
        </w:tc>
      </w:tr>
      <w:tr w14:paraId="1F711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8B0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3754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95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36C75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C72A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4D53F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512E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2A95F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523</w:t>
            </w:r>
          </w:p>
        </w:tc>
      </w:tr>
      <w:tr w14:paraId="2CDAB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849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D3E5F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47EC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F7402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26.0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132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865A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860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330</w:t>
            </w:r>
          </w:p>
        </w:tc>
      </w:tr>
      <w:tr w14:paraId="610BD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A4D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58B7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98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1418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CB63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1EB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85FA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7AF3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300</w:t>
            </w:r>
          </w:p>
        </w:tc>
      </w:tr>
      <w:tr w14:paraId="74F19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561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BEC0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4EF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10.0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3AF5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96BC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C15E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CE6B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308</w:t>
            </w:r>
          </w:p>
        </w:tc>
      </w:tr>
      <w:tr w14:paraId="415B6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F0D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5701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65AE0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10.0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D637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23.0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FA21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233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536E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3ml i.v.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A314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379</w:t>
            </w:r>
          </w:p>
        </w:tc>
      </w:tr>
      <w:tr w14:paraId="291F0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6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B4B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i.v</w:t>
            </w:r>
            <w:r>
              <w:rPr>
                <w:rFonts w:hint="eastAsia" w:cs="Times New Roman"/>
                <w:sz w:val="20"/>
                <w:szCs w:val="20"/>
                <w:lang w:eastAsia="zh-CN"/>
              </w:rPr>
              <w:t>.,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 w:cs="Times New Roman"/>
                <w:sz w:val="20"/>
                <w:szCs w:val="20"/>
              </w:rPr>
              <w:t>Intravenous injection;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 w:cs="Times New Roman"/>
                <w:sz w:val="20"/>
                <w:szCs w:val="20"/>
              </w:rPr>
              <w:t>Ivgtt</w:t>
            </w:r>
            <w:r>
              <w:rPr>
                <w:rFonts w:hint="eastAsia" w:cs="Times New Roman"/>
                <w:sz w:val="20"/>
                <w:szCs w:val="20"/>
                <w:lang w:eastAsia="zh-CN"/>
              </w:rPr>
              <w:t>,,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 w:cs="Times New Roman"/>
                <w:sz w:val="20"/>
                <w:szCs w:val="20"/>
              </w:rPr>
              <w:t>intervenous drop infusion</w:t>
            </w:r>
          </w:p>
        </w:tc>
      </w:tr>
      <w:tr w14:paraId="07FB1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67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7108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eastAsia" w:cs="Times New Roman"/>
                <w:sz w:val="20"/>
                <w:szCs w:val="20"/>
              </w:rPr>
            </w:pPr>
          </w:p>
        </w:tc>
      </w:tr>
    </w:tbl>
    <w:tbl>
      <w:tblPr>
        <w:tblStyle w:val="5"/>
        <w:tblpPr w:leftFromText="180" w:rightFromText="180" w:vertAnchor="text" w:horzAnchor="page" w:tblpX="869" w:tblpY="-7584"/>
        <w:tblOverlap w:val="never"/>
        <w:tblW w:w="5158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4"/>
        <w:gridCol w:w="1551"/>
        <w:gridCol w:w="1823"/>
        <w:gridCol w:w="799"/>
        <w:gridCol w:w="1506"/>
        <w:gridCol w:w="1806"/>
        <w:gridCol w:w="801"/>
      </w:tblGrid>
      <w:tr w14:paraId="56514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560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9BF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hint="eastAsia" w:cs="Times New Roman"/>
                <w:b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30 days outcomes.</w:t>
            </w:r>
          </w:p>
        </w:tc>
      </w:tr>
      <w:tr w14:paraId="2BB6D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274" w:type="dxa"/>
            <w:vMerge w:val="restart"/>
            <w:tcBorders>
              <w:top w:val="single" w:color="auto" w:sz="8" w:space="0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A00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Events, no. (%)</w:t>
            </w:r>
          </w:p>
        </w:tc>
        <w:tc>
          <w:tcPr>
            <w:tcW w:w="417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559D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Before  PSM</w:t>
            </w:r>
          </w:p>
        </w:tc>
        <w:tc>
          <w:tcPr>
            <w:tcW w:w="411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B37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After  PSM</w:t>
            </w:r>
          </w:p>
        </w:tc>
      </w:tr>
      <w:tr w14:paraId="6A19D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274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703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09D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reduced-dose</w:t>
            </w:r>
          </w:p>
          <w:p w14:paraId="18F782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(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</w:rPr>
              <w:t>83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77A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recommended-dose (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</w:rPr>
              <w:t>11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D17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P value</w:t>
            </w:r>
          </w:p>
        </w:tc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416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reduced-dose</w:t>
            </w:r>
          </w:p>
          <w:p w14:paraId="708EA4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(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</w:rPr>
              <w:t>79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522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recommended</w:t>
            </w:r>
            <w:r>
              <w:rPr>
                <w:rFonts w:hint="eastAsia"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dose</w:t>
            </w:r>
            <w:r>
              <w:rPr>
                <w:rFonts w:hint="eastAsia" w:cs="Times New Roman"/>
                <w:sz w:val="20"/>
                <w:szCs w:val="20"/>
              </w:rPr>
              <w:t xml:space="preserve"> (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>n=</w:t>
            </w:r>
            <w:r>
              <w:rPr>
                <w:rFonts w:hint="eastAsia" w:cs="Times New Roman"/>
                <w:sz w:val="20"/>
                <w:szCs w:val="20"/>
              </w:rPr>
              <w:t>79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DC1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P value</w:t>
            </w:r>
          </w:p>
        </w:tc>
      </w:tr>
      <w:tr w14:paraId="0C7CE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78A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All NACE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66A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cs="Times New Roman"/>
                <w:sz w:val="20"/>
                <w:szCs w:val="20"/>
              </w:rPr>
              <w:t>(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cs="Times New Roman"/>
                <w:sz w:val="20"/>
                <w:szCs w:val="20"/>
              </w:rPr>
              <w:t>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A18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51(4.4)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377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0.5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7EE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40(5.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6CF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36(4.5)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7F2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0.63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8</w:t>
            </w:r>
          </w:p>
        </w:tc>
      </w:tr>
      <w:tr w14:paraId="664AE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302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NACE</w:t>
            </w:r>
          </w:p>
          <w:p w14:paraId="561FF4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（no BARC 1</w:t>
            </w:r>
            <w:r>
              <w:rPr>
                <w:rFonts w:hint="eastAsia" w:eastAsia="宋体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cs="Times New Roman"/>
                <w:sz w:val="20"/>
                <w:szCs w:val="20"/>
              </w:rPr>
              <w:t>bleeding）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841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4(0.5)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5EA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9(0.8)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DFD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0.4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5E2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4(0.5)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199A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5(0.6)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114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7CC3E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D92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MACCE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613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920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4(0.3)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B7D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0C6F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20F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307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204B0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94B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All-cause death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55F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2F7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818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513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4EE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D57D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7D3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0122E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7BA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Stroke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A50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2397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3A4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575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D82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02B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622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500</w:t>
            </w:r>
          </w:p>
        </w:tc>
      </w:tr>
      <w:tr w14:paraId="70686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DCB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hemorrhagic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B89C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3F4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1B3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5042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D18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8E6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</w:tr>
      <w:tr w14:paraId="5D191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BE5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Ischemic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0CD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315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D52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575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88C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665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82B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500</w:t>
            </w:r>
          </w:p>
        </w:tc>
      </w:tr>
      <w:tr w14:paraId="119F3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490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Stent thrombosis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644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E56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3DA7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B3F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317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BD5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</w:tr>
      <w:tr w14:paraId="7FA6D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DE9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899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EB03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3(0.3)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75A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270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43A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542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5E4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2D9CA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7DD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Cardiac death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A2D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393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39FC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highlight w:val="none"/>
              </w:rPr>
              <w:t>0.</w:t>
            </w:r>
            <w:r>
              <w:rPr>
                <w:rFonts w:hint="eastAsia" w:cs="Times New Roman"/>
                <w:sz w:val="20"/>
                <w:szCs w:val="20"/>
                <w:highlight w:val="none"/>
                <w:lang w:val="en-US" w:eastAsia="zh-CN"/>
              </w:rPr>
              <w:t>513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CB6D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C033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F3D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2295B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55CC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revascularization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575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0ADD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518D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DA3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D52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F34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</w:tr>
      <w:tr w14:paraId="3C857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CC8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   target vessel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03E2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A9D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9F5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572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034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E2C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</w:tr>
      <w:tr w14:paraId="2B25B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4F3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   non target vessel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A30A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994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DC1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1.000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655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FF3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EA2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</w:tr>
      <w:tr w14:paraId="1DDBA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CEB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 Non-fatal MI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208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8A5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9C6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EDC3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311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0(0.0)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262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—</w:t>
            </w:r>
          </w:p>
        </w:tc>
      </w:tr>
      <w:tr w14:paraId="14997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A19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Bleeding events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C33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38F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942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847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91C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76C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</w:p>
        </w:tc>
      </w:tr>
      <w:tr w14:paraId="31121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3A2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All bleeding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B3C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39</w:t>
            </w:r>
            <w:r>
              <w:rPr>
                <w:rFonts w:hint="eastAsia" w:cs="Times New Roman"/>
                <w:sz w:val="20"/>
                <w:szCs w:val="20"/>
              </w:rPr>
              <w:t>(4.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EAE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47(4.1)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5DB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491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C0D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38(4.8)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2682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35(4.4)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37A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eastAsia" w:cs="Times New Roman" w:eastAsiaTheme="minorEastAsia"/>
                <w:sz w:val="13"/>
                <w:szCs w:val="13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0.71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9</w:t>
            </w:r>
          </w:p>
        </w:tc>
      </w:tr>
      <w:tr w14:paraId="4B066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066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BARC  2-5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0BC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C33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5(0.4)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48C9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706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E7A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2(0.3)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B96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4(0.5)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4D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687</w:t>
            </w:r>
          </w:p>
        </w:tc>
      </w:tr>
      <w:tr w14:paraId="65AEE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2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3A8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     BARC  3-5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287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730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3(0.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cs="Times New Roman"/>
                <w:sz w:val="20"/>
                <w:szCs w:val="20"/>
              </w:rPr>
              <w:t>)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2DD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645</w:t>
            </w: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031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1(0.1)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867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3(0.4)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48C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jc w:val="center"/>
              <w:textAlignment w:val="auto"/>
              <w:rPr>
                <w:rFonts w:hint="default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625</w:t>
            </w:r>
          </w:p>
        </w:tc>
      </w:tr>
      <w:tr w14:paraId="3B09C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56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653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BARC, Bleeding Academic Research Consortium; MACCE, major adverse cardiac or cerebral events; NACE, net adverse clinical events; MI: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 w:cs="Times New Roman"/>
                <w:sz w:val="20"/>
                <w:szCs w:val="20"/>
              </w:rPr>
              <w:t>myocardial infarction</w:t>
            </w:r>
          </w:p>
        </w:tc>
      </w:tr>
    </w:tbl>
    <w:p w14:paraId="08BD1A4E">
      <w:pPr>
        <w:rPr>
          <w:rFonts w:hint="eastAsia" w:eastAsiaTheme="minorEastAsia"/>
          <w:lang w:eastAsia="zh-CN"/>
        </w:rPr>
      </w:pP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zZmZWFiMTFmOTc0OGQ0NGU5ZjZiY2EzZmMyNmYifQ=="/>
  </w:docVars>
  <w:rsids>
    <w:rsidRoot w:val="00000000"/>
    <w:rsid w:val="010F3B4F"/>
    <w:rsid w:val="026F6A6C"/>
    <w:rsid w:val="02CB1CF7"/>
    <w:rsid w:val="03900028"/>
    <w:rsid w:val="03BC4DED"/>
    <w:rsid w:val="054758AF"/>
    <w:rsid w:val="05C80770"/>
    <w:rsid w:val="05F83594"/>
    <w:rsid w:val="07407EFD"/>
    <w:rsid w:val="08DF21C2"/>
    <w:rsid w:val="0AE74488"/>
    <w:rsid w:val="0B2C2976"/>
    <w:rsid w:val="0B716606"/>
    <w:rsid w:val="0B9770D0"/>
    <w:rsid w:val="0E223360"/>
    <w:rsid w:val="130C66BB"/>
    <w:rsid w:val="15F003E8"/>
    <w:rsid w:val="1A232D3D"/>
    <w:rsid w:val="1BD12205"/>
    <w:rsid w:val="1DB16A22"/>
    <w:rsid w:val="1EAC46D5"/>
    <w:rsid w:val="20257394"/>
    <w:rsid w:val="26075CA4"/>
    <w:rsid w:val="2A0C28A0"/>
    <w:rsid w:val="2AE673EF"/>
    <w:rsid w:val="2E224612"/>
    <w:rsid w:val="2FC86455"/>
    <w:rsid w:val="3625520F"/>
    <w:rsid w:val="38262F51"/>
    <w:rsid w:val="38F24AEF"/>
    <w:rsid w:val="39445032"/>
    <w:rsid w:val="3B5C3E0E"/>
    <w:rsid w:val="3F213F04"/>
    <w:rsid w:val="3F7B6278"/>
    <w:rsid w:val="40355664"/>
    <w:rsid w:val="433C187A"/>
    <w:rsid w:val="47723E24"/>
    <w:rsid w:val="4B217CD3"/>
    <w:rsid w:val="4B92170D"/>
    <w:rsid w:val="4DEA6AA2"/>
    <w:rsid w:val="4E040756"/>
    <w:rsid w:val="4E870F87"/>
    <w:rsid w:val="524A6954"/>
    <w:rsid w:val="533E519B"/>
    <w:rsid w:val="546C7FD0"/>
    <w:rsid w:val="55865E6E"/>
    <w:rsid w:val="58AD7B14"/>
    <w:rsid w:val="5C732C8F"/>
    <w:rsid w:val="5C747DDF"/>
    <w:rsid w:val="5F113BE4"/>
    <w:rsid w:val="5F5D1CEF"/>
    <w:rsid w:val="6189617B"/>
    <w:rsid w:val="63186E2F"/>
    <w:rsid w:val="64E554B8"/>
    <w:rsid w:val="68C819E0"/>
    <w:rsid w:val="6AF35162"/>
    <w:rsid w:val="6CB80BCC"/>
    <w:rsid w:val="6D7C778B"/>
    <w:rsid w:val="6E6F1419"/>
    <w:rsid w:val="6F375597"/>
    <w:rsid w:val="7074582F"/>
    <w:rsid w:val="72AE1E9A"/>
    <w:rsid w:val="734A2905"/>
    <w:rsid w:val="74E16401"/>
    <w:rsid w:val="75D13BBB"/>
    <w:rsid w:val="78AF35D1"/>
    <w:rsid w:val="7E3314F0"/>
    <w:rsid w:val="7FA6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both"/>
      <w:outlineLvl w:val="1"/>
    </w:pPr>
    <w:rPr>
      <w:rFonts w:eastAsia="黑体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spacing w:beforeAutospacing="0" w:afterAutospacing="1"/>
      <w:ind w:firstLine="0" w:firstLineChars="0"/>
      <w:jc w:val="both"/>
      <w:outlineLvl w:val="2"/>
    </w:pPr>
    <w:rPr>
      <w:bCs/>
      <w:kern w:val="0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0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8">
    <w:name w:val="标题 3 Char"/>
    <w:link w:val="4"/>
    <w:qFormat/>
    <w:uiPriority w:val="0"/>
    <w:rPr>
      <w:rFonts w:hint="default" w:ascii="Times New Roman" w:hAnsi="Times New Roman" w:eastAsia="宋体"/>
      <w:bCs/>
      <w:kern w:val="0"/>
      <w:sz w:val="24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1074</Words>
  <Characters>6666</Characters>
  <Lines>0</Lines>
  <Paragraphs>0</Paragraphs>
  <TotalTime>0</TotalTime>
  <ScaleCrop>false</ScaleCrop>
  <LinksUpToDate>false</LinksUpToDate>
  <CharactersWithSpaces>7218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2023-04-25T01:30:00Z</dcterms:created>
  <dc:creator>yesuaiwo</dc:creator>
  <cp:lastModifiedBy>liuyan</cp:lastModifiedBy>
  <dcterms:modified xsi:type="dcterms:W3CDTF">2024-11-06T09:54:27Z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858B798620D64A5D84CC27F7FB5BA12B_12</vt:lpwstr>
  </property>
</Properties>
</file>