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CC9AC">
      <w:pPr>
        <w:spacing w:line="276" w:lineRule="auto"/>
        <w:rPr>
          <w:rFonts w:ascii="Times New Roman" w:hAnsi="Times New Roman" w:eastAsia="宋体"/>
          <w:b/>
          <w:bCs/>
          <w:sz w:val="24"/>
          <w:szCs w:val="28"/>
        </w:rPr>
      </w:pPr>
      <w:r>
        <w:rPr>
          <w:rFonts w:ascii="Times New Roman" w:hAnsi="Times New Roman" w:eastAsia="宋体"/>
          <w:b/>
          <w:bCs/>
          <w:sz w:val="24"/>
          <w:szCs w:val="28"/>
        </w:rPr>
        <w:t xml:space="preserve">Table </w:t>
      </w:r>
      <w:r>
        <w:rPr>
          <w:rFonts w:hint="eastAsia" w:ascii="Times New Roman" w:hAnsi="Times New Roman" w:eastAsia="宋体"/>
          <w:b/>
          <w:bCs/>
          <w:sz w:val="24"/>
          <w:szCs w:val="28"/>
        </w:rPr>
        <w:t>S</w:t>
      </w:r>
      <w:r>
        <w:rPr>
          <w:rFonts w:ascii="Times New Roman" w:hAnsi="Times New Roman" w:eastAsia="宋体"/>
          <w:b/>
          <w:bCs/>
          <w:sz w:val="24"/>
          <w:szCs w:val="28"/>
        </w:rPr>
        <w:t>1: Responsibilities of Different Personnel in the Three-Tier Prevention and Control System for Cardiovascular and Cerebrovascular Diseases</w:t>
      </w:r>
    </w:p>
    <w:tbl>
      <w:tblPr>
        <w:tblStyle w:val="5"/>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6946"/>
      </w:tblGrid>
      <w:tr w14:paraId="65670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jc w:val="center"/>
        </w:trPr>
        <w:tc>
          <w:tcPr>
            <w:tcW w:w="1838" w:type="dxa"/>
            <w:noWrap/>
          </w:tcPr>
          <w:p w14:paraId="40D20F97">
            <w:pPr>
              <w:spacing w:line="276" w:lineRule="auto"/>
              <w:rPr>
                <w:rFonts w:ascii="Times New Roman" w:hAnsi="Times New Roman" w:eastAsia="宋体"/>
                <w:sz w:val="20"/>
                <w:szCs w:val="20"/>
              </w:rPr>
            </w:pPr>
            <w:r>
              <w:rPr>
                <w:rFonts w:hint="eastAsia" w:ascii="Times New Roman" w:hAnsi="Times New Roman" w:eastAsia="宋体"/>
                <w:sz w:val="20"/>
                <w:szCs w:val="20"/>
              </w:rPr>
              <w:t>Responsibilities of patients</w:t>
            </w:r>
          </w:p>
        </w:tc>
        <w:tc>
          <w:tcPr>
            <w:tcW w:w="6946" w:type="dxa"/>
          </w:tcPr>
          <w:p w14:paraId="55ACE8AC">
            <w:pPr>
              <w:spacing w:line="276" w:lineRule="auto"/>
              <w:rPr>
                <w:rFonts w:ascii="Times New Roman" w:hAnsi="Times New Roman" w:eastAsia="宋体"/>
                <w:sz w:val="20"/>
                <w:szCs w:val="20"/>
              </w:rPr>
            </w:pPr>
            <w:r>
              <w:rPr>
                <w:rFonts w:hint="eastAsia" w:ascii="Times New Roman" w:hAnsi="Times New Roman" w:eastAsia="宋体"/>
                <w:sz w:val="20"/>
                <w:szCs w:val="20"/>
              </w:rPr>
              <w:t>patients are expected, upon informed consent, to provide accurate information about their medical condition to healthcare providers and undergo physical examinations and additional tests. They, along with their families, should assist healthcar</w:t>
            </w:r>
            <w:bookmarkStart w:id="0" w:name="_GoBack"/>
            <w:bookmarkEnd w:id="0"/>
            <w:r>
              <w:rPr>
                <w:rFonts w:hint="eastAsia" w:ascii="Times New Roman" w:hAnsi="Times New Roman" w:eastAsia="宋体"/>
                <w:sz w:val="20"/>
                <w:szCs w:val="20"/>
              </w:rPr>
              <w:t>e professionals in creating electronic health records, complying with prescribed management procedures, and promptly and efficiently communicating relevant information to healthcare providers. Education can empower patients with fundamental understanding of common symptoms, self-assessment techniques, and daily care practices, enhancing their self-management skills and awareness</w:t>
            </w:r>
            <w:r>
              <w:rPr>
                <w:rFonts w:ascii="Times New Roman" w:hAnsi="Times New Roman" w:eastAsia="宋体"/>
                <w:sz w:val="20"/>
                <w:szCs w:val="20"/>
              </w:rPr>
              <w:t>.</w:t>
            </w:r>
          </w:p>
        </w:tc>
      </w:tr>
      <w:tr w14:paraId="294C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jc w:val="center"/>
        </w:trPr>
        <w:tc>
          <w:tcPr>
            <w:tcW w:w="1838" w:type="dxa"/>
            <w:noWrap/>
          </w:tcPr>
          <w:p w14:paraId="3B77E0F5">
            <w:pPr>
              <w:spacing w:line="276" w:lineRule="auto"/>
              <w:rPr>
                <w:rFonts w:ascii="Times New Roman" w:hAnsi="Times New Roman" w:eastAsia="宋体"/>
                <w:sz w:val="20"/>
                <w:szCs w:val="20"/>
              </w:rPr>
            </w:pPr>
            <w:r>
              <w:rPr>
                <w:rFonts w:hint="eastAsia" w:ascii="Times New Roman" w:hAnsi="Times New Roman" w:eastAsia="宋体"/>
                <w:sz w:val="20"/>
                <w:szCs w:val="20"/>
              </w:rPr>
              <w:t>Responsibilities of village doctors</w:t>
            </w:r>
          </w:p>
        </w:tc>
        <w:tc>
          <w:tcPr>
            <w:tcW w:w="6946" w:type="dxa"/>
          </w:tcPr>
          <w:p w14:paraId="00FDF27F">
            <w:pPr>
              <w:spacing w:line="276" w:lineRule="auto"/>
              <w:rPr>
                <w:rFonts w:ascii="Times New Roman" w:hAnsi="Times New Roman" w:eastAsia="宋体"/>
                <w:sz w:val="20"/>
                <w:szCs w:val="20"/>
              </w:rPr>
            </w:pPr>
            <w:r>
              <w:rPr>
                <w:rFonts w:hint="eastAsia" w:ascii="Times New Roman" w:hAnsi="Times New Roman" w:eastAsia="宋体"/>
                <w:sz w:val="20"/>
                <w:szCs w:val="20"/>
              </w:rPr>
              <w:t>village doctors rely on the family doctor contracting system to establish chronic disease records for patients and conduct health education, regular follow-ups, and supervision among the cardiovascular and cerebrovascular disease population through face-to-face or online methods, enhancing patients' health awareness.  They utilize equipment such as electrocardiograms, blood glucose meters, blood pressure monitors, and network information platforms to conduct information collection within their jurisdiction.  They implement interventions for cardiovascular and cerebrovascular diseases, conduct scheduled follow-ups, and receive supervision from specialized doctors in tertiary hospitals.  They may conduct remote consultations or referrals for critically ill patients or those with poor treatment effects based on their condition.</w:t>
            </w:r>
          </w:p>
        </w:tc>
      </w:tr>
      <w:tr w14:paraId="7618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jc w:val="center"/>
        </w:trPr>
        <w:tc>
          <w:tcPr>
            <w:tcW w:w="1838" w:type="dxa"/>
            <w:noWrap/>
          </w:tcPr>
          <w:p w14:paraId="7B3B380F">
            <w:pPr>
              <w:spacing w:line="276" w:lineRule="auto"/>
              <w:rPr>
                <w:rFonts w:ascii="Times New Roman" w:hAnsi="Times New Roman" w:eastAsia="宋体"/>
                <w:sz w:val="20"/>
                <w:szCs w:val="20"/>
              </w:rPr>
            </w:pPr>
            <w:r>
              <w:rPr>
                <w:rFonts w:hint="eastAsia" w:ascii="Times New Roman" w:hAnsi="Times New Roman" w:eastAsia="宋体"/>
                <w:sz w:val="20"/>
                <w:szCs w:val="20"/>
              </w:rPr>
              <w:t>Responsibilities of specialists in tertiary hospitals</w:t>
            </w:r>
          </w:p>
        </w:tc>
        <w:tc>
          <w:tcPr>
            <w:tcW w:w="6946" w:type="dxa"/>
          </w:tcPr>
          <w:p w14:paraId="29E29FC8">
            <w:pPr>
              <w:spacing w:line="276" w:lineRule="auto"/>
              <w:rPr>
                <w:rFonts w:ascii="Times New Roman" w:hAnsi="Times New Roman" w:eastAsia="宋体"/>
                <w:sz w:val="20"/>
                <w:szCs w:val="20"/>
              </w:rPr>
            </w:pPr>
            <w:r>
              <w:rPr>
                <w:rFonts w:hint="eastAsia" w:ascii="Times New Roman" w:hAnsi="Times New Roman" w:eastAsia="宋体"/>
                <w:sz w:val="20"/>
                <w:szCs w:val="20"/>
              </w:rPr>
              <w:t>Specialists, through tiered diagnosis and treatment, medical alliances, and shared medical services, establish mechanisms for primary diagnosis, two-way referrals, triage for emergencies and non-emergencies, and cooperation between tertiary hospitals and grassroots medical institutions. Specialists from tertiary hospitals are responsible for defining parameters for collecting cardiovascular and cerebrovascular disease information, devising intervention technical schemes, overseeing their implementation, providing technical assistance, guiding treatments, conducting remote consultations, and making regular visits, all to facilitate the distribution of high-quality medical resources to grassroots levels.</w:t>
            </w:r>
          </w:p>
        </w:tc>
      </w:tr>
    </w:tbl>
    <w:p w14:paraId="017F12F6">
      <w:pPr>
        <w:spacing w:line="276" w:lineRule="auto"/>
        <w:rPr>
          <w:rFonts w:ascii="Times New Roman" w:hAnsi="Times New Roman" w:eastAsia="宋体"/>
          <w:sz w:val="24"/>
          <w:szCs w:val="28"/>
        </w:rPr>
      </w:pPr>
    </w:p>
    <w:p w14:paraId="43A33660">
      <w:pPr>
        <w:spacing w:line="276" w:lineRule="auto"/>
        <w:rPr>
          <w:rFonts w:ascii="Times New Roman" w:hAnsi="Times New Roman" w:eastAsia="宋体"/>
          <w:sz w:val="24"/>
          <w:szCs w:val="28"/>
        </w:rPr>
      </w:pPr>
    </w:p>
    <w:p w14:paraId="602B2974">
      <w:pPr>
        <w:spacing w:line="276" w:lineRule="auto"/>
        <w:rPr>
          <w:rFonts w:ascii="Times New Roman" w:hAnsi="Times New Roman" w:eastAsia="宋体"/>
          <w:sz w:val="24"/>
          <w:szCs w:val="28"/>
        </w:rPr>
      </w:pPr>
    </w:p>
    <w:p w14:paraId="68C48718">
      <w:pPr>
        <w:spacing w:line="276" w:lineRule="auto"/>
        <w:rPr>
          <w:rFonts w:ascii="Times New Roman" w:hAnsi="Times New Roman" w:eastAsia="宋体"/>
          <w:sz w:val="24"/>
          <w:szCs w:val="28"/>
        </w:rPr>
      </w:pPr>
    </w:p>
    <w:p w14:paraId="77258468">
      <w:pPr>
        <w:spacing w:line="276" w:lineRule="auto"/>
        <w:rPr>
          <w:rFonts w:ascii="Times New Roman" w:hAnsi="Times New Roman" w:eastAsia="宋体"/>
          <w:sz w:val="24"/>
          <w:szCs w:val="28"/>
        </w:rPr>
      </w:pPr>
    </w:p>
    <w:p w14:paraId="6D17203D">
      <w:pPr>
        <w:spacing w:line="276" w:lineRule="auto"/>
        <w:rPr>
          <w:rFonts w:ascii="Times New Roman" w:hAnsi="Times New Roman" w:eastAsia="宋体"/>
          <w:sz w:val="24"/>
          <w:szCs w:val="28"/>
        </w:rPr>
      </w:pPr>
    </w:p>
    <w:p w14:paraId="55ECAE08">
      <w:pPr>
        <w:spacing w:line="276" w:lineRule="auto"/>
        <w:rPr>
          <w:rFonts w:ascii="Times New Roman" w:hAnsi="Times New Roman" w:eastAsia="宋体"/>
          <w:sz w:val="24"/>
          <w:szCs w:val="28"/>
        </w:rPr>
      </w:pPr>
    </w:p>
    <w:p w14:paraId="5A464EE8">
      <w:pPr>
        <w:spacing w:line="276" w:lineRule="auto"/>
        <w:rPr>
          <w:rFonts w:ascii="Times New Roman" w:hAnsi="Times New Roman" w:eastAsia="宋体"/>
          <w:sz w:val="24"/>
          <w:szCs w:val="28"/>
        </w:rPr>
      </w:pPr>
    </w:p>
    <w:p w14:paraId="230EB249">
      <w:pPr>
        <w:spacing w:line="276" w:lineRule="auto"/>
        <w:rPr>
          <w:rFonts w:ascii="Times New Roman" w:hAnsi="Times New Roman" w:eastAsia="宋体"/>
          <w:b/>
          <w:bCs/>
          <w:sz w:val="24"/>
          <w:szCs w:val="28"/>
        </w:rPr>
      </w:pPr>
      <w:r>
        <w:rPr>
          <w:rFonts w:ascii="Times New Roman" w:hAnsi="Times New Roman" w:eastAsia="宋体"/>
          <w:b/>
          <w:bCs/>
          <w:sz w:val="24"/>
          <w:szCs w:val="28"/>
        </w:rPr>
        <w:t xml:space="preserve">Table </w:t>
      </w:r>
      <w:r>
        <w:rPr>
          <w:rFonts w:hint="eastAsia" w:ascii="Times New Roman" w:hAnsi="Times New Roman" w:eastAsia="宋体"/>
          <w:b/>
          <w:bCs/>
          <w:sz w:val="24"/>
          <w:szCs w:val="28"/>
        </w:rPr>
        <w:t>S</w:t>
      </w:r>
      <w:r>
        <w:rPr>
          <w:rFonts w:ascii="Times New Roman" w:hAnsi="Times New Roman" w:eastAsia="宋体"/>
          <w:b/>
          <w:bCs/>
          <w:sz w:val="24"/>
          <w:szCs w:val="28"/>
        </w:rPr>
        <w:t>2: Changes in the incidence of abnormal laboratory indicators after 12 months of health management</w:t>
      </w:r>
    </w:p>
    <w:tbl>
      <w:tblPr>
        <w:tblStyle w:val="9"/>
        <w:tblW w:w="9209" w:type="dxa"/>
        <w:jc w:val="center"/>
        <w:shd w:val="clear" w:color="auto" w:fill="FFFFFF" w:themeFill="background1"/>
        <w:tblLayout w:type="autofit"/>
        <w:tblCellMar>
          <w:top w:w="0" w:type="dxa"/>
          <w:left w:w="108" w:type="dxa"/>
          <w:bottom w:w="0" w:type="dxa"/>
          <w:right w:w="108" w:type="dxa"/>
        </w:tblCellMar>
      </w:tblPr>
      <w:tblGrid>
        <w:gridCol w:w="3500"/>
        <w:gridCol w:w="2449"/>
        <w:gridCol w:w="2126"/>
        <w:gridCol w:w="1134"/>
      </w:tblGrid>
      <w:tr w14:paraId="6181EF1B">
        <w:tblPrEx>
          <w:shd w:val="clear" w:color="auto" w:fill="FFFFFF" w:themeFill="background1"/>
          <w:tblCellMar>
            <w:top w:w="0" w:type="dxa"/>
            <w:left w:w="108" w:type="dxa"/>
            <w:bottom w:w="0" w:type="dxa"/>
            <w:right w:w="108" w:type="dxa"/>
          </w:tblCellMar>
        </w:tblPrEx>
        <w:trPr>
          <w:trHeight w:val="276" w:hRule="atLeast"/>
          <w:jc w:val="center"/>
        </w:trPr>
        <w:tc>
          <w:tcPr>
            <w:tcW w:w="3500" w:type="dxa"/>
            <w:tcBorders>
              <w:top w:val="single" w:color="auto" w:sz="4" w:space="0"/>
              <w:bottom w:val="single" w:color="auto" w:sz="4" w:space="0"/>
            </w:tcBorders>
            <w:shd w:val="clear" w:color="auto" w:fill="FFFFFF" w:themeFill="background1"/>
            <w:noWrap/>
          </w:tcPr>
          <w:p w14:paraId="05DA5DE2">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Laboratory index</w:t>
            </w:r>
          </w:p>
        </w:tc>
        <w:tc>
          <w:tcPr>
            <w:tcW w:w="2449" w:type="dxa"/>
            <w:tcBorders>
              <w:top w:val="single" w:color="auto" w:sz="4" w:space="0"/>
              <w:bottom w:val="single" w:color="auto" w:sz="4" w:space="0"/>
            </w:tcBorders>
            <w:shd w:val="clear" w:color="auto" w:fill="FFFFFF" w:themeFill="background1"/>
            <w:noWrap/>
          </w:tcPr>
          <w:p w14:paraId="255065E5">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Before management</w:t>
            </w:r>
          </w:p>
        </w:tc>
        <w:tc>
          <w:tcPr>
            <w:tcW w:w="2126" w:type="dxa"/>
            <w:tcBorders>
              <w:top w:val="single" w:color="auto" w:sz="4" w:space="0"/>
              <w:bottom w:val="single" w:color="auto" w:sz="4" w:space="0"/>
            </w:tcBorders>
            <w:shd w:val="clear" w:color="auto" w:fill="FFFFFF" w:themeFill="background1"/>
            <w:noWrap/>
          </w:tcPr>
          <w:p w14:paraId="1861BDE9">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After management</w:t>
            </w:r>
          </w:p>
        </w:tc>
        <w:tc>
          <w:tcPr>
            <w:tcW w:w="1134" w:type="dxa"/>
            <w:tcBorders>
              <w:top w:val="single" w:color="auto" w:sz="4" w:space="0"/>
              <w:bottom w:val="single" w:color="auto" w:sz="4" w:space="0"/>
            </w:tcBorders>
            <w:shd w:val="clear" w:color="auto" w:fill="FFFFFF" w:themeFill="background1"/>
            <w:noWrap/>
          </w:tcPr>
          <w:p w14:paraId="78BF6490">
            <w:pPr>
              <w:spacing w:line="276" w:lineRule="auto"/>
              <w:rPr>
                <w:rFonts w:ascii="Times New Roman" w:hAnsi="Times New Roman" w:eastAsia="宋体"/>
                <w:b w:val="0"/>
                <w:bCs w:val="0"/>
                <w:i/>
                <w:iCs/>
                <w:sz w:val="20"/>
                <w:szCs w:val="20"/>
              </w:rPr>
            </w:pPr>
            <w:r>
              <w:rPr>
                <w:rFonts w:hint="eastAsia" w:ascii="Times New Roman" w:hAnsi="Times New Roman" w:eastAsia="宋体"/>
                <w:b w:val="0"/>
                <w:bCs w:val="0"/>
                <w:i/>
                <w:iCs/>
                <w:sz w:val="20"/>
                <w:szCs w:val="20"/>
              </w:rPr>
              <w:t xml:space="preserve">P </w:t>
            </w:r>
          </w:p>
        </w:tc>
      </w:tr>
      <w:tr w14:paraId="00E0FE59">
        <w:tblPrEx>
          <w:shd w:val="clear" w:color="auto" w:fill="FFFFFF" w:themeFill="background1"/>
          <w:tblCellMar>
            <w:top w:w="0" w:type="dxa"/>
            <w:left w:w="108" w:type="dxa"/>
            <w:bottom w:w="0" w:type="dxa"/>
            <w:right w:w="108" w:type="dxa"/>
          </w:tblCellMar>
        </w:tblPrEx>
        <w:trPr>
          <w:trHeight w:val="276" w:hRule="atLeast"/>
          <w:jc w:val="center"/>
        </w:trPr>
        <w:tc>
          <w:tcPr>
            <w:tcW w:w="3500" w:type="dxa"/>
            <w:tcBorders>
              <w:top w:val="single" w:color="auto" w:sz="4" w:space="0"/>
            </w:tcBorders>
            <w:shd w:val="clear" w:color="auto" w:fill="FFFFFF" w:themeFill="background1"/>
            <w:noWrap/>
          </w:tcPr>
          <w:p w14:paraId="50BED652">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Blood routine</w:t>
            </w:r>
          </w:p>
        </w:tc>
        <w:tc>
          <w:tcPr>
            <w:tcW w:w="2449" w:type="dxa"/>
            <w:tcBorders>
              <w:top w:val="single" w:color="auto" w:sz="4" w:space="0"/>
            </w:tcBorders>
            <w:shd w:val="clear" w:color="auto" w:fill="FFFFFF" w:themeFill="background1"/>
            <w:noWrap/>
          </w:tcPr>
          <w:p w14:paraId="4430D6C3">
            <w:pPr>
              <w:spacing w:line="276" w:lineRule="auto"/>
              <w:rPr>
                <w:rFonts w:ascii="Times New Roman" w:hAnsi="Times New Roman" w:eastAsia="宋体"/>
                <w:sz w:val="20"/>
                <w:szCs w:val="20"/>
              </w:rPr>
            </w:pPr>
          </w:p>
        </w:tc>
        <w:tc>
          <w:tcPr>
            <w:tcW w:w="2126" w:type="dxa"/>
            <w:tcBorders>
              <w:top w:val="single" w:color="auto" w:sz="4" w:space="0"/>
            </w:tcBorders>
            <w:shd w:val="clear" w:color="auto" w:fill="FFFFFF" w:themeFill="background1"/>
            <w:noWrap/>
          </w:tcPr>
          <w:p w14:paraId="20ABE1EA">
            <w:pPr>
              <w:spacing w:line="276" w:lineRule="auto"/>
              <w:rPr>
                <w:rFonts w:ascii="Times New Roman" w:hAnsi="Times New Roman" w:eastAsia="宋体"/>
                <w:sz w:val="20"/>
                <w:szCs w:val="20"/>
              </w:rPr>
            </w:pPr>
          </w:p>
        </w:tc>
        <w:tc>
          <w:tcPr>
            <w:tcW w:w="1134" w:type="dxa"/>
            <w:tcBorders>
              <w:top w:val="single" w:color="auto" w:sz="4" w:space="0"/>
            </w:tcBorders>
            <w:shd w:val="clear" w:color="auto" w:fill="FFFFFF" w:themeFill="background1"/>
            <w:noWrap/>
          </w:tcPr>
          <w:p w14:paraId="7D069722">
            <w:pPr>
              <w:spacing w:line="276" w:lineRule="auto"/>
              <w:rPr>
                <w:rFonts w:ascii="Times New Roman" w:hAnsi="Times New Roman" w:eastAsia="宋体"/>
                <w:sz w:val="20"/>
                <w:szCs w:val="20"/>
              </w:rPr>
            </w:pPr>
          </w:p>
        </w:tc>
      </w:tr>
      <w:tr w14:paraId="21397AA3">
        <w:tblPrEx>
          <w:shd w:val="clear" w:color="auto" w:fill="FFFFFF" w:themeFill="background1"/>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528A4DB5">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White blood cell count</w:t>
            </w:r>
          </w:p>
        </w:tc>
        <w:tc>
          <w:tcPr>
            <w:tcW w:w="2449" w:type="dxa"/>
            <w:shd w:val="clear" w:color="auto" w:fill="FFFFFF" w:themeFill="background1"/>
            <w:noWrap/>
          </w:tcPr>
          <w:p w14:paraId="1ED40D7F">
            <w:pPr>
              <w:spacing w:line="276" w:lineRule="auto"/>
              <w:rPr>
                <w:rFonts w:ascii="Times New Roman" w:hAnsi="Times New Roman" w:eastAsia="宋体"/>
                <w:sz w:val="20"/>
                <w:szCs w:val="20"/>
              </w:rPr>
            </w:pPr>
            <w:r>
              <w:rPr>
                <w:rFonts w:hint="eastAsia" w:ascii="Times New Roman" w:hAnsi="Times New Roman" w:eastAsia="宋体"/>
                <w:sz w:val="20"/>
                <w:szCs w:val="20"/>
              </w:rPr>
              <w:t>92（6.15%）</w:t>
            </w:r>
          </w:p>
        </w:tc>
        <w:tc>
          <w:tcPr>
            <w:tcW w:w="2126" w:type="dxa"/>
            <w:shd w:val="clear" w:color="auto" w:fill="FFFFFF" w:themeFill="background1"/>
            <w:noWrap/>
          </w:tcPr>
          <w:p w14:paraId="48167FED">
            <w:pPr>
              <w:spacing w:line="276" w:lineRule="auto"/>
              <w:rPr>
                <w:rFonts w:ascii="Times New Roman" w:hAnsi="Times New Roman" w:eastAsia="宋体"/>
                <w:sz w:val="20"/>
                <w:szCs w:val="20"/>
              </w:rPr>
            </w:pPr>
            <w:r>
              <w:rPr>
                <w:rFonts w:hint="eastAsia" w:ascii="Times New Roman" w:hAnsi="Times New Roman" w:eastAsia="宋体"/>
                <w:sz w:val="20"/>
                <w:szCs w:val="20"/>
              </w:rPr>
              <w:t>87（5.82）</w:t>
            </w:r>
          </w:p>
        </w:tc>
        <w:tc>
          <w:tcPr>
            <w:tcW w:w="1134" w:type="dxa"/>
            <w:shd w:val="clear" w:color="auto" w:fill="FFFFFF" w:themeFill="background1"/>
            <w:noWrap/>
          </w:tcPr>
          <w:p w14:paraId="2236892E">
            <w:pPr>
              <w:spacing w:line="276" w:lineRule="auto"/>
              <w:rPr>
                <w:rFonts w:ascii="Times New Roman" w:hAnsi="Times New Roman" w:eastAsia="宋体"/>
                <w:sz w:val="20"/>
                <w:szCs w:val="20"/>
              </w:rPr>
            </w:pPr>
            <w:r>
              <w:rPr>
                <w:rFonts w:hint="eastAsia" w:ascii="Times New Roman" w:hAnsi="Times New Roman" w:eastAsia="宋体"/>
                <w:sz w:val="20"/>
                <w:szCs w:val="20"/>
              </w:rPr>
              <w:t>0.729</w:t>
            </w:r>
          </w:p>
        </w:tc>
      </w:tr>
      <w:tr w14:paraId="6B8330AC">
        <w:tblPrEx>
          <w:shd w:val="clear" w:color="auto" w:fill="FFFFFF" w:themeFill="background1"/>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35227949">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Red blood cell count</w:t>
            </w:r>
          </w:p>
        </w:tc>
        <w:tc>
          <w:tcPr>
            <w:tcW w:w="2449" w:type="dxa"/>
            <w:shd w:val="clear" w:color="auto" w:fill="FFFFFF" w:themeFill="background1"/>
            <w:noWrap/>
          </w:tcPr>
          <w:p w14:paraId="0693B699">
            <w:pPr>
              <w:spacing w:line="276" w:lineRule="auto"/>
              <w:rPr>
                <w:rFonts w:ascii="Times New Roman" w:hAnsi="Times New Roman" w:eastAsia="宋体"/>
                <w:sz w:val="20"/>
                <w:szCs w:val="20"/>
              </w:rPr>
            </w:pPr>
            <w:r>
              <w:rPr>
                <w:rFonts w:hint="eastAsia" w:ascii="Times New Roman" w:hAnsi="Times New Roman" w:eastAsia="宋体"/>
                <w:sz w:val="20"/>
                <w:szCs w:val="20"/>
              </w:rPr>
              <w:t>274（18.28%）</w:t>
            </w:r>
          </w:p>
        </w:tc>
        <w:tc>
          <w:tcPr>
            <w:tcW w:w="2126" w:type="dxa"/>
            <w:shd w:val="clear" w:color="auto" w:fill="FFFFFF" w:themeFill="background1"/>
            <w:noWrap/>
          </w:tcPr>
          <w:p w14:paraId="6BD0AD39">
            <w:pPr>
              <w:spacing w:line="276" w:lineRule="auto"/>
              <w:rPr>
                <w:rFonts w:ascii="Times New Roman" w:hAnsi="Times New Roman" w:eastAsia="宋体"/>
                <w:sz w:val="20"/>
                <w:szCs w:val="20"/>
              </w:rPr>
            </w:pPr>
            <w:r>
              <w:rPr>
                <w:rFonts w:hint="eastAsia" w:ascii="Times New Roman" w:hAnsi="Times New Roman" w:eastAsia="宋体"/>
                <w:sz w:val="20"/>
                <w:szCs w:val="20"/>
              </w:rPr>
              <w:t>295（19.68%）</w:t>
            </w:r>
          </w:p>
        </w:tc>
        <w:tc>
          <w:tcPr>
            <w:tcW w:w="1134" w:type="dxa"/>
            <w:shd w:val="clear" w:color="auto" w:fill="FFFFFF" w:themeFill="background1"/>
            <w:noWrap/>
          </w:tcPr>
          <w:p w14:paraId="3F9252E7">
            <w:pPr>
              <w:spacing w:line="276" w:lineRule="auto"/>
              <w:rPr>
                <w:rFonts w:ascii="Times New Roman" w:hAnsi="Times New Roman" w:eastAsia="宋体"/>
                <w:sz w:val="20"/>
                <w:szCs w:val="20"/>
              </w:rPr>
            </w:pPr>
            <w:r>
              <w:rPr>
                <w:rFonts w:hint="eastAsia" w:ascii="Times New Roman" w:hAnsi="Times New Roman" w:eastAsia="宋体"/>
                <w:sz w:val="20"/>
                <w:szCs w:val="20"/>
              </w:rPr>
              <w:t>0.299</w:t>
            </w:r>
          </w:p>
        </w:tc>
      </w:tr>
      <w:tr w14:paraId="498B5758">
        <w:tblPrEx>
          <w:shd w:val="clear" w:color="auto" w:fill="FFFFFF" w:themeFill="background1"/>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22EF1EA3">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Neutrophil ratio</w:t>
            </w:r>
          </w:p>
        </w:tc>
        <w:tc>
          <w:tcPr>
            <w:tcW w:w="2449" w:type="dxa"/>
            <w:shd w:val="clear" w:color="auto" w:fill="FFFFFF" w:themeFill="background1"/>
            <w:noWrap/>
          </w:tcPr>
          <w:p w14:paraId="4A771946">
            <w:pPr>
              <w:spacing w:line="276" w:lineRule="auto"/>
              <w:rPr>
                <w:rFonts w:ascii="Times New Roman" w:hAnsi="Times New Roman" w:eastAsia="宋体"/>
                <w:sz w:val="20"/>
                <w:szCs w:val="20"/>
              </w:rPr>
            </w:pPr>
            <w:r>
              <w:rPr>
                <w:rFonts w:hint="eastAsia" w:ascii="Times New Roman" w:hAnsi="Times New Roman" w:eastAsia="宋体"/>
                <w:sz w:val="20"/>
                <w:szCs w:val="20"/>
              </w:rPr>
              <w:t>125（8.33%）</w:t>
            </w:r>
          </w:p>
        </w:tc>
        <w:tc>
          <w:tcPr>
            <w:tcW w:w="2126" w:type="dxa"/>
            <w:shd w:val="clear" w:color="auto" w:fill="FFFFFF" w:themeFill="background1"/>
            <w:noWrap/>
          </w:tcPr>
          <w:p w14:paraId="561165E6">
            <w:pPr>
              <w:spacing w:line="276" w:lineRule="auto"/>
              <w:rPr>
                <w:rFonts w:ascii="Times New Roman" w:hAnsi="Times New Roman" w:eastAsia="宋体"/>
                <w:sz w:val="20"/>
                <w:szCs w:val="20"/>
              </w:rPr>
            </w:pPr>
            <w:r>
              <w:rPr>
                <w:rFonts w:hint="eastAsia" w:ascii="Times New Roman" w:hAnsi="Times New Roman" w:eastAsia="宋体"/>
                <w:sz w:val="20"/>
                <w:szCs w:val="20"/>
              </w:rPr>
              <w:t>100（6.67%）</w:t>
            </w:r>
          </w:p>
        </w:tc>
        <w:tc>
          <w:tcPr>
            <w:tcW w:w="1134" w:type="dxa"/>
            <w:shd w:val="clear" w:color="auto" w:fill="FFFFFF" w:themeFill="background1"/>
            <w:noWrap/>
          </w:tcPr>
          <w:p w14:paraId="747F0FBA">
            <w:pPr>
              <w:spacing w:line="276" w:lineRule="auto"/>
              <w:rPr>
                <w:rFonts w:ascii="Times New Roman" w:hAnsi="Times New Roman" w:eastAsia="宋体"/>
                <w:sz w:val="20"/>
                <w:szCs w:val="20"/>
              </w:rPr>
            </w:pPr>
            <w:r>
              <w:rPr>
                <w:rFonts w:hint="eastAsia" w:ascii="Times New Roman" w:hAnsi="Times New Roman" w:eastAsia="宋体"/>
                <w:sz w:val="20"/>
                <w:szCs w:val="20"/>
              </w:rPr>
              <w:t>0.078</w:t>
            </w:r>
          </w:p>
        </w:tc>
      </w:tr>
      <w:tr w14:paraId="0ECABBD2">
        <w:tblPrEx>
          <w:shd w:val="clear" w:color="auto" w:fill="FFFFFF" w:themeFill="background1"/>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01A29FB7">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Lymphocyte ratio</w:t>
            </w:r>
          </w:p>
        </w:tc>
        <w:tc>
          <w:tcPr>
            <w:tcW w:w="2449" w:type="dxa"/>
            <w:shd w:val="clear" w:color="auto" w:fill="FFFFFF" w:themeFill="background1"/>
            <w:noWrap/>
          </w:tcPr>
          <w:p w14:paraId="56D5F3AA">
            <w:pPr>
              <w:spacing w:line="276" w:lineRule="auto"/>
              <w:rPr>
                <w:rFonts w:ascii="Times New Roman" w:hAnsi="Times New Roman" w:eastAsia="宋体"/>
                <w:sz w:val="20"/>
                <w:szCs w:val="20"/>
              </w:rPr>
            </w:pPr>
            <w:r>
              <w:rPr>
                <w:rFonts w:hint="eastAsia" w:ascii="Times New Roman" w:hAnsi="Times New Roman" w:eastAsia="宋体"/>
                <w:sz w:val="20"/>
                <w:szCs w:val="20"/>
              </w:rPr>
              <w:t>151（10.12%）</w:t>
            </w:r>
          </w:p>
        </w:tc>
        <w:tc>
          <w:tcPr>
            <w:tcW w:w="2126" w:type="dxa"/>
            <w:shd w:val="clear" w:color="auto" w:fill="FFFFFF" w:themeFill="background1"/>
            <w:noWrap/>
          </w:tcPr>
          <w:p w14:paraId="68F1A5D6">
            <w:pPr>
              <w:spacing w:line="276" w:lineRule="auto"/>
              <w:rPr>
                <w:rFonts w:ascii="Times New Roman" w:hAnsi="Times New Roman" w:eastAsia="宋体"/>
                <w:sz w:val="20"/>
                <w:szCs w:val="20"/>
              </w:rPr>
            </w:pPr>
            <w:r>
              <w:rPr>
                <w:rFonts w:hint="eastAsia" w:ascii="Times New Roman" w:hAnsi="Times New Roman" w:eastAsia="宋体"/>
                <w:sz w:val="20"/>
                <w:szCs w:val="20"/>
              </w:rPr>
              <w:t>151（10.12%）</w:t>
            </w:r>
          </w:p>
        </w:tc>
        <w:tc>
          <w:tcPr>
            <w:tcW w:w="1134" w:type="dxa"/>
            <w:shd w:val="clear" w:color="auto" w:fill="FFFFFF" w:themeFill="background1"/>
            <w:noWrap/>
          </w:tcPr>
          <w:p w14:paraId="1973E952">
            <w:pPr>
              <w:spacing w:line="276" w:lineRule="auto"/>
              <w:rPr>
                <w:rFonts w:ascii="Times New Roman" w:hAnsi="Times New Roman" w:eastAsia="宋体"/>
                <w:sz w:val="20"/>
                <w:szCs w:val="20"/>
              </w:rPr>
            </w:pPr>
            <w:r>
              <w:rPr>
                <w:rFonts w:hint="eastAsia" w:ascii="Times New Roman" w:hAnsi="Times New Roman" w:eastAsia="宋体"/>
                <w:sz w:val="20"/>
                <w:szCs w:val="20"/>
              </w:rPr>
              <w:t>1</w:t>
            </w:r>
          </w:p>
        </w:tc>
      </w:tr>
      <w:tr w14:paraId="5C8D3D0D">
        <w:tblPrEx>
          <w:shd w:val="clear" w:color="auto" w:fill="FFFFFF" w:themeFill="background1"/>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12941047">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Urine routine</w:t>
            </w:r>
          </w:p>
        </w:tc>
        <w:tc>
          <w:tcPr>
            <w:tcW w:w="2449" w:type="dxa"/>
            <w:shd w:val="clear" w:color="auto" w:fill="FFFFFF" w:themeFill="background1"/>
            <w:noWrap/>
          </w:tcPr>
          <w:p w14:paraId="554134FB">
            <w:pPr>
              <w:spacing w:line="276" w:lineRule="auto"/>
              <w:rPr>
                <w:rFonts w:ascii="Times New Roman" w:hAnsi="Times New Roman" w:eastAsia="宋体"/>
                <w:sz w:val="20"/>
                <w:szCs w:val="20"/>
              </w:rPr>
            </w:pPr>
          </w:p>
        </w:tc>
        <w:tc>
          <w:tcPr>
            <w:tcW w:w="2126" w:type="dxa"/>
            <w:shd w:val="clear" w:color="auto" w:fill="FFFFFF" w:themeFill="background1"/>
            <w:noWrap/>
          </w:tcPr>
          <w:p w14:paraId="419A5C12">
            <w:pPr>
              <w:spacing w:line="276" w:lineRule="auto"/>
              <w:rPr>
                <w:rFonts w:ascii="Times New Roman" w:hAnsi="Times New Roman" w:eastAsia="宋体"/>
                <w:sz w:val="20"/>
                <w:szCs w:val="20"/>
              </w:rPr>
            </w:pPr>
          </w:p>
        </w:tc>
        <w:tc>
          <w:tcPr>
            <w:tcW w:w="1134" w:type="dxa"/>
            <w:shd w:val="clear" w:color="auto" w:fill="FFFFFF" w:themeFill="background1"/>
            <w:noWrap/>
          </w:tcPr>
          <w:p w14:paraId="59CB050A">
            <w:pPr>
              <w:spacing w:line="276" w:lineRule="auto"/>
              <w:rPr>
                <w:rFonts w:ascii="Times New Roman" w:hAnsi="Times New Roman" w:eastAsia="宋体"/>
                <w:sz w:val="20"/>
                <w:szCs w:val="20"/>
              </w:rPr>
            </w:pPr>
          </w:p>
        </w:tc>
      </w:tr>
      <w:tr w14:paraId="05BD1B32">
        <w:tblPrEx>
          <w:shd w:val="clear" w:color="auto" w:fill="FFFFFF" w:themeFill="background1"/>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2115A45F">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Urine white blood cell count</w:t>
            </w:r>
          </w:p>
        </w:tc>
        <w:tc>
          <w:tcPr>
            <w:tcW w:w="2449" w:type="dxa"/>
            <w:shd w:val="clear" w:color="auto" w:fill="FFFFFF" w:themeFill="background1"/>
            <w:noWrap/>
          </w:tcPr>
          <w:p w14:paraId="564F8556">
            <w:pPr>
              <w:spacing w:line="276" w:lineRule="auto"/>
              <w:rPr>
                <w:rFonts w:ascii="Times New Roman" w:hAnsi="Times New Roman" w:eastAsia="宋体"/>
                <w:sz w:val="20"/>
                <w:szCs w:val="20"/>
              </w:rPr>
            </w:pPr>
            <w:r>
              <w:rPr>
                <w:rFonts w:hint="eastAsia" w:ascii="Times New Roman" w:hAnsi="Times New Roman" w:eastAsia="宋体"/>
                <w:sz w:val="20"/>
                <w:szCs w:val="20"/>
              </w:rPr>
              <w:t>185（19.41）</w:t>
            </w:r>
          </w:p>
        </w:tc>
        <w:tc>
          <w:tcPr>
            <w:tcW w:w="2126" w:type="dxa"/>
            <w:shd w:val="clear" w:color="auto" w:fill="FFFFFF" w:themeFill="background1"/>
            <w:noWrap/>
          </w:tcPr>
          <w:p w14:paraId="43BB1041">
            <w:pPr>
              <w:spacing w:line="276" w:lineRule="auto"/>
              <w:rPr>
                <w:rFonts w:ascii="Times New Roman" w:hAnsi="Times New Roman" w:eastAsia="宋体"/>
                <w:sz w:val="20"/>
                <w:szCs w:val="20"/>
              </w:rPr>
            </w:pPr>
            <w:r>
              <w:rPr>
                <w:rFonts w:hint="eastAsia" w:ascii="Times New Roman" w:hAnsi="Times New Roman" w:eastAsia="宋体"/>
                <w:sz w:val="20"/>
                <w:szCs w:val="20"/>
              </w:rPr>
              <w:t>40（4.20%）</w:t>
            </w:r>
          </w:p>
        </w:tc>
        <w:tc>
          <w:tcPr>
            <w:tcW w:w="1134" w:type="dxa"/>
            <w:shd w:val="clear" w:color="auto" w:fill="FFFFFF" w:themeFill="background1"/>
            <w:noWrap/>
          </w:tcPr>
          <w:p w14:paraId="7A6B698C">
            <w:pPr>
              <w:spacing w:line="276" w:lineRule="auto"/>
              <w:rPr>
                <w:rFonts w:ascii="Times New Roman" w:hAnsi="Times New Roman" w:eastAsia="宋体"/>
                <w:sz w:val="20"/>
                <w:szCs w:val="20"/>
              </w:rPr>
            </w:pPr>
            <w:r>
              <w:rPr>
                <w:rFonts w:hint="eastAsia" w:ascii="Times New Roman" w:hAnsi="Times New Roman" w:eastAsia="宋体"/>
                <w:sz w:val="20"/>
                <w:szCs w:val="20"/>
              </w:rPr>
              <w:t>&lt; 0.001</w:t>
            </w:r>
          </w:p>
        </w:tc>
      </w:tr>
      <w:tr w14:paraId="172915A4">
        <w:tblPrEx>
          <w:shd w:val="clear" w:color="auto" w:fill="FFFFFF" w:themeFill="background1"/>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42C9000A">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Urine protein</w:t>
            </w:r>
          </w:p>
        </w:tc>
        <w:tc>
          <w:tcPr>
            <w:tcW w:w="2449" w:type="dxa"/>
            <w:shd w:val="clear" w:color="auto" w:fill="FFFFFF" w:themeFill="background1"/>
            <w:noWrap/>
          </w:tcPr>
          <w:p w14:paraId="34136649">
            <w:pPr>
              <w:spacing w:line="276" w:lineRule="auto"/>
              <w:rPr>
                <w:rFonts w:ascii="Times New Roman" w:hAnsi="Times New Roman" w:eastAsia="宋体"/>
                <w:sz w:val="20"/>
                <w:szCs w:val="20"/>
              </w:rPr>
            </w:pPr>
            <w:r>
              <w:rPr>
                <w:rFonts w:hint="eastAsia" w:ascii="Times New Roman" w:hAnsi="Times New Roman" w:eastAsia="宋体"/>
                <w:sz w:val="20"/>
                <w:szCs w:val="20"/>
              </w:rPr>
              <w:t>147（14.97%）</w:t>
            </w:r>
          </w:p>
        </w:tc>
        <w:tc>
          <w:tcPr>
            <w:tcW w:w="2126" w:type="dxa"/>
            <w:shd w:val="clear" w:color="auto" w:fill="FFFFFF" w:themeFill="background1"/>
            <w:noWrap/>
          </w:tcPr>
          <w:p w14:paraId="6747D283">
            <w:pPr>
              <w:spacing w:line="276" w:lineRule="auto"/>
              <w:rPr>
                <w:rFonts w:ascii="Times New Roman" w:hAnsi="Times New Roman" w:eastAsia="宋体"/>
                <w:sz w:val="20"/>
                <w:szCs w:val="20"/>
              </w:rPr>
            </w:pPr>
            <w:r>
              <w:rPr>
                <w:rFonts w:hint="eastAsia" w:ascii="Times New Roman" w:hAnsi="Times New Roman" w:eastAsia="宋体"/>
                <w:sz w:val="20"/>
                <w:szCs w:val="20"/>
              </w:rPr>
              <w:t>38（3.87%）</w:t>
            </w:r>
          </w:p>
        </w:tc>
        <w:tc>
          <w:tcPr>
            <w:tcW w:w="1134" w:type="dxa"/>
            <w:shd w:val="clear" w:color="auto" w:fill="FFFFFF" w:themeFill="background1"/>
            <w:noWrap/>
          </w:tcPr>
          <w:p w14:paraId="4963DD2E">
            <w:pPr>
              <w:spacing w:line="276" w:lineRule="auto"/>
              <w:rPr>
                <w:rFonts w:ascii="Times New Roman" w:hAnsi="Times New Roman" w:eastAsia="宋体"/>
                <w:sz w:val="20"/>
                <w:szCs w:val="20"/>
              </w:rPr>
            </w:pPr>
            <w:r>
              <w:rPr>
                <w:rFonts w:hint="eastAsia" w:ascii="Times New Roman" w:hAnsi="Times New Roman" w:eastAsia="宋体"/>
                <w:sz w:val="20"/>
                <w:szCs w:val="20"/>
              </w:rPr>
              <w:t>&lt; 0.001</w:t>
            </w:r>
          </w:p>
        </w:tc>
      </w:tr>
      <w:tr w14:paraId="09D2A0F4">
        <w:tblPrEx>
          <w:shd w:val="clear" w:color="auto" w:fill="FFFFFF" w:themeFill="background1"/>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1E2FE595">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Urine red blood cell count</w:t>
            </w:r>
          </w:p>
        </w:tc>
        <w:tc>
          <w:tcPr>
            <w:tcW w:w="2449" w:type="dxa"/>
            <w:shd w:val="clear" w:color="auto" w:fill="FFFFFF" w:themeFill="background1"/>
            <w:noWrap/>
          </w:tcPr>
          <w:p w14:paraId="2E875707">
            <w:pPr>
              <w:spacing w:line="276" w:lineRule="auto"/>
              <w:rPr>
                <w:rFonts w:ascii="Times New Roman" w:hAnsi="Times New Roman" w:eastAsia="宋体"/>
                <w:sz w:val="20"/>
                <w:szCs w:val="20"/>
              </w:rPr>
            </w:pPr>
            <w:r>
              <w:rPr>
                <w:rFonts w:hint="eastAsia" w:ascii="Times New Roman" w:hAnsi="Times New Roman" w:eastAsia="宋体"/>
                <w:sz w:val="20"/>
                <w:szCs w:val="20"/>
              </w:rPr>
              <w:t>130(13.71%)</w:t>
            </w:r>
          </w:p>
        </w:tc>
        <w:tc>
          <w:tcPr>
            <w:tcW w:w="2126" w:type="dxa"/>
            <w:shd w:val="clear" w:color="auto" w:fill="FFFFFF" w:themeFill="background1"/>
            <w:noWrap/>
          </w:tcPr>
          <w:p w14:paraId="19226F7A">
            <w:pPr>
              <w:spacing w:line="276" w:lineRule="auto"/>
              <w:rPr>
                <w:rFonts w:ascii="Times New Roman" w:hAnsi="Times New Roman" w:eastAsia="宋体"/>
                <w:sz w:val="20"/>
                <w:szCs w:val="20"/>
              </w:rPr>
            </w:pPr>
            <w:r>
              <w:rPr>
                <w:rFonts w:hint="eastAsia" w:ascii="Times New Roman" w:hAnsi="Times New Roman" w:eastAsia="宋体"/>
                <w:sz w:val="20"/>
                <w:szCs w:val="20"/>
              </w:rPr>
              <w:t>70(7.38%)</w:t>
            </w:r>
          </w:p>
        </w:tc>
        <w:tc>
          <w:tcPr>
            <w:tcW w:w="1134" w:type="dxa"/>
            <w:shd w:val="clear" w:color="auto" w:fill="FFFFFF" w:themeFill="background1"/>
            <w:noWrap/>
          </w:tcPr>
          <w:p w14:paraId="591B5D2E">
            <w:pPr>
              <w:spacing w:line="276" w:lineRule="auto"/>
              <w:rPr>
                <w:rFonts w:ascii="Times New Roman" w:hAnsi="Times New Roman" w:eastAsia="宋体"/>
                <w:sz w:val="20"/>
                <w:szCs w:val="20"/>
              </w:rPr>
            </w:pPr>
            <w:r>
              <w:rPr>
                <w:rFonts w:hint="eastAsia" w:ascii="Times New Roman" w:hAnsi="Times New Roman" w:eastAsia="宋体"/>
                <w:sz w:val="20"/>
                <w:szCs w:val="20"/>
              </w:rPr>
              <w:t>0.048</w:t>
            </w:r>
          </w:p>
        </w:tc>
      </w:tr>
      <w:tr w14:paraId="5F0F97D2">
        <w:tblPrEx>
          <w:shd w:val="clear" w:color="auto" w:fill="FFFFFF" w:themeFill="background1"/>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7075720D">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Hepatic and renal function</w:t>
            </w:r>
          </w:p>
        </w:tc>
        <w:tc>
          <w:tcPr>
            <w:tcW w:w="2449" w:type="dxa"/>
            <w:shd w:val="clear" w:color="auto" w:fill="FFFFFF" w:themeFill="background1"/>
            <w:noWrap/>
          </w:tcPr>
          <w:p w14:paraId="64A54C84">
            <w:pPr>
              <w:spacing w:line="276" w:lineRule="auto"/>
              <w:rPr>
                <w:rFonts w:ascii="Times New Roman" w:hAnsi="Times New Roman" w:eastAsia="宋体"/>
                <w:sz w:val="20"/>
                <w:szCs w:val="20"/>
              </w:rPr>
            </w:pPr>
          </w:p>
        </w:tc>
        <w:tc>
          <w:tcPr>
            <w:tcW w:w="2126" w:type="dxa"/>
            <w:shd w:val="clear" w:color="auto" w:fill="FFFFFF" w:themeFill="background1"/>
            <w:noWrap/>
          </w:tcPr>
          <w:p w14:paraId="34753E18">
            <w:pPr>
              <w:spacing w:line="276" w:lineRule="auto"/>
              <w:rPr>
                <w:rFonts w:ascii="Times New Roman" w:hAnsi="Times New Roman" w:eastAsia="宋体"/>
                <w:sz w:val="20"/>
                <w:szCs w:val="20"/>
              </w:rPr>
            </w:pPr>
          </w:p>
        </w:tc>
        <w:tc>
          <w:tcPr>
            <w:tcW w:w="1134" w:type="dxa"/>
            <w:shd w:val="clear" w:color="auto" w:fill="FFFFFF" w:themeFill="background1"/>
            <w:noWrap/>
          </w:tcPr>
          <w:p w14:paraId="10DBE5E7">
            <w:pPr>
              <w:spacing w:line="276" w:lineRule="auto"/>
              <w:rPr>
                <w:rFonts w:ascii="Times New Roman" w:hAnsi="Times New Roman" w:eastAsia="宋体"/>
                <w:sz w:val="20"/>
                <w:szCs w:val="20"/>
              </w:rPr>
            </w:pPr>
          </w:p>
        </w:tc>
      </w:tr>
      <w:tr w14:paraId="58A501A4">
        <w:tblPrEx>
          <w:shd w:val="clear" w:color="auto" w:fill="FFFFFF" w:themeFill="background1"/>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74404960">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Alanine transaminase</w:t>
            </w:r>
          </w:p>
        </w:tc>
        <w:tc>
          <w:tcPr>
            <w:tcW w:w="2449" w:type="dxa"/>
            <w:shd w:val="clear" w:color="auto" w:fill="FFFFFF" w:themeFill="background1"/>
            <w:noWrap/>
          </w:tcPr>
          <w:p w14:paraId="614BCBE7">
            <w:pPr>
              <w:spacing w:line="276" w:lineRule="auto"/>
              <w:rPr>
                <w:rFonts w:ascii="Times New Roman" w:hAnsi="Times New Roman" w:eastAsia="宋体"/>
                <w:sz w:val="20"/>
                <w:szCs w:val="20"/>
              </w:rPr>
            </w:pPr>
            <w:r>
              <w:rPr>
                <w:rFonts w:hint="eastAsia" w:ascii="Times New Roman" w:hAnsi="Times New Roman" w:eastAsia="宋体"/>
                <w:sz w:val="20"/>
                <w:szCs w:val="20"/>
              </w:rPr>
              <w:t>115(7.67%)</w:t>
            </w:r>
          </w:p>
        </w:tc>
        <w:tc>
          <w:tcPr>
            <w:tcW w:w="2126" w:type="dxa"/>
            <w:shd w:val="clear" w:color="auto" w:fill="FFFFFF" w:themeFill="background1"/>
            <w:noWrap/>
          </w:tcPr>
          <w:p w14:paraId="33DA49A4">
            <w:pPr>
              <w:spacing w:line="276" w:lineRule="auto"/>
              <w:rPr>
                <w:rFonts w:ascii="Times New Roman" w:hAnsi="Times New Roman" w:eastAsia="宋体"/>
                <w:sz w:val="20"/>
                <w:szCs w:val="20"/>
              </w:rPr>
            </w:pPr>
            <w:r>
              <w:rPr>
                <w:rFonts w:hint="eastAsia" w:ascii="Times New Roman" w:hAnsi="Times New Roman" w:eastAsia="宋体"/>
                <w:sz w:val="20"/>
                <w:szCs w:val="20"/>
              </w:rPr>
              <w:t>69(4.61%)</w:t>
            </w:r>
          </w:p>
        </w:tc>
        <w:tc>
          <w:tcPr>
            <w:tcW w:w="1134" w:type="dxa"/>
            <w:shd w:val="clear" w:color="auto" w:fill="FFFFFF" w:themeFill="background1"/>
            <w:noWrap/>
          </w:tcPr>
          <w:p w14:paraId="5847E18F">
            <w:pPr>
              <w:spacing w:line="276" w:lineRule="auto"/>
              <w:rPr>
                <w:rFonts w:ascii="Times New Roman" w:hAnsi="Times New Roman" w:eastAsia="宋体"/>
                <w:sz w:val="20"/>
                <w:szCs w:val="20"/>
              </w:rPr>
            </w:pPr>
            <w:r>
              <w:rPr>
                <w:rFonts w:hint="eastAsia" w:ascii="Times New Roman" w:hAnsi="Times New Roman" w:eastAsia="宋体"/>
                <w:sz w:val="20"/>
                <w:szCs w:val="20"/>
              </w:rPr>
              <w:t>&lt; 0.001</w:t>
            </w:r>
          </w:p>
        </w:tc>
      </w:tr>
      <w:tr w14:paraId="482AC1F1">
        <w:tblPrEx>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4D3CD07C">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Glutamic oxalacetic</w:t>
            </w:r>
            <w:r>
              <w:rPr>
                <w:rFonts w:ascii="Times New Roman" w:hAnsi="Times New Roman" w:eastAsia="宋体"/>
                <w:b w:val="0"/>
                <w:bCs w:val="0"/>
                <w:sz w:val="20"/>
                <w:szCs w:val="20"/>
              </w:rPr>
              <w:t xml:space="preserve"> </w:t>
            </w:r>
            <w:r>
              <w:rPr>
                <w:rFonts w:hint="eastAsia" w:ascii="Times New Roman" w:hAnsi="Times New Roman" w:eastAsia="宋体"/>
                <w:b w:val="0"/>
                <w:bCs w:val="0"/>
                <w:sz w:val="20"/>
                <w:szCs w:val="20"/>
              </w:rPr>
              <w:t>transaminase</w:t>
            </w:r>
          </w:p>
        </w:tc>
        <w:tc>
          <w:tcPr>
            <w:tcW w:w="2449" w:type="dxa"/>
            <w:shd w:val="clear" w:color="auto" w:fill="FFFFFF" w:themeFill="background1"/>
            <w:noWrap/>
          </w:tcPr>
          <w:p w14:paraId="31171212">
            <w:pPr>
              <w:spacing w:line="276" w:lineRule="auto"/>
              <w:rPr>
                <w:rFonts w:ascii="Times New Roman" w:hAnsi="Times New Roman" w:eastAsia="宋体"/>
                <w:sz w:val="20"/>
                <w:szCs w:val="20"/>
              </w:rPr>
            </w:pPr>
            <w:r>
              <w:rPr>
                <w:rFonts w:hint="eastAsia" w:ascii="Times New Roman" w:hAnsi="Times New Roman" w:eastAsia="宋体"/>
                <w:sz w:val="20"/>
                <w:szCs w:val="20"/>
              </w:rPr>
              <w:t>170(11.42%)</w:t>
            </w:r>
          </w:p>
        </w:tc>
        <w:tc>
          <w:tcPr>
            <w:tcW w:w="2126" w:type="dxa"/>
            <w:shd w:val="clear" w:color="auto" w:fill="FFFFFF" w:themeFill="background1"/>
            <w:noWrap/>
          </w:tcPr>
          <w:p w14:paraId="5D1CFB07">
            <w:pPr>
              <w:spacing w:line="276" w:lineRule="auto"/>
              <w:rPr>
                <w:rFonts w:ascii="Times New Roman" w:hAnsi="Times New Roman" w:eastAsia="宋体"/>
                <w:sz w:val="20"/>
                <w:szCs w:val="20"/>
              </w:rPr>
            </w:pPr>
            <w:r>
              <w:rPr>
                <w:rFonts w:hint="eastAsia" w:ascii="Times New Roman" w:hAnsi="Times New Roman" w:eastAsia="宋体"/>
                <w:sz w:val="20"/>
                <w:szCs w:val="20"/>
              </w:rPr>
              <w:t>60(4.03%)</w:t>
            </w:r>
          </w:p>
        </w:tc>
        <w:tc>
          <w:tcPr>
            <w:tcW w:w="1134" w:type="dxa"/>
            <w:shd w:val="clear" w:color="auto" w:fill="FFFFFF" w:themeFill="background1"/>
            <w:noWrap/>
          </w:tcPr>
          <w:p w14:paraId="3BD7281D">
            <w:pPr>
              <w:spacing w:line="276" w:lineRule="auto"/>
              <w:rPr>
                <w:rFonts w:ascii="Times New Roman" w:hAnsi="Times New Roman" w:eastAsia="宋体"/>
                <w:sz w:val="20"/>
                <w:szCs w:val="20"/>
              </w:rPr>
            </w:pPr>
            <w:r>
              <w:rPr>
                <w:rFonts w:hint="eastAsia" w:ascii="Times New Roman" w:hAnsi="Times New Roman" w:eastAsia="宋体"/>
                <w:sz w:val="20"/>
                <w:szCs w:val="20"/>
              </w:rPr>
              <w:t>&lt; 0.001</w:t>
            </w:r>
          </w:p>
        </w:tc>
      </w:tr>
      <w:tr w14:paraId="2B64454D">
        <w:tblPrEx>
          <w:shd w:val="clear" w:color="auto" w:fill="FFFFFF" w:themeFill="background1"/>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2B5F197D">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Urea nitrogen</w:t>
            </w:r>
          </w:p>
        </w:tc>
        <w:tc>
          <w:tcPr>
            <w:tcW w:w="2449" w:type="dxa"/>
            <w:shd w:val="clear" w:color="auto" w:fill="FFFFFF" w:themeFill="background1"/>
            <w:noWrap/>
          </w:tcPr>
          <w:p w14:paraId="7A618934">
            <w:pPr>
              <w:spacing w:line="276" w:lineRule="auto"/>
              <w:rPr>
                <w:rFonts w:ascii="Times New Roman" w:hAnsi="Times New Roman" w:eastAsia="宋体"/>
                <w:sz w:val="20"/>
                <w:szCs w:val="20"/>
              </w:rPr>
            </w:pPr>
            <w:r>
              <w:rPr>
                <w:rFonts w:hint="eastAsia" w:ascii="Times New Roman" w:hAnsi="Times New Roman" w:eastAsia="宋体"/>
                <w:sz w:val="20"/>
                <w:szCs w:val="20"/>
              </w:rPr>
              <w:t>206(17.94%)</w:t>
            </w:r>
          </w:p>
        </w:tc>
        <w:tc>
          <w:tcPr>
            <w:tcW w:w="2126" w:type="dxa"/>
            <w:shd w:val="clear" w:color="auto" w:fill="FFFFFF" w:themeFill="background1"/>
            <w:noWrap/>
          </w:tcPr>
          <w:p w14:paraId="0AD983F5">
            <w:pPr>
              <w:spacing w:line="276" w:lineRule="auto"/>
              <w:rPr>
                <w:rFonts w:ascii="Times New Roman" w:hAnsi="Times New Roman" w:eastAsia="宋体"/>
                <w:sz w:val="20"/>
                <w:szCs w:val="20"/>
              </w:rPr>
            </w:pPr>
            <w:r>
              <w:rPr>
                <w:rFonts w:hint="eastAsia" w:ascii="Times New Roman" w:hAnsi="Times New Roman" w:eastAsia="宋体"/>
                <w:sz w:val="20"/>
                <w:szCs w:val="20"/>
              </w:rPr>
              <w:t>116(10.10%)</w:t>
            </w:r>
          </w:p>
        </w:tc>
        <w:tc>
          <w:tcPr>
            <w:tcW w:w="1134" w:type="dxa"/>
            <w:shd w:val="clear" w:color="auto" w:fill="FFFFFF" w:themeFill="background1"/>
            <w:noWrap/>
          </w:tcPr>
          <w:p w14:paraId="55A80F6A">
            <w:pPr>
              <w:spacing w:line="276" w:lineRule="auto"/>
              <w:rPr>
                <w:rFonts w:ascii="Times New Roman" w:hAnsi="Times New Roman" w:eastAsia="宋体"/>
                <w:sz w:val="20"/>
                <w:szCs w:val="20"/>
              </w:rPr>
            </w:pPr>
            <w:r>
              <w:rPr>
                <w:rFonts w:hint="eastAsia" w:ascii="Times New Roman" w:hAnsi="Times New Roman" w:eastAsia="宋体"/>
                <w:sz w:val="20"/>
                <w:szCs w:val="20"/>
              </w:rPr>
              <w:t>&lt; 0.001</w:t>
            </w:r>
          </w:p>
        </w:tc>
      </w:tr>
      <w:tr w14:paraId="4069B9FD">
        <w:tblPrEx>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40C3751D">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Creatinine</w:t>
            </w:r>
          </w:p>
        </w:tc>
        <w:tc>
          <w:tcPr>
            <w:tcW w:w="2449" w:type="dxa"/>
            <w:shd w:val="clear" w:color="auto" w:fill="FFFFFF" w:themeFill="background1"/>
            <w:noWrap/>
          </w:tcPr>
          <w:p w14:paraId="2570A0B8">
            <w:pPr>
              <w:spacing w:line="276" w:lineRule="auto"/>
              <w:rPr>
                <w:rFonts w:ascii="Times New Roman" w:hAnsi="Times New Roman" w:eastAsia="宋体"/>
                <w:sz w:val="20"/>
                <w:szCs w:val="20"/>
              </w:rPr>
            </w:pPr>
            <w:r>
              <w:rPr>
                <w:rFonts w:hint="eastAsia" w:ascii="Times New Roman" w:hAnsi="Times New Roman" w:eastAsia="宋体"/>
                <w:sz w:val="20"/>
                <w:szCs w:val="20"/>
              </w:rPr>
              <w:t>57(3.85%)</w:t>
            </w:r>
          </w:p>
        </w:tc>
        <w:tc>
          <w:tcPr>
            <w:tcW w:w="2126" w:type="dxa"/>
            <w:shd w:val="clear" w:color="auto" w:fill="FFFFFF" w:themeFill="background1"/>
            <w:noWrap/>
          </w:tcPr>
          <w:p w14:paraId="6CD27BBF">
            <w:pPr>
              <w:spacing w:line="276" w:lineRule="auto"/>
              <w:rPr>
                <w:rFonts w:ascii="Times New Roman" w:hAnsi="Times New Roman" w:eastAsia="宋体"/>
                <w:sz w:val="20"/>
                <w:szCs w:val="20"/>
              </w:rPr>
            </w:pPr>
            <w:r>
              <w:rPr>
                <w:rFonts w:hint="eastAsia" w:ascii="Times New Roman" w:hAnsi="Times New Roman" w:eastAsia="宋体"/>
                <w:sz w:val="20"/>
                <w:szCs w:val="20"/>
              </w:rPr>
              <w:t>78(5.27%)</w:t>
            </w:r>
          </w:p>
        </w:tc>
        <w:tc>
          <w:tcPr>
            <w:tcW w:w="1134" w:type="dxa"/>
            <w:shd w:val="clear" w:color="auto" w:fill="FFFFFF" w:themeFill="background1"/>
            <w:noWrap/>
          </w:tcPr>
          <w:p w14:paraId="61E24479">
            <w:pPr>
              <w:spacing w:line="276" w:lineRule="auto"/>
              <w:rPr>
                <w:rFonts w:ascii="Times New Roman" w:hAnsi="Times New Roman" w:eastAsia="宋体"/>
                <w:sz w:val="20"/>
                <w:szCs w:val="20"/>
              </w:rPr>
            </w:pPr>
            <w:r>
              <w:rPr>
                <w:rFonts w:hint="eastAsia" w:ascii="Times New Roman" w:hAnsi="Times New Roman" w:eastAsia="宋体"/>
                <w:sz w:val="20"/>
                <w:szCs w:val="20"/>
              </w:rPr>
              <w:t>0.06</w:t>
            </w:r>
          </w:p>
        </w:tc>
      </w:tr>
      <w:tr w14:paraId="5B491023">
        <w:tblPrEx>
          <w:shd w:val="clear" w:color="auto" w:fill="FFFFFF" w:themeFill="background1"/>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3310E532">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Coagulation function</w:t>
            </w:r>
          </w:p>
        </w:tc>
        <w:tc>
          <w:tcPr>
            <w:tcW w:w="2449" w:type="dxa"/>
            <w:shd w:val="clear" w:color="auto" w:fill="FFFFFF" w:themeFill="background1"/>
            <w:noWrap/>
          </w:tcPr>
          <w:p w14:paraId="2A35712D">
            <w:pPr>
              <w:spacing w:line="276" w:lineRule="auto"/>
              <w:rPr>
                <w:rFonts w:ascii="Times New Roman" w:hAnsi="Times New Roman" w:eastAsia="宋体"/>
                <w:sz w:val="20"/>
                <w:szCs w:val="20"/>
              </w:rPr>
            </w:pPr>
          </w:p>
        </w:tc>
        <w:tc>
          <w:tcPr>
            <w:tcW w:w="2126" w:type="dxa"/>
            <w:shd w:val="clear" w:color="auto" w:fill="FFFFFF" w:themeFill="background1"/>
            <w:noWrap/>
          </w:tcPr>
          <w:p w14:paraId="5F43A629">
            <w:pPr>
              <w:spacing w:line="276" w:lineRule="auto"/>
              <w:rPr>
                <w:rFonts w:ascii="Times New Roman" w:hAnsi="Times New Roman" w:eastAsia="宋体"/>
                <w:sz w:val="20"/>
                <w:szCs w:val="20"/>
              </w:rPr>
            </w:pPr>
          </w:p>
        </w:tc>
        <w:tc>
          <w:tcPr>
            <w:tcW w:w="1134" w:type="dxa"/>
            <w:shd w:val="clear" w:color="auto" w:fill="FFFFFF" w:themeFill="background1"/>
            <w:noWrap/>
          </w:tcPr>
          <w:p w14:paraId="414A526E">
            <w:pPr>
              <w:spacing w:line="276" w:lineRule="auto"/>
              <w:rPr>
                <w:rFonts w:ascii="Times New Roman" w:hAnsi="Times New Roman" w:eastAsia="宋体"/>
                <w:sz w:val="20"/>
                <w:szCs w:val="20"/>
              </w:rPr>
            </w:pPr>
          </w:p>
        </w:tc>
      </w:tr>
      <w:tr w14:paraId="22425259">
        <w:tblPrEx>
          <w:shd w:val="clear" w:color="auto" w:fill="FFFFFF" w:themeFill="background1"/>
          <w:tblCellMar>
            <w:top w:w="0" w:type="dxa"/>
            <w:left w:w="108" w:type="dxa"/>
            <w:bottom w:w="0" w:type="dxa"/>
            <w:right w:w="108" w:type="dxa"/>
          </w:tblCellMar>
        </w:tblPrEx>
        <w:trPr>
          <w:trHeight w:val="276" w:hRule="atLeast"/>
          <w:jc w:val="center"/>
        </w:trPr>
        <w:tc>
          <w:tcPr>
            <w:tcW w:w="3500" w:type="dxa"/>
            <w:shd w:val="clear" w:color="auto" w:fill="FFFFFF" w:themeFill="background1"/>
            <w:noWrap/>
          </w:tcPr>
          <w:p w14:paraId="1CFD082D">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Prothrombin time</w:t>
            </w:r>
          </w:p>
        </w:tc>
        <w:tc>
          <w:tcPr>
            <w:tcW w:w="2449" w:type="dxa"/>
            <w:shd w:val="clear" w:color="auto" w:fill="FFFFFF" w:themeFill="background1"/>
            <w:noWrap/>
          </w:tcPr>
          <w:p w14:paraId="322F6AAF">
            <w:pPr>
              <w:spacing w:line="276" w:lineRule="auto"/>
              <w:rPr>
                <w:rFonts w:ascii="Times New Roman" w:hAnsi="Times New Roman" w:eastAsia="宋体"/>
                <w:sz w:val="20"/>
                <w:szCs w:val="20"/>
              </w:rPr>
            </w:pPr>
            <w:r>
              <w:rPr>
                <w:rFonts w:hint="eastAsia" w:ascii="Times New Roman" w:hAnsi="Times New Roman" w:eastAsia="宋体"/>
                <w:sz w:val="20"/>
                <w:szCs w:val="20"/>
              </w:rPr>
              <w:t>32(2.14%)</w:t>
            </w:r>
          </w:p>
        </w:tc>
        <w:tc>
          <w:tcPr>
            <w:tcW w:w="2126" w:type="dxa"/>
            <w:shd w:val="clear" w:color="auto" w:fill="FFFFFF" w:themeFill="background1"/>
            <w:noWrap/>
          </w:tcPr>
          <w:p w14:paraId="601C8839">
            <w:pPr>
              <w:spacing w:line="276" w:lineRule="auto"/>
              <w:rPr>
                <w:rFonts w:ascii="Times New Roman" w:hAnsi="Times New Roman" w:eastAsia="宋体"/>
                <w:sz w:val="20"/>
                <w:szCs w:val="20"/>
              </w:rPr>
            </w:pPr>
            <w:r>
              <w:rPr>
                <w:rFonts w:hint="eastAsia" w:ascii="Times New Roman" w:hAnsi="Times New Roman" w:eastAsia="宋体"/>
                <w:sz w:val="20"/>
                <w:szCs w:val="20"/>
              </w:rPr>
              <w:t>39(2.60%)</w:t>
            </w:r>
          </w:p>
        </w:tc>
        <w:tc>
          <w:tcPr>
            <w:tcW w:w="1134" w:type="dxa"/>
            <w:shd w:val="clear" w:color="auto" w:fill="FFFFFF" w:themeFill="background1"/>
            <w:noWrap/>
          </w:tcPr>
          <w:p w14:paraId="41A2EBF1">
            <w:pPr>
              <w:spacing w:line="276" w:lineRule="auto"/>
              <w:rPr>
                <w:rFonts w:ascii="Times New Roman" w:hAnsi="Times New Roman" w:eastAsia="宋体"/>
                <w:sz w:val="20"/>
                <w:szCs w:val="20"/>
              </w:rPr>
            </w:pPr>
            <w:r>
              <w:rPr>
                <w:rFonts w:hint="eastAsia" w:ascii="Times New Roman" w:hAnsi="Times New Roman" w:eastAsia="宋体"/>
                <w:sz w:val="20"/>
                <w:szCs w:val="20"/>
              </w:rPr>
              <w:t>0.427</w:t>
            </w:r>
          </w:p>
        </w:tc>
      </w:tr>
      <w:tr w14:paraId="229D42A3">
        <w:tblPrEx>
          <w:shd w:val="clear" w:color="auto" w:fill="FFFFFF" w:themeFill="background1"/>
          <w:tblCellMar>
            <w:top w:w="0" w:type="dxa"/>
            <w:left w:w="108" w:type="dxa"/>
            <w:bottom w:w="0" w:type="dxa"/>
            <w:right w:w="108" w:type="dxa"/>
          </w:tblCellMar>
        </w:tblPrEx>
        <w:trPr>
          <w:trHeight w:val="276" w:hRule="atLeast"/>
          <w:jc w:val="center"/>
        </w:trPr>
        <w:tc>
          <w:tcPr>
            <w:tcW w:w="3500" w:type="dxa"/>
            <w:tcBorders>
              <w:bottom w:val="single" w:color="auto" w:sz="4" w:space="0"/>
            </w:tcBorders>
            <w:shd w:val="clear" w:color="auto" w:fill="FFFFFF" w:themeFill="background1"/>
            <w:noWrap/>
          </w:tcPr>
          <w:p w14:paraId="655DD2FB">
            <w:pPr>
              <w:spacing w:line="276" w:lineRule="auto"/>
              <w:rPr>
                <w:rFonts w:ascii="Times New Roman" w:hAnsi="Times New Roman" w:eastAsia="宋体"/>
                <w:b w:val="0"/>
                <w:bCs w:val="0"/>
                <w:sz w:val="20"/>
                <w:szCs w:val="20"/>
              </w:rPr>
            </w:pPr>
            <w:r>
              <w:rPr>
                <w:rFonts w:hint="eastAsia" w:ascii="Times New Roman" w:hAnsi="Times New Roman" w:eastAsia="宋体"/>
                <w:b w:val="0"/>
                <w:bCs w:val="0"/>
                <w:sz w:val="20"/>
                <w:szCs w:val="20"/>
              </w:rPr>
              <w:t>International normalized ratio</w:t>
            </w:r>
          </w:p>
        </w:tc>
        <w:tc>
          <w:tcPr>
            <w:tcW w:w="2449" w:type="dxa"/>
            <w:tcBorders>
              <w:bottom w:val="single" w:color="auto" w:sz="4" w:space="0"/>
            </w:tcBorders>
            <w:shd w:val="clear" w:color="auto" w:fill="FFFFFF" w:themeFill="background1"/>
            <w:noWrap/>
          </w:tcPr>
          <w:p w14:paraId="5B73DF4B">
            <w:pPr>
              <w:spacing w:line="276" w:lineRule="auto"/>
              <w:rPr>
                <w:rFonts w:ascii="Times New Roman" w:hAnsi="Times New Roman" w:eastAsia="宋体"/>
                <w:sz w:val="20"/>
                <w:szCs w:val="20"/>
              </w:rPr>
            </w:pPr>
            <w:r>
              <w:rPr>
                <w:rFonts w:hint="eastAsia" w:ascii="Times New Roman" w:hAnsi="Times New Roman" w:eastAsia="宋体"/>
                <w:sz w:val="20"/>
                <w:szCs w:val="20"/>
              </w:rPr>
              <w:t>29(1.94%)</w:t>
            </w:r>
          </w:p>
        </w:tc>
        <w:tc>
          <w:tcPr>
            <w:tcW w:w="2126" w:type="dxa"/>
            <w:tcBorders>
              <w:bottom w:val="single" w:color="auto" w:sz="4" w:space="0"/>
            </w:tcBorders>
            <w:shd w:val="clear" w:color="auto" w:fill="FFFFFF" w:themeFill="background1"/>
            <w:noWrap/>
          </w:tcPr>
          <w:p w14:paraId="074A209C">
            <w:pPr>
              <w:spacing w:line="276" w:lineRule="auto"/>
              <w:rPr>
                <w:rFonts w:ascii="Times New Roman" w:hAnsi="Times New Roman" w:eastAsia="宋体"/>
                <w:sz w:val="20"/>
                <w:szCs w:val="20"/>
              </w:rPr>
            </w:pPr>
            <w:r>
              <w:rPr>
                <w:rFonts w:hint="eastAsia" w:ascii="Times New Roman" w:hAnsi="Times New Roman" w:eastAsia="宋体"/>
                <w:sz w:val="20"/>
                <w:szCs w:val="20"/>
              </w:rPr>
              <w:t>36(2.41%)</w:t>
            </w:r>
          </w:p>
        </w:tc>
        <w:tc>
          <w:tcPr>
            <w:tcW w:w="1134" w:type="dxa"/>
            <w:tcBorders>
              <w:bottom w:val="single" w:color="auto" w:sz="4" w:space="0"/>
            </w:tcBorders>
            <w:shd w:val="clear" w:color="auto" w:fill="FFFFFF" w:themeFill="background1"/>
            <w:noWrap/>
          </w:tcPr>
          <w:p w14:paraId="41D1A46A">
            <w:pPr>
              <w:spacing w:line="276" w:lineRule="auto"/>
              <w:rPr>
                <w:rFonts w:ascii="Times New Roman" w:hAnsi="Times New Roman" w:eastAsia="宋体"/>
                <w:sz w:val="20"/>
                <w:szCs w:val="20"/>
              </w:rPr>
            </w:pPr>
            <w:r>
              <w:rPr>
                <w:rFonts w:hint="eastAsia" w:ascii="Times New Roman" w:hAnsi="Times New Roman" w:eastAsia="宋体"/>
                <w:sz w:val="20"/>
                <w:szCs w:val="20"/>
              </w:rPr>
              <w:t>0.401</w:t>
            </w:r>
          </w:p>
        </w:tc>
      </w:tr>
    </w:tbl>
    <w:p w14:paraId="141606D7">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 xml:space="preserve">a </w:t>
      </w:r>
      <w:r>
        <w:rPr>
          <w:rFonts w:hint="eastAsia" w:ascii="Times New Roman" w:hAnsi="Times New Roman" w:eastAsia="宋体"/>
          <w:b w:val="0"/>
          <w:bCs w:val="0"/>
          <w:sz w:val="20"/>
          <w:szCs w:val="20"/>
          <w:lang w:val="en-US" w:eastAsia="zh-CN"/>
        </w:rPr>
        <w:t xml:space="preserve">Data are expressed as number (%) with p-values from the chi-square test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UxszS1NDY1tDA3MTZW0lEKTi0uzszPAykwrAUAUsDrNiwAAAA="/>
  </w:docVars>
  <w:rsids>
    <w:rsidRoot w:val="001027E3"/>
    <w:rsid w:val="001027E3"/>
    <w:rsid w:val="001E51E4"/>
    <w:rsid w:val="00325DD4"/>
    <w:rsid w:val="00414B89"/>
    <w:rsid w:val="00626634"/>
    <w:rsid w:val="007052B1"/>
    <w:rsid w:val="007052E8"/>
    <w:rsid w:val="007341E1"/>
    <w:rsid w:val="008D6170"/>
    <w:rsid w:val="00AA1920"/>
    <w:rsid w:val="00BB3B59"/>
    <w:rsid w:val="00F70152"/>
    <w:rsid w:val="00FA7455"/>
    <w:rsid w:val="00FE1C08"/>
    <w:rsid w:val="2BCE3091"/>
    <w:rsid w:val="2F7D2448"/>
    <w:rsid w:val="3B5322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99"/>
    <w:rPr>
      <w:sz w:val="18"/>
      <w:szCs w:val="18"/>
    </w:rPr>
  </w:style>
  <w:style w:type="character" w:customStyle="1" w:styleId="8">
    <w:name w:val="页脚 字符"/>
    <w:basedOn w:val="6"/>
    <w:link w:val="2"/>
    <w:uiPriority w:val="99"/>
    <w:rPr>
      <w:sz w:val="18"/>
      <w:szCs w:val="18"/>
    </w:rPr>
  </w:style>
  <w:style w:type="table" w:customStyle="1" w:styleId="9">
    <w:name w:val="Plain Table 4"/>
    <w:basedOn w:val="4"/>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453</Words>
  <Characters>2970</Characters>
  <Lines>23</Lines>
  <Paragraphs>6</Paragraphs>
  <TotalTime>3</TotalTime>
  <ScaleCrop>false</ScaleCrop>
  <LinksUpToDate>false</LinksUpToDate>
  <CharactersWithSpaces>3323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2023-11-26T10:53:00Z</dcterms:created>
  <dc:creator>靖 卫</dc:creator>
  <cp:lastModifiedBy>卫靖</cp:lastModifiedBy>
  <dcterms:modified xsi:type="dcterms:W3CDTF">2024-12-04T16:08:01Z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6C83E3215CA544379856527B8CCF4F68_13</vt:lpwstr>
  </property>
</Properties>
</file>