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94DCF" w14:textId="77777777" w:rsidR="00006F81" w:rsidRDefault="00006F81" w:rsidP="00006F81">
      <w:pPr>
        <w:suppressLineNumbers/>
        <w:spacing w:line="480" w:lineRule="auto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b/>
          <w:bCs/>
          <w:sz w:val="20"/>
          <w:szCs w:val="20"/>
        </w:rPr>
        <w:t xml:space="preserve">Supplementary </w:t>
      </w:r>
      <w:r>
        <w:rPr>
          <w:rFonts w:ascii="Arial Unicode MS" w:cs="Arial Unicode MS"/>
          <w:b/>
          <w:bCs/>
          <w:sz w:val="20"/>
          <w:szCs w:val="20"/>
        </w:rPr>
        <w:t>Table</w:t>
      </w:r>
      <w:r>
        <w:rPr>
          <w:rFonts w:ascii="Arial Unicode MS" w:cs="Arial Unicode MS"/>
          <w:b/>
          <w:bCs/>
          <w:sz w:val="20"/>
          <w:szCs w:val="20"/>
        </w:rPr>
        <w:t> </w:t>
      </w:r>
      <w:r>
        <w:rPr>
          <w:rFonts w:ascii="Arial Unicode MS" w:cs="Arial Unicode MS"/>
          <w:b/>
          <w:bCs/>
          <w:sz w:val="20"/>
          <w:szCs w:val="20"/>
        </w:rPr>
        <w:t>1</w:t>
      </w:r>
      <w:r>
        <w:rPr>
          <w:rFonts w:ascii="Arial Unicode MS" w:cs="Arial Unicode MS" w:hint="eastAsia"/>
          <w:b/>
          <w:bCs/>
          <w:sz w:val="20"/>
          <w:szCs w:val="20"/>
          <w:lang w:eastAsia="zh-CN"/>
        </w:rPr>
        <w:t>.</w:t>
      </w:r>
      <w:r>
        <w:rPr>
          <w:rFonts w:ascii="Arial Unicode MS" w:cs="Arial Unicode MS"/>
          <w:b/>
          <w:bCs/>
          <w:sz w:val="20"/>
          <w:szCs w:val="20"/>
        </w:rPr>
        <w:t xml:space="preserve"> Demographic and baseline characteristics of participants </w:t>
      </w:r>
      <w:r>
        <w:rPr>
          <w:rFonts w:ascii="Arial Unicode MS" w:cs="Arial Unicode MS" w:hint="eastAsia"/>
          <w:b/>
          <w:bCs/>
          <w:sz w:val="20"/>
          <w:szCs w:val="20"/>
          <w:lang w:eastAsia="zh-CN"/>
        </w:rPr>
        <w:t xml:space="preserve">by </w:t>
      </w:r>
      <w:r>
        <w:rPr>
          <w:rFonts w:ascii="Arial Unicode MS" w:cs="Arial Unicode MS" w:hint="eastAsia"/>
          <w:b/>
          <w:bCs/>
          <w:sz w:val="20"/>
          <w:szCs w:val="20"/>
        </w:rPr>
        <w:t>categoriz</w:t>
      </w:r>
      <w:r>
        <w:rPr>
          <w:rFonts w:ascii="Arial Unicode MS" w:cs="Arial Unicode MS" w:hint="eastAsia"/>
          <w:b/>
          <w:bCs/>
          <w:sz w:val="20"/>
          <w:szCs w:val="20"/>
          <w:lang w:eastAsia="zh-CN"/>
        </w:rPr>
        <w:t>ing</w:t>
      </w:r>
      <w:r>
        <w:rPr>
          <w:rFonts w:ascii="Arial Unicode MS" w:cs="Arial Unicode MS" w:hint="eastAsia"/>
          <w:b/>
          <w:bCs/>
          <w:sz w:val="20"/>
          <w:szCs w:val="20"/>
        </w:rPr>
        <w:t xml:space="preserve"> the </w:t>
      </w:r>
      <w:proofErr w:type="spellStart"/>
      <w:proofErr w:type="gramStart"/>
      <w:r>
        <w:rPr>
          <w:rFonts w:ascii="Arial Unicode MS" w:cs="Arial Unicode MS" w:hint="eastAsia"/>
          <w:b/>
          <w:bCs/>
          <w:sz w:val="20"/>
          <w:szCs w:val="20"/>
        </w:rPr>
        <w:t>hs</w:t>
      </w:r>
      <w:proofErr w:type="spellEnd"/>
      <w:proofErr w:type="gramEnd"/>
      <w:r>
        <w:rPr>
          <w:rFonts w:ascii="Arial Unicode MS" w:cs="Arial Unicode MS" w:hint="eastAsia"/>
          <w:b/>
          <w:bCs/>
          <w:sz w:val="20"/>
          <w:szCs w:val="20"/>
        </w:rPr>
        <w:t>-CRP/HDL-C ratio into quartiles</w:t>
      </w:r>
      <w:r>
        <w:rPr>
          <w:rFonts w:ascii="Arial Unicode MS" w:cs="Arial Unicode MS" w:hint="eastAsia"/>
          <w:b/>
          <w:bCs/>
          <w:sz w:val="20"/>
          <w:szCs w:val="20"/>
          <w:lang w:eastAsia="zh-CN"/>
        </w:rPr>
        <w:t>.</w:t>
      </w:r>
    </w:p>
    <w:tbl>
      <w:tblPr>
        <w:tblW w:w="5198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6"/>
        <w:gridCol w:w="1521"/>
        <w:gridCol w:w="1522"/>
        <w:gridCol w:w="1546"/>
        <w:gridCol w:w="1528"/>
        <w:gridCol w:w="910"/>
      </w:tblGrid>
      <w:tr w:rsidR="00006F81" w14:paraId="68A5C108" w14:textId="77777777" w:rsidTr="00DB1EE6">
        <w:trPr>
          <w:jc w:val="center"/>
        </w:trPr>
        <w:tc>
          <w:tcPr>
            <w:tcW w:w="1254" w:type="pct"/>
            <w:tcBorders>
              <w:top w:val="single" w:sz="4" w:space="0" w:color="auto"/>
              <w:bottom w:val="nil"/>
            </w:tcBorders>
            <w:vAlign w:val="center"/>
          </w:tcPr>
          <w:p w14:paraId="32AB04EC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3259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E89BFC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i/>
                <w:iCs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H</w:t>
            </w:r>
            <w:r>
              <w:rPr>
                <w:rFonts w:ascii="Arial Unicode MS" w:cs="Arial Unicode MS" w:hint="eastAsia"/>
                <w:sz w:val="20"/>
              </w:rPr>
              <w:t>s-CRP/HDL-C ratio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</w:tcBorders>
            <w:vAlign w:val="center"/>
          </w:tcPr>
          <w:p w14:paraId="27B512FA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i/>
                <w:iCs/>
                <w:sz w:val="20"/>
              </w:rPr>
              <w:t>P</w:t>
            </w:r>
            <w:r>
              <w:rPr>
                <w:rFonts w:ascii="Arial Unicode MS" w:cs="Arial Unicode MS"/>
                <w:sz w:val="20"/>
              </w:rPr>
              <w:t xml:space="preserve"> value</w:t>
            </w:r>
          </w:p>
        </w:tc>
      </w:tr>
      <w:tr w:rsidR="00006F81" w14:paraId="3C944091" w14:textId="77777777" w:rsidTr="00DB1EE6">
        <w:trPr>
          <w:jc w:val="center"/>
        </w:trPr>
        <w:tc>
          <w:tcPr>
            <w:tcW w:w="1254" w:type="pct"/>
            <w:tcBorders>
              <w:top w:val="nil"/>
              <w:bottom w:val="nil"/>
            </w:tcBorders>
            <w:vAlign w:val="center"/>
          </w:tcPr>
          <w:p w14:paraId="39EB434C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118189F6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Q</w:t>
            </w:r>
            <w:r>
              <w:rPr>
                <w:rFonts w:ascii="Arial Unicode MS" w:cs="Arial Unicode MS" w:hint="eastAsia"/>
                <w:sz w:val="20"/>
              </w:rPr>
              <w:t>uartile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 xml:space="preserve"> 1</w:t>
            </w:r>
          </w:p>
        </w:tc>
        <w:tc>
          <w:tcPr>
            <w:tcW w:w="811" w:type="pct"/>
            <w:tcBorders>
              <w:top w:val="single" w:sz="4" w:space="0" w:color="auto"/>
              <w:bottom w:val="nil"/>
            </w:tcBorders>
            <w:vAlign w:val="center"/>
          </w:tcPr>
          <w:p w14:paraId="3196638E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Q</w:t>
            </w:r>
            <w:r>
              <w:rPr>
                <w:rFonts w:ascii="Arial Unicode MS" w:cs="Arial Unicode MS" w:hint="eastAsia"/>
                <w:sz w:val="20"/>
              </w:rPr>
              <w:t>uartile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 xml:space="preserve"> 2</w:t>
            </w:r>
          </w:p>
        </w:tc>
        <w:tc>
          <w:tcPr>
            <w:tcW w:w="824" w:type="pct"/>
            <w:tcBorders>
              <w:top w:val="single" w:sz="4" w:space="0" w:color="auto"/>
              <w:bottom w:val="nil"/>
            </w:tcBorders>
            <w:vAlign w:val="center"/>
          </w:tcPr>
          <w:p w14:paraId="71761979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i/>
                <w:iCs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Q</w:t>
            </w:r>
            <w:r>
              <w:rPr>
                <w:rFonts w:ascii="Arial Unicode MS" w:cs="Arial Unicode MS" w:hint="eastAsia"/>
                <w:sz w:val="20"/>
              </w:rPr>
              <w:t>uartile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 xml:space="preserve"> 3</w:t>
            </w:r>
          </w:p>
        </w:tc>
        <w:tc>
          <w:tcPr>
            <w:tcW w:w="812" w:type="pct"/>
            <w:tcBorders>
              <w:top w:val="single" w:sz="4" w:space="0" w:color="auto"/>
              <w:bottom w:val="nil"/>
            </w:tcBorders>
            <w:vAlign w:val="center"/>
          </w:tcPr>
          <w:p w14:paraId="5ABC1D7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i/>
                <w:iCs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Q</w:t>
            </w:r>
            <w:r>
              <w:rPr>
                <w:rFonts w:ascii="Arial Unicode MS" w:cs="Arial Unicode MS" w:hint="eastAsia"/>
                <w:sz w:val="20"/>
              </w:rPr>
              <w:t>uartile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 xml:space="preserve"> 4</w:t>
            </w:r>
          </w:p>
        </w:tc>
        <w:tc>
          <w:tcPr>
            <w:tcW w:w="485" w:type="pct"/>
            <w:vMerge/>
            <w:tcBorders>
              <w:bottom w:val="nil"/>
            </w:tcBorders>
            <w:vAlign w:val="center"/>
          </w:tcPr>
          <w:p w14:paraId="7DC2FDEC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i/>
                <w:iCs/>
                <w:sz w:val="20"/>
              </w:rPr>
            </w:pPr>
          </w:p>
        </w:tc>
      </w:tr>
      <w:tr w:rsidR="00006F81" w14:paraId="05F324F2" w14:textId="77777777" w:rsidTr="00DB1EE6">
        <w:trPr>
          <w:jc w:val="center"/>
        </w:trPr>
        <w:tc>
          <w:tcPr>
            <w:tcW w:w="1254" w:type="pct"/>
            <w:tcBorders>
              <w:top w:val="nil"/>
              <w:bottom w:val="nil"/>
            </w:tcBorders>
            <w:vAlign w:val="center"/>
          </w:tcPr>
          <w:p w14:paraId="1E7DE201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5E54065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145</w:t>
            </w:r>
          </w:p>
        </w:tc>
        <w:tc>
          <w:tcPr>
            <w:tcW w:w="811" w:type="pct"/>
            <w:tcBorders>
              <w:top w:val="nil"/>
              <w:bottom w:val="nil"/>
            </w:tcBorders>
            <w:vAlign w:val="center"/>
          </w:tcPr>
          <w:p w14:paraId="588450D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[0.145,</w:t>
            </w:r>
            <w:r>
              <w:rPr>
                <w:rFonts w:ascii="Arial Unicode MS" w:cs="Arial Unicode MS"/>
                <w:sz w:val="20"/>
              </w:rPr>
              <w:t>0.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375)</w:t>
            </w:r>
          </w:p>
        </w:tc>
        <w:tc>
          <w:tcPr>
            <w:tcW w:w="824" w:type="pct"/>
            <w:tcBorders>
              <w:top w:val="nil"/>
              <w:bottom w:val="nil"/>
            </w:tcBorders>
            <w:vAlign w:val="center"/>
          </w:tcPr>
          <w:p w14:paraId="671DE6AD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i/>
                <w:iCs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[0.375,</w:t>
            </w:r>
            <w:r>
              <w:rPr>
                <w:rFonts w:ascii="Arial Unicode MS" w:cs="Arial Unicode MS"/>
                <w:sz w:val="20"/>
              </w:rPr>
              <w:t>0.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952]</w:t>
            </w:r>
          </w:p>
        </w:tc>
        <w:tc>
          <w:tcPr>
            <w:tcW w:w="812" w:type="pct"/>
            <w:tcBorders>
              <w:top w:val="nil"/>
              <w:bottom w:val="nil"/>
            </w:tcBorders>
            <w:vAlign w:val="center"/>
          </w:tcPr>
          <w:p w14:paraId="012758E3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i/>
                <w:iCs/>
                <w:sz w:val="20"/>
              </w:rPr>
            </w:pPr>
            <w:r>
              <w:rPr>
                <w:rFonts w:ascii="Arial Unicode MS" w:eastAsiaTheme="minorEastAsia" w:cs="Arial Unicode MS"/>
                <w:sz w:val="20"/>
                <w:lang w:eastAsia="zh-CN"/>
              </w:rPr>
              <w:t>≥ 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0.952</w:t>
            </w:r>
          </w:p>
        </w:tc>
        <w:tc>
          <w:tcPr>
            <w:tcW w:w="485" w:type="pct"/>
            <w:tcBorders>
              <w:top w:val="nil"/>
              <w:bottom w:val="nil"/>
            </w:tcBorders>
            <w:vAlign w:val="center"/>
          </w:tcPr>
          <w:p w14:paraId="5D89AE5E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i/>
                <w:iCs/>
                <w:sz w:val="20"/>
              </w:rPr>
            </w:pPr>
          </w:p>
        </w:tc>
      </w:tr>
      <w:tr w:rsidR="00006F81" w14:paraId="57A6C0DE" w14:textId="77777777" w:rsidTr="00DB1EE6">
        <w:trPr>
          <w:jc w:val="center"/>
        </w:trPr>
        <w:tc>
          <w:tcPr>
            <w:tcW w:w="1254" w:type="pct"/>
            <w:tcBorders>
              <w:top w:val="nil"/>
              <w:bottom w:val="nil"/>
            </w:tcBorders>
            <w:vAlign w:val="center"/>
          </w:tcPr>
          <w:p w14:paraId="5BDCF9DB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Number</w:t>
            </w:r>
          </w:p>
        </w:tc>
        <w:tc>
          <w:tcPr>
            <w:tcW w:w="810" w:type="pct"/>
            <w:tcBorders>
              <w:top w:val="nil"/>
              <w:bottom w:val="nil"/>
            </w:tcBorders>
            <w:vAlign w:val="center"/>
          </w:tcPr>
          <w:p w14:paraId="476A2B43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2373</w:t>
            </w:r>
          </w:p>
        </w:tc>
        <w:tc>
          <w:tcPr>
            <w:tcW w:w="811" w:type="pct"/>
            <w:tcBorders>
              <w:top w:val="nil"/>
              <w:bottom w:val="nil"/>
            </w:tcBorders>
            <w:vAlign w:val="center"/>
          </w:tcPr>
          <w:p w14:paraId="4F0A87F9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2373</w:t>
            </w:r>
          </w:p>
        </w:tc>
        <w:tc>
          <w:tcPr>
            <w:tcW w:w="824" w:type="pct"/>
            <w:tcBorders>
              <w:top w:val="nil"/>
              <w:bottom w:val="nil"/>
            </w:tcBorders>
            <w:vAlign w:val="center"/>
          </w:tcPr>
          <w:p w14:paraId="620F451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2373</w:t>
            </w:r>
          </w:p>
        </w:tc>
        <w:tc>
          <w:tcPr>
            <w:tcW w:w="812" w:type="pct"/>
            <w:tcBorders>
              <w:top w:val="nil"/>
              <w:bottom w:val="nil"/>
            </w:tcBorders>
            <w:vAlign w:val="center"/>
          </w:tcPr>
          <w:p w14:paraId="7EDAFAFD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2373</w:t>
            </w:r>
          </w:p>
        </w:tc>
        <w:tc>
          <w:tcPr>
            <w:tcW w:w="485" w:type="pct"/>
            <w:tcBorders>
              <w:top w:val="nil"/>
              <w:bottom w:val="nil"/>
            </w:tcBorders>
            <w:vAlign w:val="center"/>
          </w:tcPr>
          <w:p w14:paraId="31DBC87A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i/>
                <w:iCs/>
                <w:sz w:val="20"/>
              </w:rPr>
            </w:pPr>
          </w:p>
        </w:tc>
      </w:tr>
      <w:tr w:rsidR="00006F81" w14:paraId="0B5AA3BE" w14:textId="77777777" w:rsidTr="00DB1EE6">
        <w:trPr>
          <w:jc w:val="center"/>
        </w:trPr>
        <w:tc>
          <w:tcPr>
            <w:tcW w:w="1254" w:type="pct"/>
            <w:tcBorders>
              <w:top w:val="nil"/>
            </w:tcBorders>
            <w:vAlign w:val="center"/>
          </w:tcPr>
          <w:p w14:paraId="3341E89B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Age (years)</w:t>
            </w:r>
          </w:p>
        </w:tc>
        <w:tc>
          <w:tcPr>
            <w:tcW w:w="810" w:type="pct"/>
            <w:tcBorders>
              <w:top w:val="nil"/>
            </w:tcBorders>
            <w:vAlign w:val="center"/>
          </w:tcPr>
          <w:p w14:paraId="028541A1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</w:rPr>
              <w:t>4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0</w:t>
            </w:r>
            <w:r>
              <w:rPr>
                <w:rFonts w:ascii="Arial Unicode MS" w:cs="Arial Unicode MS" w:hint="eastAsia"/>
                <w:sz w:val="20"/>
              </w:rPr>
              <w:t>.00 (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26</w:t>
            </w:r>
            <w:r>
              <w:rPr>
                <w:rFonts w:ascii="Arial Unicode MS" w:cs="Arial Unicode MS" w:hint="eastAsia"/>
                <w:sz w:val="20"/>
              </w:rPr>
              <w:t>.00–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59</w:t>
            </w:r>
            <w:r>
              <w:rPr>
                <w:rFonts w:ascii="Arial Unicode MS" w:cs="Arial Unicode MS" w:hint="eastAsia"/>
                <w:sz w:val="20"/>
              </w:rPr>
              <w:t>.00)</w:t>
            </w:r>
          </w:p>
        </w:tc>
        <w:tc>
          <w:tcPr>
            <w:tcW w:w="811" w:type="pct"/>
            <w:tcBorders>
              <w:top w:val="nil"/>
            </w:tcBorders>
            <w:vAlign w:val="center"/>
          </w:tcPr>
          <w:p w14:paraId="4D335D42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49</w:t>
            </w:r>
            <w:r>
              <w:rPr>
                <w:rFonts w:ascii="Arial Unicode MS" w:cs="Arial Unicode MS" w:hint="eastAsia"/>
                <w:sz w:val="20"/>
              </w:rPr>
              <w:t>.00 (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34</w:t>
            </w:r>
            <w:r>
              <w:rPr>
                <w:rFonts w:ascii="Arial Unicode MS" w:cs="Arial Unicode MS" w:hint="eastAsia"/>
                <w:sz w:val="20"/>
              </w:rPr>
              <w:t>.00–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63</w:t>
            </w:r>
            <w:r>
              <w:rPr>
                <w:rFonts w:ascii="Arial Unicode MS" w:cs="Arial Unicode MS" w:hint="eastAsia"/>
                <w:sz w:val="20"/>
              </w:rPr>
              <w:t>.00)</w:t>
            </w:r>
          </w:p>
        </w:tc>
        <w:tc>
          <w:tcPr>
            <w:tcW w:w="824" w:type="pct"/>
            <w:tcBorders>
              <w:top w:val="nil"/>
            </w:tcBorders>
            <w:vAlign w:val="center"/>
          </w:tcPr>
          <w:p w14:paraId="468D876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49</w:t>
            </w:r>
            <w:r>
              <w:rPr>
                <w:rFonts w:ascii="Arial Unicode MS" w:cs="Arial Unicode MS" w:hint="eastAsia"/>
                <w:sz w:val="20"/>
              </w:rPr>
              <w:t>.00 (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34</w:t>
            </w:r>
            <w:r>
              <w:rPr>
                <w:rFonts w:ascii="Arial Unicode MS" w:cs="Arial Unicode MS" w:hint="eastAsia"/>
                <w:sz w:val="20"/>
              </w:rPr>
              <w:t>.00–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63</w:t>
            </w:r>
            <w:r>
              <w:rPr>
                <w:rFonts w:ascii="Arial Unicode MS" w:cs="Arial Unicode MS" w:hint="eastAsia"/>
                <w:sz w:val="20"/>
              </w:rPr>
              <w:t>.00)</w:t>
            </w:r>
          </w:p>
        </w:tc>
        <w:tc>
          <w:tcPr>
            <w:tcW w:w="812" w:type="pct"/>
            <w:tcBorders>
              <w:top w:val="nil"/>
            </w:tcBorders>
            <w:vAlign w:val="center"/>
          </w:tcPr>
          <w:p w14:paraId="3E90E791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49</w:t>
            </w:r>
            <w:r>
              <w:rPr>
                <w:rFonts w:ascii="Arial Unicode MS" w:cs="Arial Unicode MS" w:hint="eastAsia"/>
                <w:sz w:val="20"/>
              </w:rPr>
              <w:t>.00 (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34</w:t>
            </w:r>
            <w:r>
              <w:rPr>
                <w:rFonts w:ascii="Arial Unicode MS" w:cs="Arial Unicode MS" w:hint="eastAsia"/>
                <w:sz w:val="20"/>
              </w:rPr>
              <w:t>.00–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61</w:t>
            </w:r>
            <w:r>
              <w:rPr>
                <w:rFonts w:ascii="Arial Unicode MS" w:cs="Arial Unicode MS" w:hint="eastAsia"/>
                <w:sz w:val="20"/>
              </w:rPr>
              <w:t>.00)</w:t>
            </w:r>
          </w:p>
        </w:tc>
        <w:tc>
          <w:tcPr>
            <w:tcW w:w="485" w:type="pct"/>
            <w:tcBorders>
              <w:top w:val="nil"/>
            </w:tcBorders>
            <w:vAlign w:val="center"/>
          </w:tcPr>
          <w:p w14:paraId="58107B6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50F0F78F" w14:textId="77777777" w:rsidTr="00DB1EE6">
        <w:trPr>
          <w:jc w:val="center"/>
        </w:trPr>
        <w:tc>
          <w:tcPr>
            <w:tcW w:w="1254" w:type="pct"/>
            <w:vAlign w:val="center"/>
          </w:tcPr>
          <w:p w14:paraId="2F485F88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Age group</w:t>
            </w:r>
          </w:p>
        </w:tc>
        <w:tc>
          <w:tcPr>
            <w:tcW w:w="810" w:type="pct"/>
            <w:vAlign w:val="center"/>
          </w:tcPr>
          <w:p w14:paraId="06859E0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811" w:type="pct"/>
            <w:vAlign w:val="center"/>
          </w:tcPr>
          <w:p w14:paraId="4F0C402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824" w:type="pct"/>
            <w:vAlign w:val="center"/>
          </w:tcPr>
          <w:p w14:paraId="2406925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812" w:type="pct"/>
            <w:vAlign w:val="center"/>
          </w:tcPr>
          <w:p w14:paraId="2B2973A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485" w:type="pct"/>
            <w:vAlign w:val="center"/>
          </w:tcPr>
          <w:p w14:paraId="70463876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</w:tr>
      <w:tr w:rsidR="00006F81" w14:paraId="183A5CAC" w14:textId="77777777" w:rsidTr="00DB1EE6">
        <w:trPr>
          <w:jc w:val="center"/>
        </w:trPr>
        <w:tc>
          <w:tcPr>
            <w:tcW w:w="1254" w:type="pct"/>
            <w:vAlign w:val="center"/>
          </w:tcPr>
          <w:p w14:paraId="475609FB" w14:textId="77777777" w:rsidR="00006F81" w:rsidRDefault="00006F81" w:rsidP="00DB1EE6">
            <w:pPr>
              <w:suppressLineNumbers/>
              <w:spacing w:line="480" w:lineRule="auto"/>
              <w:ind w:firstLineChars="100" w:firstLine="200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65 years</w:t>
            </w:r>
          </w:p>
        </w:tc>
        <w:tc>
          <w:tcPr>
            <w:tcW w:w="810" w:type="pct"/>
            <w:vAlign w:val="center"/>
          </w:tcPr>
          <w:p w14:paraId="4AC9C4A4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 xml:space="preserve">1975 </w:t>
            </w:r>
            <w:r>
              <w:rPr>
                <w:rFonts w:ascii="Arial Unicode MS" w:cs="Arial Unicode MS" w:hint="eastAsia"/>
                <w:sz w:val="20"/>
              </w:rPr>
              <w:t>(8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3</w:t>
            </w:r>
            <w:r>
              <w:rPr>
                <w:rFonts w:ascii="Arial Unicode MS" w:cs="Arial Unicode MS" w:hint="eastAsia"/>
                <w:sz w:val="20"/>
              </w:rPr>
              <w:t>.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23</w:t>
            </w:r>
            <w:r>
              <w:rPr>
                <w:rFonts w:ascii="Arial Unicode MS" w:cs="Arial Unicode MS" w:hint="eastAsia"/>
                <w:sz w:val="20"/>
              </w:rPr>
              <w:t>%)</w:t>
            </w:r>
          </w:p>
        </w:tc>
        <w:tc>
          <w:tcPr>
            <w:tcW w:w="811" w:type="pct"/>
            <w:vAlign w:val="center"/>
          </w:tcPr>
          <w:p w14:paraId="398994F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1828</w:t>
            </w:r>
            <w:r>
              <w:rPr>
                <w:rFonts w:ascii="Arial Unicode MS" w:cs="Arial Unicode MS" w:hint="eastAsia"/>
                <w:sz w:val="20"/>
              </w:rPr>
              <w:t xml:space="preserve"> (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77</w:t>
            </w:r>
            <w:r>
              <w:rPr>
                <w:rFonts w:ascii="Arial Unicode MS" w:cs="Arial Unicode MS" w:hint="eastAsia"/>
                <w:sz w:val="20"/>
              </w:rPr>
              <w:t>.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03</w:t>
            </w:r>
            <w:r>
              <w:rPr>
                <w:rFonts w:ascii="Arial Unicode MS" w:cs="Arial Unicode MS" w:hint="eastAsia"/>
                <w:sz w:val="20"/>
              </w:rPr>
              <w:t>%)</w:t>
            </w:r>
          </w:p>
        </w:tc>
        <w:tc>
          <w:tcPr>
            <w:tcW w:w="824" w:type="pct"/>
            <w:vAlign w:val="center"/>
          </w:tcPr>
          <w:p w14:paraId="6E252D02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1868</w:t>
            </w:r>
            <w:r>
              <w:rPr>
                <w:rFonts w:ascii="Arial Unicode MS" w:cs="Arial Unicode MS" w:hint="eastAsia"/>
                <w:sz w:val="20"/>
              </w:rPr>
              <w:t xml:space="preserve"> (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78.72</w:t>
            </w:r>
            <w:r>
              <w:rPr>
                <w:rFonts w:ascii="Arial Unicode MS" w:cs="Arial Unicode MS" w:hint="eastAsia"/>
                <w:sz w:val="20"/>
              </w:rPr>
              <w:t>%)</w:t>
            </w:r>
          </w:p>
        </w:tc>
        <w:tc>
          <w:tcPr>
            <w:tcW w:w="812" w:type="pct"/>
            <w:vAlign w:val="center"/>
          </w:tcPr>
          <w:p w14:paraId="233C9F0A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1936</w:t>
            </w:r>
            <w:r>
              <w:rPr>
                <w:rFonts w:ascii="Arial Unicode MS" w:cs="Arial Unicode MS" w:hint="eastAsia"/>
                <w:sz w:val="20"/>
              </w:rPr>
              <w:t xml:space="preserve"> (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81.58</w:t>
            </w:r>
            <w:r>
              <w:rPr>
                <w:rFonts w:ascii="Arial Unicode MS" w:cs="Arial Unicode MS" w:hint="eastAsia"/>
                <w:sz w:val="20"/>
              </w:rPr>
              <w:t>%)</w:t>
            </w:r>
          </w:p>
        </w:tc>
        <w:tc>
          <w:tcPr>
            <w:tcW w:w="485" w:type="pct"/>
            <w:vMerge w:val="restart"/>
            <w:vAlign w:val="center"/>
          </w:tcPr>
          <w:p w14:paraId="67ADF91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2FA66427" w14:textId="77777777" w:rsidTr="00DB1EE6">
        <w:trPr>
          <w:jc w:val="center"/>
        </w:trPr>
        <w:tc>
          <w:tcPr>
            <w:tcW w:w="1254" w:type="pct"/>
            <w:vAlign w:val="center"/>
          </w:tcPr>
          <w:p w14:paraId="1202007D" w14:textId="77777777" w:rsidR="00006F81" w:rsidRDefault="00006F81" w:rsidP="00DB1EE6">
            <w:pPr>
              <w:suppressLineNumbers/>
              <w:spacing w:line="480" w:lineRule="auto"/>
              <w:ind w:firstLineChars="100" w:firstLine="200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≥ </w:t>
            </w:r>
            <w:r>
              <w:rPr>
                <w:rFonts w:ascii="Arial Unicode MS" w:cs="Arial Unicode MS"/>
                <w:sz w:val="20"/>
              </w:rPr>
              <w:t>65 years</w:t>
            </w:r>
          </w:p>
        </w:tc>
        <w:tc>
          <w:tcPr>
            <w:tcW w:w="810" w:type="pct"/>
            <w:vAlign w:val="center"/>
          </w:tcPr>
          <w:p w14:paraId="71D97241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398</w:t>
            </w:r>
            <w:r>
              <w:rPr>
                <w:rFonts w:ascii="Arial Unicode MS" w:cs="Arial Unicode MS" w:hint="eastAsia"/>
                <w:sz w:val="20"/>
              </w:rPr>
              <w:t xml:space="preserve"> (1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6</w:t>
            </w:r>
            <w:r>
              <w:rPr>
                <w:rFonts w:ascii="Arial Unicode MS" w:cs="Arial Unicode MS" w:hint="eastAsia"/>
                <w:sz w:val="20"/>
              </w:rPr>
              <w:t>.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77</w:t>
            </w:r>
            <w:r>
              <w:rPr>
                <w:rFonts w:ascii="Arial Unicode MS" w:cs="Arial Unicode MS" w:hint="eastAsia"/>
                <w:sz w:val="20"/>
              </w:rPr>
              <w:t>%)</w:t>
            </w:r>
          </w:p>
        </w:tc>
        <w:tc>
          <w:tcPr>
            <w:tcW w:w="811" w:type="pct"/>
            <w:vAlign w:val="center"/>
          </w:tcPr>
          <w:p w14:paraId="3E012651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545</w:t>
            </w:r>
            <w:r>
              <w:rPr>
                <w:rFonts w:ascii="Arial Unicode MS" w:cs="Arial Unicode MS" w:hint="eastAsia"/>
                <w:sz w:val="20"/>
              </w:rPr>
              <w:t xml:space="preserve"> (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22.97</w:t>
            </w:r>
            <w:r>
              <w:rPr>
                <w:rFonts w:ascii="Arial Unicode MS" w:cs="Arial Unicode MS" w:hint="eastAsia"/>
                <w:sz w:val="20"/>
              </w:rPr>
              <w:t>%)</w:t>
            </w:r>
          </w:p>
        </w:tc>
        <w:tc>
          <w:tcPr>
            <w:tcW w:w="824" w:type="pct"/>
            <w:vAlign w:val="center"/>
          </w:tcPr>
          <w:p w14:paraId="4D27D142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505</w:t>
            </w:r>
            <w:r>
              <w:rPr>
                <w:rFonts w:ascii="Arial Unicode MS" w:cs="Arial Unicode MS" w:hint="eastAsia"/>
                <w:sz w:val="20"/>
              </w:rPr>
              <w:t xml:space="preserve"> (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21.28</w:t>
            </w:r>
            <w:r>
              <w:rPr>
                <w:rFonts w:ascii="Arial Unicode MS" w:cs="Arial Unicode MS" w:hint="eastAsia"/>
                <w:sz w:val="20"/>
              </w:rPr>
              <w:t>%)</w:t>
            </w:r>
          </w:p>
        </w:tc>
        <w:tc>
          <w:tcPr>
            <w:tcW w:w="812" w:type="pct"/>
            <w:vAlign w:val="center"/>
          </w:tcPr>
          <w:p w14:paraId="0B93B70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437</w:t>
            </w:r>
            <w:r>
              <w:rPr>
                <w:rFonts w:ascii="Arial Unicode MS" w:cs="Arial Unicode MS" w:hint="eastAsia"/>
                <w:sz w:val="20"/>
              </w:rPr>
              <w:t xml:space="preserve"> (</w:t>
            </w:r>
            <w:r>
              <w:rPr>
                <w:rFonts w:ascii="Arial Unicode MS" w:cs="Arial Unicode MS" w:hint="eastAsia"/>
                <w:sz w:val="20"/>
                <w:lang w:eastAsia="zh-CN"/>
              </w:rPr>
              <w:t>18.42</w:t>
            </w:r>
            <w:r>
              <w:rPr>
                <w:rFonts w:ascii="Arial Unicode MS" w:cs="Arial Unicode MS" w:hint="eastAsia"/>
                <w:sz w:val="20"/>
              </w:rPr>
              <w:t>%)</w:t>
            </w:r>
          </w:p>
        </w:tc>
        <w:tc>
          <w:tcPr>
            <w:tcW w:w="485" w:type="pct"/>
            <w:vMerge/>
            <w:vAlign w:val="center"/>
          </w:tcPr>
          <w:p w14:paraId="3CE1708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</w:tr>
      <w:tr w:rsidR="00006F81" w14:paraId="5455E617" w14:textId="77777777" w:rsidTr="00DB1EE6">
        <w:trPr>
          <w:jc w:val="center"/>
        </w:trPr>
        <w:tc>
          <w:tcPr>
            <w:tcW w:w="1254" w:type="pct"/>
            <w:vAlign w:val="center"/>
          </w:tcPr>
          <w:p w14:paraId="1D5CEABC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</w:rPr>
              <w:t>Sex</w:t>
            </w:r>
          </w:p>
        </w:tc>
        <w:tc>
          <w:tcPr>
            <w:tcW w:w="810" w:type="pct"/>
            <w:vAlign w:val="center"/>
          </w:tcPr>
          <w:p w14:paraId="10A5FB7A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811" w:type="pct"/>
            <w:vAlign w:val="center"/>
          </w:tcPr>
          <w:p w14:paraId="4AAD2E3E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824" w:type="pct"/>
            <w:vAlign w:val="center"/>
          </w:tcPr>
          <w:p w14:paraId="70D3DFD4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812" w:type="pct"/>
            <w:vAlign w:val="center"/>
          </w:tcPr>
          <w:p w14:paraId="0B3ECA0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485" w:type="pct"/>
            <w:vAlign w:val="center"/>
          </w:tcPr>
          <w:p w14:paraId="02D8DAFE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</w:tr>
      <w:tr w:rsidR="00006F81" w14:paraId="00BCF52D" w14:textId="77777777" w:rsidTr="00DB1EE6">
        <w:trPr>
          <w:jc w:val="center"/>
        </w:trPr>
        <w:tc>
          <w:tcPr>
            <w:tcW w:w="1254" w:type="pct"/>
            <w:vAlign w:val="center"/>
          </w:tcPr>
          <w:p w14:paraId="7E68D373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 xml:space="preserve">  </w:t>
            </w:r>
            <w:r>
              <w:rPr>
                <w:rFonts w:ascii="Arial Unicode MS" w:cs="Arial Unicode MS" w:hint="eastAsia"/>
                <w:sz w:val="20"/>
              </w:rPr>
              <w:t>M</w:t>
            </w:r>
            <w:r>
              <w:rPr>
                <w:rFonts w:ascii="Arial Unicode MS" w:cs="Arial Unicode MS"/>
                <w:sz w:val="20"/>
              </w:rPr>
              <w:t>ale</w:t>
            </w:r>
          </w:p>
        </w:tc>
        <w:tc>
          <w:tcPr>
            <w:tcW w:w="810" w:type="pct"/>
            <w:vAlign w:val="center"/>
          </w:tcPr>
          <w:p w14:paraId="1684E47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1170 (49.30%)</w:t>
            </w:r>
          </w:p>
        </w:tc>
        <w:tc>
          <w:tcPr>
            <w:tcW w:w="811" w:type="pct"/>
            <w:vAlign w:val="center"/>
          </w:tcPr>
          <w:p w14:paraId="033E0659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1240 (52.25%)</w:t>
            </w:r>
          </w:p>
        </w:tc>
        <w:tc>
          <w:tcPr>
            <w:tcW w:w="824" w:type="pct"/>
            <w:vAlign w:val="center"/>
          </w:tcPr>
          <w:p w14:paraId="7D8638A1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1170 (49.30%)</w:t>
            </w:r>
          </w:p>
        </w:tc>
        <w:tc>
          <w:tcPr>
            <w:tcW w:w="812" w:type="pct"/>
            <w:vAlign w:val="center"/>
          </w:tcPr>
          <w:p w14:paraId="21377074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1005 (42.35%)</w:t>
            </w:r>
          </w:p>
        </w:tc>
        <w:tc>
          <w:tcPr>
            <w:tcW w:w="485" w:type="pct"/>
            <w:vMerge w:val="restart"/>
            <w:vAlign w:val="center"/>
          </w:tcPr>
          <w:p w14:paraId="66E1D533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3EEFA191" w14:textId="77777777" w:rsidTr="00DB1EE6">
        <w:trPr>
          <w:jc w:val="center"/>
        </w:trPr>
        <w:tc>
          <w:tcPr>
            <w:tcW w:w="1254" w:type="pct"/>
            <w:vAlign w:val="center"/>
          </w:tcPr>
          <w:p w14:paraId="6C16652F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 xml:space="preserve">  </w:t>
            </w:r>
            <w:r>
              <w:rPr>
                <w:rFonts w:ascii="Arial Unicode MS" w:cs="Arial Unicode MS" w:hint="eastAsia"/>
                <w:sz w:val="20"/>
              </w:rPr>
              <w:t>F</w:t>
            </w:r>
            <w:r>
              <w:rPr>
                <w:rFonts w:ascii="Arial Unicode MS" w:cs="Arial Unicode MS"/>
                <w:sz w:val="20"/>
              </w:rPr>
              <w:t>emale</w:t>
            </w:r>
          </w:p>
        </w:tc>
        <w:tc>
          <w:tcPr>
            <w:tcW w:w="810" w:type="pct"/>
            <w:vAlign w:val="center"/>
          </w:tcPr>
          <w:p w14:paraId="3234B1DD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1203 (50.70%)</w:t>
            </w:r>
          </w:p>
        </w:tc>
        <w:tc>
          <w:tcPr>
            <w:tcW w:w="811" w:type="pct"/>
            <w:vAlign w:val="center"/>
          </w:tcPr>
          <w:p w14:paraId="2A983EF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1133 (47.75%)</w:t>
            </w:r>
          </w:p>
        </w:tc>
        <w:tc>
          <w:tcPr>
            <w:tcW w:w="824" w:type="pct"/>
            <w:vAlign w:val="center"/>
          </w:tcPr>
          <w:p w14:paraId="2DB4F8E7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1203 (50.70%)</w:t>
            </w:r>
          </w:p>
        </w:tc>
        <w:tc>
          <w:tcPr>
            <w:tcW w:w="812" w:type="pct"/>
            <w:vAlign w:val="center"/>
          </w:tcPr>
          <w:p w14:paraId="12BD87F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1368 (57.65%)</w:t>
            </w:r>
          </w:p>
        </w:tc>
        <w:tc>
          <w:tcPr>
            <w:tcW w:w="485" w:type="pct"/>
            <w:vMerge/>
            <w:vAlign w:val="center"/>
          </w:tcPr>
          <w:p w14:paraId="0C15E49A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</w:tr>
      <w:tr w:rsidR="00006F81" w14:paraId="6FDA0ED9" w14:textId="77777777" w:rsidTr="00DB1EE6">
        <w:trPr>
          <w:jc w:val="center"/>
        </w:trPr>
        <w:tc>
          <w:tcPr>
            <w:tcW w:w="1254" w:type="pct"/>
            <w:vAlign w:val="center"/>
          </w:tcPr>
          <w:p w14:paraId="0A16054E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Race</w:t>
            </w:r>
          </w:p>
        </w:tc>
        <w:tc>
          <w:tcPr>
            <w:tcW w:w="810" w:type="pct"/>
            <w:vAlign w:val="center"/>
          </w:tcPr>
          <w:p w14:paraId="09D63BB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811" w:type="pct"/>
            <w:vAlign w:val="center"/>
          </w:tcPr>
          <w:p w14:paraId="7ABD555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824" w:type="pct"/>
            <w:vAlign w:val="center"/>
          </w:tcPr>
          <w:p w14:paraId="4C7FA220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812" w:type="pct"/>
            <w:vAlign w:val="center"/>
          </w:tcPr>
          <w:p w14:paraId="577B9664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  <w:tc>
          <w:tcPr>
            <w:tcW w:w="485" w:type="pct"/>
            <w:vAlign w:val="center"/>
          </w:tcPr>
          <w:p w14:paraId="3B456254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</w:tr>
      <w:tr w:rsidR="00006F81" w14:paraId="2DDD335E" w14:textId="77777777" w:rsidTr="00DB1EE6">
        <w:trPr>
          <w:jc w:val="center"/>
        </w:trPr>
        <w:tc>
          <w:tcPr>
            <w:tcW w:w="1254" w:type="pct"/>
            <w:vAlign w:val="center"/>
          </w:tcPr>
          <w:p w14:paraId="1B788EF9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 xml:space="preserve">  Mexican American</w:t>
            </w:r>
          </w:p>
        </w:tc>
        <w:tc>
          <w:tcPr>
            <w:tcW w:w="810" w:type="pct"/>
            <w:vAlign w:val="center"/>
          </w:tcPr>
          <w:p w14:paraId="7B11AEE9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287 (12.09%)</w:t>
            </w:r>
          </w:p>
        </w:tc>
        <w:tc>
          <w:tcPr>
            <w:tcW w:w="811" w:type="pct"/>
            <w:vAlign w:val="center"/>
          </w:tcPr>
          <w:p w14:paraId="7070134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440 (18.54%)</w:t>
            </w:r>
          </w:p>
        </w:tc>
        <w:tc>
          <w:tcPr>
            <w:tcW w:w="824" w:type="pct"/>
            <w:vAlign w:val="center"/>
          </w:tcPr>
          <w:p w14:paraId="16A0AE11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447 (18.84%)</w:t>
            </w:r>
          </w:p>
        </w:tc>
        <w:tc>
          <w:tcPr>
            <w:tcW w:w="812" w:type="pct"/>
            <w:vAlign w:val="center"/>
          </w:tcPr>
          <w:p w14:paraId="2D426DDC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441 (18.58%)</w:t>
            </w:r>
          </w:p>
        </w:tc>
        <w:tc>
          <w:tcPr>
            <w:tcW w:w="485" w:type="pct"/>
            <w:vMerge w:val="restart"/>
            <w:vAlign w:val="center"/>
          </w:tcPr>
          <w:p w14:paraId="687D66CA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268EDDC7" w14:textId="77777777" w:rsidTr="00DB1EE6">
        <w:trPr>
          <w:jc w:val="center"/>
        </w:trPr>
        <w:tc>
          <w:tcPr>
            <w:tcW w:w="1254" w:type="pct"/>
            <w:vAlign w:val="center"/>
          </w:tcPr>
          <w:p w14:paraId="1A086AC7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lastRenderedPageBreak/>
              <w:t xml:space="preserve">  Non-Hispanic white</w:t>
            </w:r>
          </w:p>
        </w:tc>
        <w:tc>
          <w:tcPr>
            <w:tcW w:w="810" w:type="pct"/>
            <w:vAlign w:val="center"/>
          </w:tcPr>
          <w:p w14:paraId="4FF50EA9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228 (9.61%)</w:t>
            </w:r>
          </w:p>
        </w:tc>
        <w:tc>
          <w:tcPr>
            <w:tcW w:w="811" w:type="pct"/>
            <w:vAlign w:val="center"/>
          </w:tcPr>
          <w:p w14:paraId="0740565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257 (10.83%)</w:t>
            </w:r>
          </w:p>
        </w:tc>
        <w:tc>
          <w:tcPr>
            <w:tcW w:w="824" w:type="pct"/>
            <w:vAlign w:val="center"/>
          </w:tcPr>
          <w:p w14:paraId="4A3D257E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322 (13.57%)</w:t>
            </w:r>
          </w:p>
        </w:tc>
        <w:tc>
          <w:tcPr>
            <w:tcW w:w="812" w:type="pct"/>
            <w:vAlign w:val="center"/>
          </w:tcPr>
          <w:p w14:paraId="26D41D1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307 (12.94%)</w:t>
            </w:r>
          </w:p>
        </w:tc>
        <w:tc>
          <w:tcPr>
            <w:tcW w:w="485" w:type="pct"/>
            <w:vMerge/>
            <w:vAlign w:val="center"/>
          </w:tcPr>
          <w:p w14:paraId="326D4F7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</w:tr>
      <w:tr w:rsidR="00006F81" w14:paraId="78464F20" w14:textId="77777777" w:rsidTr="00DB1EE6">
        <w:trPr>
          <w:jc w:val="center"/>
        </w:trPr>
        <w:tc>
          <w:tcPr>
            <w:tcW w:w="1254" w:type="pct"/>
            <w:vAlign w:val="center"/>
          </w:tcPr>
          <w:p w14:paraId="51DEE8B1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 xml:space="preserve"> </w:t>
            </w:r>
            <w:r>
              <w:rPr>
                <w:rFonts w:ascii="Arial Unicode MS" w:cs="Arial Unicode MS" w:hint="eastAsia"/>
                <w:sz w:val="20"/>
              </w:rPr>
              <w:t xml:space="preserve"> </w:t>
            </w:r>
            <w:r>
              <w:rPr>
                <w:rFonts w:ascii="Arial Unicode MS" w:cs="Arial Unicode MS"/>
                <w:sz w:val="20"/>
              </w:rPr>
              <w:t>Non-Hispanic black</w:t>
            </w:r>
          </w:p>
        </w:tc>
        <w:tc>
          <w:tcPr>
            <w:tcW w:w="810" w:type="pct"/>
            <w:vAlign w:val="center"/>
          </w:tcPr>
          <w:p w14:paraId="6F91C07D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706 (29.75%)</w:t>
            </w:r>
          </w:p>
        </w:tc>
        <w:tc>
          <w:tcPr>
            <w:tcW w:w="811" w:type="pct"/>
            <w:vAlign w:val="center"/>
          </w:tcPr>
          <w:p w14:paraId="459274B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762 (32.11%)</w:t>
            </w:r>
          </w:p>
        </w:tc>
        <w:tc>
          <w:tcPr>
            <w:tcW w:w="824" w:type="pct"/>
            <w:vAlign w:val="center"/>
          </w:tcPr>
          <w:p w14:paraId="1E9493AF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736 (31.02%)</w:t>
            </w:r>
          </w:p>
        </w:tc>
        <w:tc>
          <w:tcPr>
            <w:tcW w:w="812" w:type="pct"/>
            <w:vAlign w:val="center"/>
          </w:tcPr>
          <w:p w14:paraId="44F25613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747 (31.48%)</w:t>
            </w:r>
          </w:p>
        </w:tc>
        <w:tc>
          <w:tcPr>
            <w:tcW w:w="485" w:type="pct"/>
            <w:vMerge/>
            <w:vAlign w:val="center"/>
          </w:tcPr>
          <w:p w14:paraId="1FDCE4E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</w:tr>
      <w:tr w:rsidR="00006F81" w14:paraId="563CEAC4" w14:textId="77777777" w:rsidTr="00DB1EE6">
        <w:trPr>
          <w:jc w:val="center"/>
        </w:trPr>
        <w:tc>
          <w:tcPr>
            <w:tcW w:w="1254" w:type="pct"/>
            <w:vAlign w:val="center"/>
          </w:tcPr>
          <w:p w14:paraId="3C567D54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 xml:space="preserve">  </w:t>
            </w:r>
            <w:r>
              <w:rPr>
                <w:rFonts w:ascii="Arial Unicode MS" w:cs="Arial Unicode MS" w:hint="eastAsia"/>
                <w:sz w:val="20"/>
              </w:rPr>
              <w:t>Other Hispanic</w:t>
            </w:r>
          </w:p>
        </w:tc>
        <w:tc>
          <w:tcPr>
            <w:tcW w:w="810" w:type="pct"/>
            <w:vAlign w:val="center"/>
          </w:tcPr>
          <w:p w14:paraId="5D12DF59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523 (22.04%)</w:t>
            </w:r>
          </w:p>
        </w:tc>
        <w:tc>
          <w:tcPr>
            <w:tcW w:w="811" w:type="pct"/>
            <w:vAlign w:val="center"/>
          </w:tcPr>
          <w:p w14:paraId="380F3F63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462 (19.47%)</w:t>
            </w:r>
          </w:p>
        </w:tc>
        <w:tc>
          <w:tcPr>
            <w:tcW w:w="824" w:type="pct"/>
            <w:vAlign w:val="center"/>
          </w:tcPr>
          <w:p w14:paraId="3BFF7B94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519 (21.87%)</w:t>
            </w:r>
          </w:p>
        </w:tc>
        <w:tc>
          <w:tcPr>
            <w:tcW w:w="812" w:type="pct"/>
            <w:vAlign w:val="center"/>
          </w:tcPr>
          <w:p w14:paraId="5334A299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591 (24.91%)</w:t>
            </w:r>
          </w:p>
        </w:tc>
        <w:tc>
          <w:tcPr>
            <w:tcW w:w="485" w:type="pct"/>
            <w:vMerge/>
            <w:vAlign w:val="center"/>
          </w:tcPr>
          <w:p w14:paraId="254EAC83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</w:tr>
      <w:tr w:rsidR="00006F81" w14:paraId="43633FDC" w14:textId="77777777" w:rsidTr="00DB1EE6">
        <w:trPr>
          <w:jc w:val="center"/>
        </w:trPr>
        <w:tc>
          <w:tcPr>
            <w:tcW w:w="1254" w:type="pct"/>
            <w:vAlign w:val="center"/>
          </w:tcPr>
          <w:p w14:paraId="7A073E7C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 xml:space="preserve"> </w:t>
            </w:r>
            <w:r>
              <w:rPr>
                <w:rFonts w:ascii="Arial Unicode MS" w:cs="Arial Unicode MS" w:hint="eastAsia"/>
                <w:sz w:val="20"/>
              </w:rPr>
              <w:t xml:space="preserve"> </w:t>
            </w:r>
            <w:r>
              <w:rPr>
                <w:rFonts w:ascii="Arial Unicode MS" w:cs="Arial Unicode MS"/>
                <w:sz w:val="20"/>
              </w:rPr>
              <w:t>Other races</w:t>
            </w:r>
          </w:p>
        </w:tc>
        <w:tc>
          <w:tcPr>
            <w:tcW w:w="810" w:type="pct"/>
            <w:vAlign w:val="center"/>
          </w:tcPr>
          <w:p w14:paraId="02F520B9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629 (26.51%)</w:t>
            </w:r>
          </w:p>
        </w:tc>
        <w:tc>
          <w:tcPr>
            <w:tcW w:w="811" w:type="pct"/>
            <w:vAlign w:val="center"/>
          </w:tcPr>
          <w:p w14:paraId="10F50E7C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452 (19.05%)</w:t>
            </w:r>
          </w:p>
        </w:tc>
        <w:tc>
          <w:tcPr>
            <w:tcW w:w="824" w:type="pct"/>
            <w:vAlign w:val="center"/>
          </w:tcPr>
          <w:p w14:paraId="24396426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349 (14.71%)</w:t>
            </w:r>
          </w:p>
        </w:tc>
        <w:tc>
          <w:tcPr>
            <w:tcW w:w="812" w:type="pct"/>
            <w:vAlign w:val="center"/>
          </w:tcPr>
          <w:p w14:paraId="48C3B9A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287 (12.09%)</w:t>
            </w:r>
          </w:p>
        </w:tc>
        <w:tc>
          <w:tcPr>
            <w:tcW w:w="485" w:type="pct"/>
            <w:vMerge/>
            <w:vAlign w:val="center"/>
          </w:tcPr>
          <w:p w14:paraId="17B6302F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</w:tr>
      <w:tr w:rsidR="00006F81" w14:paraId="1661DB6A" w14:textId="77777777" w:rsidTr="00DB1EE6">
        <w:trPr>
          <w:jc w:val="center"/>
        </w:trPr>
        <w:tc>
          <w:tcPr>
            <w:tcW w:w="1254" w:type="pct"/>
            <w:vAlign w:val="center"/>
          </w:tcPr>
          <w:p w14:paraId="5195AB05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Drinking</w:t>
            </w:r>
          </w:p>
        </w:tc>
        <w:tc>
          <w:tcPr>
            <w:tcW w:w="810" w:type="pct"/>
            <w:vAlign w:val="center"/>
          </w:tcPr>
          <w:p w14:paraId="75CEBF52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1001 (42.18%)</w:t>
            </w:r>
          </w:p>
        </w:tc>
        <w:tc>
          <w:tcPr>
            <w:tcW w:w="811" w:type="pct"/>
            <w:vAlign w:val="center"/>
          </w:tcPr>
          <w:p w14:paraId="178EAB32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1155 (48.67%)</w:t>
            </w:r>
          </w:p>
        </w:tc>
        <w:tc>
          <w:tcPr>
            <w:tcW w:w="824" w:type="pct"/>
            <w:vAlign w:val="center"/>
          </w:tcPr>
          <w:p w14:paraId="574A611F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1177 (49.60%)</w:t>
            </w:r>
          </w:p>
        </w:tc>
        <w:tc>
          <w:tcPr>
            <w:tcW w:w="812" w:type="pct"/>
            <w:vAlign w:val="center"/>
          </w:tcPr>
          <w:p w14:paraId="5B7CD8CC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1140 (48.04%)</w:t>
            </w:r>
          </w:p>
        </w:tc>
        <w:tc>
          <w:tcPr>
            <w:tcW w:w="485" w:type="pct"/>
            <w:vAlign w:val="center"/>
          </w:tcPr>
          <w:p w14:paraId="5F95F19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73BD418B" w14:textId="77777777" w:rsidTr="00DB1EE6">
        <w:trPr>
          <w:jc w:val="center"/>
        </w:trPr>
        <w:tc>
          <w:tcPr>
            <w:tcW w:w="1254" w:type="pct"/>
            <w:vAlign w:val="center"/>
          </w:tcPr>
          <w:p w14:paraId="432B35C5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Smoking</w:t>
            </w:r>
          </w:p>
        </w:tc>
        <w:tc>
          <w:tcPr>
            <w:tcW w:w="810" w:type="pct"/>
            <w:vAlign w:val="center"/>
          </w:tcPr>
          <w:p w14:paraId="6BBA8C3F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794 (33.46%)</w:t>
            </w:r>
          </w:p>
        </w:tc>
        <w:tc>
          <w:tcPr>
            <w:tcW w:w="811" w:type="pct"/>
            <w:vAlign w:val="center"/>
          </w:tcPr>
          <w:p w14:paraId="6EA34A3D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903 (38.05%)</w:t>
            </w:r>
          </w:p>
        </w:tc>
        <w:tc>
          <w:tcPr>
            <w:tcW w:w="824" w:type="pct"/>
            <w:vAlign w:val="center"/>
          </w:tcPr>
          <w:p w14:paraId="0964020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983 (41.42%)</w:t>
            </w:r>
          </w:p>
        </w:tc>
        <w:tc>
          <w:tcPr>
            <w:tcW w:w="812" w:type="pct"/>
            <w:vAlign w:val="center"/>
          </w:tcPr>
          <w:p w14:paraId="5CAE370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1067 (44.96%)</w:t>
            </w:r>
          </w:p>
        </w:tc>
        <w:tc>
          <w:tcPr>
            <w:tcW w:w="485" w:type="pct"/>
            <w:vAlign w:val="center"/>
          </w:tcPr>
          <w:p w14:paraId="2282171C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3DF255EA" w14:textId="77777777" w:rsidTr="00DB1EE6">
        <w:trPr>
          <w:jc w:val="center"/>
        </w:trPr>
        <w:tc>
          <w:tcPr>
            <w:tcW w:w="1254" w:type="pct"/>
            <w:vAlign w:val="center"/>
          </w:tcPr>
          <w:p w14:paraId="3E88706D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Hypertension</w:t>
            </w:r>
          </w:p>
        </w:tc>
        <w:tc>
          <w:tcPr>
            <w:tcW w:w="810" w:type="pct"/>
            <w:vAlign w:val="center"/>
          </w:tcPr>
          <w:p w14:paraId="134DD40D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534 (22.50%)</w:t>
            </w:r>
          </w:p>
        </w:tc>
        <w:tc>
          <w:tcPr>
            <w:tcW w:w="811" w:type="pct"/>
            <w:vAlign w:val="center"/>
          </w:tcPr>
          <w:p w14:paraId="2BCCB10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765 (32.24%)</w:t>
            </w:r>
          </w:p>
        </w:tc>
        <w:tc>
          <w:tcPr>
            <w:tcW w:w="824" w:type="pct"/>
            <w:vAlign w:val="center"/>
          </w:tcPr>
          <w:p w14:paraId="66AFCC6E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890 (37.51%)</w:t>
            </w:r>
          </w:p>
        </w:tc>
        <w:tc>
          <w:tcPr>
            <w:tcW w:w="812" w:type="pct"/>
            <w:vAlign w:val="center"/>
          </w:tcPr>
          <w:p w14:paraId="014279F9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1013 (42.69%)</w:t>
            </w:r>
          </w:p>
        </w:tc>
        <w:tc>
          <w:tcPr>
            <w:tcW w:w="485" w:type="pct"/>
            <w:vAlign w:val="center"/>
          </w:tcPr>
          <w:p w14:paraId="6E4DE90C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70C24560" w14:textId="77777777" w:rsidTr="00DB1EE6">
        <w:trPr>
          <w:jc w:val="center"/>
        </w:trPr>
        <w:tc>
          <w:tcPr>
            <w:tcW w:w="1254" w:type="pct"/>
            <w:vAlign w:val="center"/>
          </w:tcPr>
          <w:p w14:paraId="14D6CE3F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Diabetes</w:t>
            </w:r>
          </w:p>
        </w:tc>
        <w:tc>
          <w:tcPr>
            <w:tcW w:w="810" w:type="pct"/>
            <w:vAlign w:val="center"/>
          </w:tcPr>
          <w:p w14:paraId="0FB3115E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222 (9.36%)</w:t>
            </w:r>
          </w:p>
        </w:tc>
        <w:tc>
          <w:tcPr>
            <w:tcW w:w="811" w:type="pct"/>
            <w:vAlign w:val="center"/>
          </w:tcPr>
          <w:p w14:paraId="63AE0BC1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312 (13.15%)</w:t>
            </w:r>
          </w:p>
        </w:tc>
        <w:tc>
          <w:tcPr>
            <w:tcW w:w="824" w:type="pct"/>
            <w:vAlign w:val="center"/>
          </w:tcPr>
          <w:p w14:paraId="2705C554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462 (19.47%)</w:t>
            </w:r>
          </w:p>
        </w:tc>
        <w:tc>
          <w:tcPr>
            <w:tcW w:w="812" w:type="pct"/>
            <w:vAlign w:val="center"/>
          </w:tcPr>
          <w:p w14:paraId="236FF5A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638 (26.89%)</w:t>
            </w:r>
          </w:p>
        </w:tc>
        <w:tc>
          <w:tcPr>
            <w:tcW w:w="485" w:type="pct"/>
            <w:vAlign w:val="center"/>
          </w:tcPr>
          <w:p w14:paraId="193065E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7F6E0C59" w14:textId="77777777" w:rsidTr="00DB1EE6">
        <w:trPr>
          <w:jc w:val="center"/>
        </w:trPr>
        <w:tc>
          <w:tcPr>
            <w:tcW w:w="1254" w:type="pct"/>
            <w:vAlign w:val="center"/>
          </w:tcPr>
          <w:p w14:paraId="67EC7ABE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</w:rPr>
              <w:t>Heart failure</w:t>
            </w:r>
          </w:p>
        </w:tc>
        <w:tc>
          <w:tcPr>
            <w:tcW w:w="810" w:type="pct"/>
            <w:vAlign w:val="center"/>
          </w:tcPr>
          <w:p w14:paraId="762DC96D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32 (1.35%)</w:t>
            </w:r>
          </w:p>
        </w:tc>
        <w:tc>
          <w:tcPr>
            <w:tcW w:w="811" w:type="pct"/>
            <w:vAlign w:val="center"/>
          </w:tcPr>
          <w:p w14:paraId="559544D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51 (2.15%)</w:t>
            </w:r>
          </w:p>
        </w:tc>
        <w:tc>
          <w:tcPr>
            <w:tcW w:w="824" w:type="pct"/>
            <w:vAlign w:val="center"/>
          </w:tcPr>
          <w:p w14:paraId="5A7F022F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82 (3.46%)</w:t>
            </w:r>
          </w:p>
        </w:tc>
        <w:tc>
          <w:tcPr>
            <w:tcW w:w="812" w:type="pct"/>
            <w:vAlign w:val="center"/>
          </w:tcPr>
          <w:p w14:paraId="5583BE9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121 (5.10%)</w:t>
            </w:r>
          </w:p>
        </w:tc>
        <w:tc>
          <w:tcPr>
            <w:tcW w:w="485" w:type="pct"/>
            <w:vAlign w:val="center"/>
          </w:tcPr>
          <w:p w14:paraId="3A3431FA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3BE0FD04" w14:textId="77777777" w:rsidTr="00DB1EE6">
        <w:trPr>
          <w:jc w:val="center"/>
        </w:trPr>
        <w:tc>
          <w:tcPr>
            <w:tcW w:w="1254" w:type="pct"/>
            <w:tcBorders>
              <w:bottom w:val="single" w:sz="4" w:space="0" w:color="auto"/>
            </w:tcBorders>
            <w:vAlign w:val="center"/>
          </w:tcPr>
          <w:p w14:paraId="3BDCABF1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CAD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</w:tcPr>
          <w:p w14:paraId="1BBD0EE6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48 (2.02%)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vAlign w:val="center"/>
          </w:tcPr>
          <w:p w14:paraId="3EF158EF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88 (3.71%)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vAlign w:val="center"/>
          </w:tcPr>
          <w:p w14:paraId="4BED9853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100 (4.21%)</w:t>
            </w:r>
          </w:p>
        </w:tc>
        <w:tc>
          <w:tcPr>
            <w:tcW w:w="812" w:type="pct"/>
            <w:tcBorders>
              <w:bottom w:val="single" w:sz="4" w:space="0" w:color="auto"/>
            </w:tcBorders>
            <w:vAlign w:val="center"/>
          </w:tcPr>
          <w:p w14:paraId="74F97746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95 (4.00%)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14:paraId="2161B171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56D412B6" w14:textId="77777777" w:rsidTr="00DB1EE6">
        <w:trPr>
          <w:jc w:val="center"/>
        </w:trPr>
        <w:tc>
          <w:tcPr>
            <w:tcW w:w="1254" w:type="pct"/>
            <w:tcBorders>
              <w:top w:val="single" w:sz="4" w:space="0" w:color="auto"/>
              <w:bottom w:val="nil"/>
            </w:tcBorders>
            <w:vAlign w:val="center"/>
          </w:tcPr>
          <w:p w14:paraId="41574870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</w:rPr>
              <w:t>Stroke</w:t>
            </w:r>
          </w:p>
        </w:tc>
        <w:tc>
          <w:tcPr>
            <w:tcW w:w="810" w:type="pct"/>
            <w:tcBorders>
              <w:top w:val="single" w:sz="4" w:space="0" w:color="auto"/>
              <w:bottom w:val="nil"/>
            </w:tcBorders>
            <w:vAlign w:val="center"/>
          </w:tcPr>
          <w:p w14:paraId="4C82BD30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53 (2.23%)</w:t>
            </w:r>
          </w:p>
        </w:tc>
        <w:tc>
          <w:tcPr>
            <w:tcW w:w="811" w:type="pct"/>
            <w:tcBorders>
              <w:top w:val="single" w:sz="4" w:space="0" w:color="auto"/>
              <w:bottom w:val="nil"/>
            </w:tcBorders>
            <w:vAlign w:val="center"/>
          </w:tcPr>
          <w:p w14:paraId="4EA0C5BC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86 (3.62%)</w:t>
            </w:r>
          </w:p>
        </w:tc>
        <w:tc>
          <w:tcPr>
            <w:tcW w:w="824" w:type="pct"/>
            <w:tcBorders>
              <w:top w:val="single" w:sz="4" w:space="0" w:color="auto"/>
              <w:bottom w:val="nil"/>
            </w:tcBorders>
            <w:vAlign w:val="center"/>
          </w:tcPr>
          <w:p w14:paraId="08CE9B56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93 (3.92%)</w:t>
            </w:r>
          </w:p>
        </w:tc>
        <w:tc>
          <w:tcPr>
            <w:tcW w:w="812" w:type="pct"/>
            <w:tcBorders>
              <w:top w:val="single" w:sz="4" w:space="0" w:color="auto"/>
              <w:bottom w:val="nil"/>
            </w:tcBorders>
            <w:vAlign w:val="center"/>
          </w:tcPr>
          <w:p w14:paraId="7929E424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104 (4.38%)</w:t>
            </w:r>
          </w:p>
        </w:tc>
        <w:tc>
          <w:tcPr>
            <w:tcW w:w="485" w:type="pct"/>
            <w:tcBorders>
              <w:top w:val="single" w:sz="4" w:space="0" w:color="auto"/>
              <w:bottom w:val="nil"/>
            </w:tcBorders>
            <w:vAlign w:val="center"/>
          </w:tcPr>
          <w:p w14:paraId="5722383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32E8A676" w14:textId="77777777" w:rsidTr="00DB1EE6">
        <w:trPr>
          <w:jc w:val="center"/>
        </w:trPr>
        <w:tc>
          <w:tcPr>
            <w:tcW w:w="1254" w:type="pct"/>
            <w:tcBorders>
              <w:top w:val="nil"/>
            </w:tcBorders>
            <w:vAlign w:val="center"/>
          </w:tcPr>
          <w:p w14:paraId="20DEC3CF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</w:rPr>
              <w:t>Lipid-lowering drugs</w:t>
            </w:r>
          </w:p>
        </w:tc>
        <w:tc>
          <w:tcPr>
            <w:tcW w:w="810" w:type="pct"/>
            <w:tcBorders>
              <w:top w:val="nil"/>
            </w:tcBorders>
            <w:vAlign w:val="center"/>
          </w:tcPr>
          <w:p w14:paraId="1D0AA110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344 (14.50%)</w:t>
            </w:r>
          </w:p>
        </w:tc>
        <w:tc>
          <w:tcPr>
            <w:tcW w:w="811" w:type="pct"/>
            <w:tcBorders>
              <w:top w:val="nil"/>
            </w:tcBorders>
            <w:vAlign w:val="center"/>
          </w:tcPr>
          <w:p w14:paraId="3BD19384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442 (18.63%)</w:t>
            </w:r>
          </w:p>
        </w:tc>
        <w:tc>
          <w:tcPr>
            <w:tcW w:w="824" w:type="pct"/>
            <w:tcBorders>
              <w:top w:val="nil"/>
            </w:tcBorders>
            <w:vAlign w:val="center"/>
          </w:tcPr>
          <w:p w14:paraId="72150B56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464 (19.55%)</w:t>
            </w:r>
          </w:p>
        </w:tc>
        <w:tc>
          <w:tcPr>
            <w:tcW w:w="812" w:type="pct"/>
            <w:tcBorders>
              <w:top w:val="nil"/>
            </w:tcBorders>
            <w:vAlign w:val="center"/>
          </w:tcPr>
          <w:p w14:paraId="2C60E106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436 (18.37%)</w:t>
            </w:r>
          </w:p>
        </w:tc>
        <w:tc>
          <w:tcPr>
            <w:tcW w:w="485" w:type="pct"/>
            <w:tcBorders>
              <w:top w:val="nil"/>
            </w:tcBorders>
            <w:vAlign w:val="center"/>
          </w:tcPr>
          <w:p w14:paraId="1BA5638C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28F6694F" w14:textId="77777777" w:rsidTr="00DB1EE6">
        <w:trPr>
          <w:jc w:val="center"/>
        </w:trPr>
        <w:tc>
          <w:tcPr>
            <w:tcW w:w="1254" w:type="pct"/>
            <w:vAlign w:val="center"/>
          </w:tcPr>
          <w:p w14:paraId="2246C3FA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</w:rPr>
              <w:t xml:space="preserve">BMI </w:t>
            </w:r>
            <w:r>
              <w:rPr>
                <w:rFonts w:ascii="Arial Unicode MS" w:cs="Arial Unicode MS"/>
                <w:sz w:val="20"/>
              </w:rPr>
              <w:t>(</w:t>
            </w:r>
            <w:r>
              <w:rPr>
                <w:rFonts w:ascii="Arial Unicode MS" w:cs="Arial Unicode MS" w:hint="eastAsia"/>
                <w:sz w:val="20"/>
              </w:rPr>
              <w:t>kg</w:t>
            </w:r>
            <w:r>
              <w:rPr>
                <w:rFonts w:ascii="Arial Unicode MS" w:cs="Arial Unicode MS"/>
                <w:sz w:val="20"/>
              </w:rPr>
              <w:t>/</w:t>
            </w:r>
            <w:r>
              <w:rPr>
                <w:rFonts w:ascii="Arial Unicode MS" w:cs="Arial Unicode MS" w:hint="eastAsia"/>
                <w:sz w:val="20"/>
              </w:rPr>
              <w:t>m</w:t>
            </w:r>
            <w:r>
              <w:rPr>
                <w:rFonts w:ascii="Arial Unicode MS" w:cs="Arial Unicode MS" w:hint="eastAsia"/>
                <w:sz w:val="20"/>
                <w:vertAlign w:val="superscript"/>
              </w:rPr>
              <w:t>2</w:t>
            </w:r>
            <w:r>
              <w:rPr>
                <w:rFonts w:ascii="Arial Unicode MS" w:cs="Arial Unicode MS"/>
                <w:sz w:val="20"/>
              </w:rPr>
              <w:t>)</w:t>
            </w:r>
          </w:p>
        </w:tc>
        <w:tc>
          <w:tcPr>
            <w:tcW w:w="810" w:type="pct"/>
            <w:vAlign w:val="center"/>
          </w:tcPr>
          <w:p w14:paraId="0FD90FC3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24.00 (21.50–27.10)</w:t>
            </w:r>
          </w:p>
        </w:tc>
        <w:tc>
          <w:tcPr>
            <w:tcW w:w="811" w:type="pct"/>
            <w:vAlign w:val="center"/>
          </w:tcPr>
          <w:p w14:paraId="153E5953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27.40 (24.60–30.90)</w:t>
            </w:r>
          </w:p>
        </w:tc>
        <w:tc>
          <w:tcPr>
            <w:tcW w:w="824" w:type="pct"/>
            <w:vAlign w:val="center"/>
          </w:tcPr>
          <w:p w14:paraId="13F58272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30.20 (26.70–34.50)</w:t>
            </w:r>
          </w:p>
        </w:tc>
        <w:tc>
          <w:tcPr>
            <w:tcW w:w="812" w:type="pct"/>
            <w:vAlign w:val="center"/>
          </w:tcPr>
          <w:p w14:paraId="4C9A193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33.70 (28.90–39.30)</w:t>
            </w:r>
          </w:p>
        </w:tc>
        <w:tc>
          <w:tcPr>
            <w:tcW w:w="485" w:type="pct"/>
            <w:vAlign w:val="center"/>
          </w:tcPr>
          <w:p w14:paraId="4EC64FF6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53B123C0" w14:textId="77777777" w:rsidTr="00DB1EE6">
        <w:trPr>
          <w:jc w:val="center"/>
        </w:trPr>
        <w:tc>
          <w:tcPr>
            <w:tcW w:w="1254" w:type="pct"/>
            <w:vAlign w:val="center"/>
          </w:tcPr>
          <w:p w14:paraId="1032C67B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</w:rPr>
              <w:t>Hs-CRP</w:t>
            </w:r>
            <w:r>
              <w:rPr>
                <w:rFonts w:ascii="Arial Unicode MS" w:cs="Arial Unicode MS"/>
                <w:sz w:val="20"/>
              </w:rPr>
              <w:t xml:space="preserve"> (m</w:t>
            </w:r>
            <w:r>
              <w:rPr>
                <w:rFonts w:ascii="Arial Unicode MS" w:cs="Arial Unicode MS" w:hint="eastAsia"/>
                <w:sz w:val="20"/>
              </w:rPr>
              <w:t>g</w:t>
            </w:r>
            <w:r>
              <w:rPr>
                <w:rFonts w:ascii="Arial Unicode MS" w:cs="Arial Unicode MS"/>
                <w:sz w:val="20"/>
              </w:rPr>
              <w:t>/L)</w:t>
            </w:r>
          </w:p>
        </w:tc>
        <w:tc>
          <w:tcPr>
            <w:tcW w:w="810" w:type="pct"/>
            <w:vAlign w:val="center"/>
          </w:tcPr>
          <w:p w14:paraId="06F51ACE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0.46 (0.30–0.60)</w:t>
            </w:r>
          </w:p>
        </w:tc>
        <w:tc>
          <w:tcPr>
            <w:tcW w:w="811" w:type="pct"/>
            <w:vAlign w:val="center"/>
          </w:tcPr>
          <w:p w14:paraId="0411F43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1.21 (0.97–1.60)</w:t>
            </w:r>
          </w:p>
        </w:tc>
        <w:tc>
          <w:tcPr>
            <w:tcW w:w="824" w:type="pct"/>
            <w:vAlign w:val="center"/>
          </w:tcPr>
          <w:p w14:paraId="3FD23E8A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2.88 (2.22–3.70)</w:t>
            </w:r>
          </w:p>
        </w:tc>
        <w:tc>
          <w:tcPr>
            <w:tcW w:w="812" w:type="pct"/>
            <w:vAlign w:val="center"/>
          </w:tcPr>
          <w:p w14:paraId="7FB61131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7.88 (5.61–12.39)</w:t>
            </w:r>
          </w:p>
        </w:tc>
        <w:tc>
          <w:tcPr>
            <w:tcW w:w="485" w:type="pct"/>
            <w:vAlign w:val="center"/>
          </w:tcPr>
          <w:p w14:paraId="06BE7592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78BD049F" w14:textId="77777777" w:rsidTr="00DB1EE6">
        <w:trPr>
          <w:jc w:val="center"/>
        </w:trPr>
        <w:tc>
          <w:tcPr>
            <w:tcW w:w="1254" w:type="pct"/>
            <w:vAlign w:val="center"/>
          </w:tcPr>
          <w:p w14:paraId="4DB5620D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lastRenderedPageBreak/>
              <w:t>HDL-C (</w:t>
            </w:r>
            <w:r>
              <w:rPr>
                <w:rFonts w:ascii="Arial Unicode MS" w:cs="Arial Unicode MS" w:hint="eastAsia"/>
                <w:sz w:val="20"/>
              </w:rPr>
              <w:t>mmol</w:t>
            </w:r>
            <w:r>
              <w:rPr>
                <w:rFonts w:ascii="Arial Unicode MS" w:cs="Arial Unicode MS"/>
                <w:sz w:val="20"/>
              </w:rPr>
              <w:t>/L)</w:t>
            </w:r>
          </w:p>
        </w:tc>
        <w:tc>
          <w:tcPr>
            <w:tcW w:w="810" w:type="pct"/>
            <w:vAlign w:val="center"/>
          </w:tcPr>
          <w:p w14:paraId="427F7CBE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1.58 (1.32–1.89)</w:t>
            </w:r>
          </w:p>
        </w:tc>
        <w:tc>
          <w:tcPr>
            <w:tcW w:w="811" w:type="pct"/>
            <w:vAlign w:val="center"/>
          </w:tcPr>
          <w:p w14:paraId="2FE14DB5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1.34 (1.14–1.60)</w:t>
            </w:r>
          </w:p>
        </w:tc>
        <w:tc>
          <w:tcPr>
            <w:tcW w:w="824" w:type="pct"/>
            <w:vAlign w:val="center"/>
          </w:tcPr>
          <w:p w14:paraId="716ED392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1.24 (1.06–1.50)</w:t>
            </w:r>
          </w:p>
        </w:tc>
        <w:tc>
          <w:tcPr>
            <w:tcW w:w="812" w:type="pct"/>
            <w:vAlign w:val="center"/>
          </w:tcPr>
          <w:p w14:paraId="43B7786E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1.14 (0.96–1.40)</w:t>
            </w:r>
          </w:p>
        </w:tc>
        <w:tc>
          <w:tcPr>
            <w:tcW w:w="485" w:type="pct"/>
            <w:vMerge w:val="restart"/>
            <w:vAlign w:val="center"/>
          </w:tcPr>
          <w:p w14:paraId="7093FF7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3F30E5DA" w14:textId="77777777" w:rsidTr="00DB1EE6">
        <w:trPr>
          <w:jc w:val="center"/>
        </w:trPr>
        <w:tc>
          <w:tcPr>
            <w:tcW w:w="1254" w:type="pct"/>
            <w:vAlign w:val="center"/>
          </w:tcPr>
          <w:p w14:paraId="06673A2E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HDL-C (</w:t>
            </w:r>
            <w:r>
              <w:rPr>
                <w:rFonts w:ascii="Arial Unicode MS" w:cs="Arial Unicode MS" w:hint="eastAsia"/>
                <w:sz w:val="20"/>
              </w:rPr>
              <w:t>mg</w:t>
            </w:r>
            <w:r>
              <w:rPr>
                <w:rFonts w:ascii="Arial Unicode MS" w:cs="Arial Unicode MS"/>
                <w:sz w:val="20"/>
              </w:rPr>
              <w:t>/L)</w:t>
            </w:r>
          </w:p>
        </w:tc>
        <w:tc>
          <w:tcPr>
            <w:tcW w:w="810" w:type="pct"/>
            <w:vAlign w:val="center"/>
          </w:tcPr>
          <w:p w14:paraId="412FB846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6.11 (5.10–7.31)</w:t>
            </w:r>
          </w:p>
        </w:tc>
        <w:tc>
          <w:tcPr>
            <w:tcW w:w="811" w:type="pct"/>
            <w:vAlign w:val="center"/>
          </w:tcPr>
          <w:p w14:paraId="5EBD2CCB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5.18 (4.41–6.19)</w:t>
            </w:r>
          </w:p>
        </w:tc>
        <w:tc>
          <w:tcPr>
            <w:tcW w:w="824" w:type="pct"/>
            <w:vAlign w:val="center"/>
          </w:tcPr>
          <w:p w14:paraId="1A6C6002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4.80 (4.10–5.80)</w:t>
            </w:r>
          </w:p>
        </w:tc>
        <w:tc>
          <w:tcPr>
            <w:tcW w:w="812" w:type="pct"/>
            <w:vAlign w:val="center"/>
          </w:tcPr>
          <w:p w14:paraId="4AABF4A8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4.41 (3.71–5.41)</w:t>
            </w:r>
          </w:p>
        </w:tc>
        <w:tc>
          <w:tcPr>
            <w:tcW w:w="485" w:type="pct"/>
            <w:vMerge/>
            <w:vAlign w:val="center"/>
          </w:tcPr>
          <w:p w14:paraId="41D5B942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</w:p>
        </w:tc>
      </w:tr>
      <w:tr w:rsidR="00006F81" w14:paraId="4BCABBDA" w14:textId="77777777" w:rsidTr="00DB1EE6">
        <w:trPr>
          <w:jc w:val="center"/>
        </w:trPr>
        <w:tc>
          <w:tcPr>
            <w:tcW w:w="1254" w:type="pct"/>
            <w:vAlign w:val="center"/>
          </w:tcPr>
          <w:p w14:paraId="51EEC3F8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All-cause mortality</w:t>
            </w:r>
          </w:p>
        </w:tc>
        <w:tc>
          <w:tcPr>
            <w:tcW w:w="810" w:type="pct"/>
            <w:vAlign w:val="center"/>
          </w:tcPr>
          <w:p w14:paraId="4FE0F0E3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31 (1.31%)</w:t>
            </w:r>
          </w:p>
        </w:tc>
        <w:tc>
          <w:tcPr>
            <w:tcW w:w="811" w:type="pct"/>
            <w:vAlign w:val="center"/>
          </w:tcPr>
          <w:p w14:paraId="03860E9C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57 (2.40%)</w:t>
            </w:r>
          </w:p>
        </w:tc>
        <w:tc>
          <w:tcPr>
            <w:tcW w:w="824" w:type="pct"/>
            <w:vAlign w:val="center"/>
          </w:tcPr>
          <w:p w14:paraId="48EB177E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59 (2.49%)</w:t>
            </w:r>
          </w:p>
        </w:tc>
        <w:tc>
          <w:tcPr>
            <w:tcW w:w="812" w:type="pct"/>
            <w:vAlign w:val="center"/>
          </w:tcPr>
          <w:p w14:paraId="7DF105AD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92 (3.88%)</w:t>
            </w:r>
          </w:p>
        </w:tc>
        <w:tc>
          <w:tcPr>
            <w:tcW w:w="485" w:type="pct"/>
            <w:vAlign w:val="center"/>
          </w:tcPr>
          <w:p w14:paraId="2273B3F0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/>
                <w:sz w:val="20"/>
              </w:rPr>
              <w:t>&lt;</w:t>
            </w:r>
            <w:r>
              <w:rPr>
                <w:rFonts w:ascii="Arial Unicode MS" w:cs="Arial Unicode MS"/>
                <w:sz w:val="20"/>
              </w:rPr>
              <w:t> </w:t>
            </w:r>
            <w:r>
              <w:rPr>
                <w:rFonts w:ascii="Arial Unicode MS" w:cs="Arial Unicode MS"/>
                <w:sz w:val="20"/>
              </w:rPr>
              <w:t>0.001</w:t>
            </w:r>
          </w:p>
        </w:tc>
      </w:tr>
      <w:tr w:rsidR="00006F81" w14:paraId="0DB813E6" w14:textId="77777777" w:rsidTr="00DB1EE6">
        <w:trPr>
          <w:jc w:val="center"/>
        </w:trPr>
        <w:tc>
          <w:tcPr>
            <w:tcW w:w="1254" w:type="pct"/>
            <w:vAlign w:val="center"/>
          </w:tcPr>
          <w:p w14:paraId="3B9586D8" w14:textId="77777777" w:rsidR="00006F81" w:rsidRDefault="00006F81" w:rsidP="00DB1EE6">
            <w:pPr>
              <w:suppressLineNumbers/>
              <w:spacing w:line="480" w:lineRule="auto"/>
              <w:rPr>
                <w:rFonts w:ascii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cs="Arial Unicode MS"/>
                <w:sz w:val="20"/>
                <w:szCs w:val="20"/>
              </w:rPr>
              <w:t>Cardiovascular mortality</w:t>
            </w:r>
          </w:p>
        </w:tc>
        <w:tc>
          <w:tcPr>
            <w:tcW w:w="810" w:type="pct"/>
            <w:vAlign w:val="center"/>
          </w:tcPr>
          <w:p w14:paraId="7262CE7A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4 (0.17%)</w:t>
            </w:r>
          </w:p>
        </w:tc>
        <w:tc>
          <w:tcPr>
            <w:tcW w:w="811" w:type="pct"/>
            <w:vAlign w:val="center"/>
          </w:tcPr>
          <w:p w14:paraId="53981F7F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18 (0.76%)</w:t>
            </w:r>
          </w:p>
        </w:tc>
        <w:tc>
          <w:tcPr>
            <w:tcW w:w="824" w:type="pct"/>
            <w:vAlign w:val="center"/>
          </w:tcPr>
          <w:p w14:paraId="0DFD2AAC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15 (0.63%)</w:t>
            </w:r>
          </w:p>
        </w:tc>
        <w:tc>
          <w:tcPr>
            <w:tcW w:w="812" w:type="pct"/>
            <w:vAlign w:val="center"/>
          </w:tcPr>
          <w:p w14:paraId="445AD2AA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22 (0.93%)</w:t>
            </w:r>
          </w:p>
        </w:tc>
        <w:tc>
          <w:tcPr>
            <w:tcW w:w="485" w:type="pct"/>
            <w:vAlign w:val="center"/>
          </w:tcPr>
          <w:p w14:paraId="6B5096DA" w14:textId="77777777" w:rsidR="00006F81" w:rsidRDefault="00006F81" w:rsidP="00DB1EE6">
            <w:pPr>
              <w:suppressLineNumbers/>
              <w:spacing w:line="480" w:lineRule="auto"/>
              <w:jc w:val="center"/>
              <w:rPr>
                <w:rFonts w:ascii="Arial Unicode MS" w:hAnsi="Arial Unicode MS" w:cs="Arial Unicode MS"/>
                <w:sz w:val="20"/>
              </w:rPr>
            </w:pPr>
            <w:r>
              <w:rPr>
                <w:rFonts w:ascii="Arial Unicode MS" w:cs="Arial Unicode MS" w:hint="eastAsia"/>
                <w:sz w:val="20"/>
                <w:lang w:eastAsia="zh-CN"/>
              </w:rPr>
              <w:t>0.007</w:t>
            </w:r>
          </w:p>
        </w:tc>
      </w:tr>
    </w:tbl>
    <w:p w14:paraId="69E004D7" w14:textId="77777777" w:rsidR="00006F81" w:rsidRDefault="00006F81" w:rsidP="00006F81">
      <w:pPr>
        <w:suppressLineNumbers/>
        <w:spacing w:line="480" w:lineRule="auto"/>
        <w:rPr>
          <w:rFonts w:ascii="Arial Unicode MS" w:hAnsi="Arial Unicode MS" w:cs="Arial Unicode MS"/>
          <w:sz w:val="20"/>
          <w:szCs w:val="20"/>
        </w:rPr>
      </w:pPr>
      <w:r>
        <w:rPr>
          <w:rFonts w:ascii="Arial Unicode MS" w:cs="Arial Unicode MS" w:hint="eastAsia"/>
          <w:sz w:val="20"/>
          <w:szCs w:val="20"/>
        </w:rPr>
        <w:t xml:space="preserve">Data </w:t>
      </w:r>
      <w:proofErr w:type="gramStart"/>
      <w:r>
        <w:rPr>
          <w:rFonts w:ascii="Arial Unicode MS" w:cs="Arial Unicode MS" w:hint="eastAsia"/>
          <w:sz w:val="20"/>
          <w:szCs w:val="20"/>
        </w:rPr>
        <w:t>were</w:t>
      </w:r>
      <w:proofErr w:type="gramEnd"/>
      <w:r>
        <w:rPr>
          <w:rFonts w:ascii="Arial Unicode MS" w:cs="Arial Unicode MS" w:hint="eastAsia"/>
          <w:sz w:val="20"/>
          <w:szCs w:val="20"/>
        </w:rPr>
        <w:t xml:space="preserve"> presented as median (Q1-Q3) or N (%)</w:t>
      </w:r>
      <w:r>
        <w:rPr>
          <w:rFonts w:ascii="Arial Unicode MS" w:cs="Arial Unicode MS"/>
          <w:sz w:val="20"/>
          <w:szCs w:val="20"/>
        </w:rPr>
        <w:t>. CAD, coronary artery disease</w:t>
      </w:r>
      <w:r>
        <w:rPr>
          <w:rFonts w:ascii="Arial Unicode MS" w:cs="Arial Unicode MS" w:hint="eastAsia"/>
          <w:sz w:val="20"/>
          <w:szCs w:val="20"/>
        </w:rPr>
        <w:t xml:space="preserve">; BMI, body mass index; </w:t>
      </w:r>
      <w:proofErr w:type="spellStart"/>
      <w:r>
        <w:rPr>
          <w:rFonts w:ascii="Arial Unicode MS" w:cs="Arial Unicode MS" w:hint="eastAsia"/>
          <w:sz w:val="20"/>
          <w:szCs w:val="20"/>
        </w:rPr>
        <w:t>hs</w:t>
      </w:r>
      <w:proofErr w:type="spellEnd"/>
      <w:r>
        <w:rPr>
          <w:rFonts w:ascii="Arial Unicode MS" w:cs="Arial Unicode MS" w:hint="eastAsia"/>
          <w:sz w:val="20"/>
          <w:szCs w:val="20"/>
        </w:rPr>
        <w:t>-CRP, high-sensitivity C-reactive protein; HDL-C, high-density lipoprotein cholesterol; Divide HDL-C (mmol/L) by 0.2586 to convert to mg/L.</w:t>
      </w:r>
    </w:p>
    <w:p w14:paraId="141A2DBE" w14:textId="77777777" w:rsidR="005E56B7" w:rsidRDefault="005E56B7"/>
    <w:sectPr w:rsidR="005E56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F81"/>
    <w:rsid w:val="00006F81"/>
    <w:rsid w:val="000149B3"/>
    <w:rsid w:val="00020033"/>
    <w:rsid w:val="000920A8"/>
    <w:rsid w:val="001605A6"/>
    <w:rsid w:val="003D1B9C"/>
    <w:rsid w:val="0053498C"/>
    <w:rsid w:val="005B5975"/>
    <w:rsid w:val="005E56B7"/>
    <w:rsid w:val="00721126"/>
    <w:rsid w:val="007211FD"/>
    <w:rsid w:val="007657F5"/>
    <w:rsid w:val="007C4F48"/>
    <w:rsid w:val="008B245E"/>
    <w:rsid w:val="00B9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83477"/>
  <w15:chartTrackingRefBased/>
  <w15:docId w15:val="{F465D5A4-BFF0-40EA-A0B7-8A4C9364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F81"/>
    <w:pPr>
      <w:spacing w:after="0" w:line="240" w:lineRule="auto"/>
    </w:pPr>
    <w:rPr>
      <w:rFonts w:ascii="Times New Roman" w:eastAsia="Arial Unicode MS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6F8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F8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F8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F8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F8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F8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F8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F8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F8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F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F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F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F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F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F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F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F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F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F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6F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F8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6F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F8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6F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F8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6F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F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F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F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Wiley2 (Integra)</dc:creator>
  <cp:keywords/>
  <dc:description/>
  <cp:lastModifiedBy>Wiley2 (Integra)</cp:lastModifiedBy>
  <cp:revision>1</cp:revision>
  <dcterms:created xsi:type="dcterms:W3CDTF">2024-12-22T02:33:00Z</dcterms:created>
  <dcterms:modified xsi:type="dcterms:W3CDTF">2024-12-22T02:33:00Z</dcterms:modified>
</cp:coreProperties>
</file>