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950EE4">
      <w:pPr>
        <w:rPr>
          <w:rFonts w:hint="eastAsia"/>
          <w:b/>
          <w:bCs/>
        </w:rPr>
      </w:pPr>
      <w:r>
        <w:rPr>
          <w:b/>
          <w:bCs/>
        </w:rPr>
        <w:t xml:space="preserve">Table </w:t>
      </w:r>
      <w:r>
        <w:rPr>
          <w:rFonts w:hint="eastAsia"/>
          <w:b/>
          <w:bCs/>
          <w:lang w:val="en-US" w:eastAsia="zh-CN"/>
        </w:rPr>
        <w:t>S2</w:t>
      </w:r>
      <w:r>
        <w:rPr>
          <w:b/>
          <w:bCs/>
        </w:rPr>
        <w:t>: Characteristics of the Matched Cohort</w:t>
      </w:r>
    </w:p>
    <w:tbl>
      <w:tblPr>
        <w:tblStyle w:val="4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08"/>
        <w:gridCol w:w="2063"/>
        <w:gridCol w:w="1942"/>
        <w:gridCol w:w="910"/>
        <w:gridCol w:w="1063"/>
      </w:tblGrid>
      <w:tr w14:paraId="1345BF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single" w:color="D0D7DE" w:sz="6" w:space="0"/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D691A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b/>
                <w:bCs/>
              </w:rPr>
            </w:pPr>
            <w:r>
              <w:rPr>
                <w:rFonts w:hint="default"/>
                <w:b/>
                <w:bCs/>
              </w:rPr>
              <w:t>Characteristic</w:t>
            </w:r>
          </w:p>
        </w:tc>
        <w:tc>
          <w:tcPr>
            <w:tcW w:w="0" w:type="auto"/>
            <w:tcBorders>
              <w:top w:val="single" w:color="D0D7DE" w:sz="6" w:space="0"/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436A3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b/>
                <w:bCs/>
              </w:rPr>
            </w:pPr>
            <w:r>
              <w:rPr>
                <w:rFonts w:hint="default"/>
                <w:b/>
                <w:bCs/>
              </w:rPr>
              <w:t>Normal Sodium (n=2707)</w:t>
            </w:r>
          </w:p>
        </w:tc>
        <w:tc>
          <w:tcPr>
            <w:tcW w:w="0" w:type="auto"/>
            <w:tcBorders>
              <w:top w:val="single" w:color="D0D7DE" w:sz="6" w:space="0"/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F2C8F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b/>
                <w:bCs/>
              </w:rPr>
            </w:pPr>
            <w:r>
              <w:rPr>
                <w:rFonts w:hint="default"/>
                <w:b/>
                <w:bCs/>
              </w:rPr>
              <w:t>Low Sodium (n=2707)</w:t>
            </w:r>
          </w:p>
        </w:tc>
        <w:tc>
          <w:tcPr>
            <w:tcW w:w="0" w:type="auto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532C9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Theme="minor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SMD</w:t>
            </w:r>
          </w:p>
        </w:tc>
        <w:tc>
          <w:tcPr>
            <w:tcW w:w="0" w:type="auto"/>
            <w:tcBorders>
              <w:top w:val="single" w:color="D0D7DE" w:sz="6" w:space="0"/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CFF90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b/>
                <w:bCs/>
              </w:rPr>
            </w:pPr>
            <w:r>
              <w:rPr>
                <w:rFonts w:hint="default"/>
                <w:b/>
                <w:bCs/>
              </w:rPr>
              <w:t>P-value</w:t>
            </w:r>
          </w:p>
        </w:tc>
      </w:tr>
      <w:tr w14:paraId="183572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5C213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Age, years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1697C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76.99 ± 9.32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6D19D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78.17 ± 9.95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299CE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0.12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E8B11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&lt;0.01</w:t>
            </w:r>
          </w:p>
        </w:tc>
      </w:tr>
      <w:tr w14:paraId="09FD32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56750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Female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79562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1145 (42.30%)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90042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1293 (47.77%)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819CC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0.11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C8874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&lt;0.01</w:t>
            </w:r>
          </w:p>
        </w:tc>
      </w:tr>
      <w:tr w14:paraId="78FA433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17702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Race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D9996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8228B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A9FDC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0.10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772C4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0.04</w:t>
            </w:r>
          </w:p>
        </w:tc>
      </w:tr>
      <w:tr w14:paraId="5E3D36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3F183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- White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35CFB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2259 (83.45%)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12DD5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2327 (85.96%)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9DB15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EE56F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</w:tr>
      <w:tr w14:paraId="02312B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D5266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- Black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D25E2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157 (5.80%)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15CE3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105 (3.88%)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3AC04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4CA15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</w:tr>
      <w:tr w14:paraId="20B0E69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35F79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- Hispanic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0D6BA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173 (6.39%)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8C6FC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150 (5.54%)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C6982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1D9AA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</w:tr>
      <w:tr w14:paraId="249D67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D8A02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- Other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28CAA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118 (4.36%)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98811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125 (4.62%)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B26F0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F4538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</w:tr>
      <w:tr w14:paraId="708F4E6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58AB5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Primary Payer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5577A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803EA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297FD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0.12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4A59D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&lt;0.01</w:t>
            </w:r>
          </w:p>
        </w:tc>
      </w:tr>
      <w:tr w14:paraId="3A99DA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4C0E7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- Medicare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77EA2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2218 (81.94%)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01C74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2333 (86.18%)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E3CCD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C64B2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</w:tr>
      <w:tr w14:paraId="67CF304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B559A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- Medicaid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E0FEF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70 (2.59%)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46001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69 (2.55%)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9F10D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5C1B6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</w:tr>
      <w:tr w14:paraId="69AE84E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27CC0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- Private Insurance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6F11C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326 (12.04%)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AE32B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234 (8.64%)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D0F5B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B7D7D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</w:tr>
      <w:tr w14:paraId="7BC5D2B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72E95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- Self-pay/Other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133A0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93 (3.44%)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4AD69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71 (2.62%)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F68AF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56C06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</w:tr>
      <w:tr w14:paraId="6847C1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F3142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Median Household Income Quartile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FD591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F4436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81873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0.19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772C0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&lt;0.01</w:t>
            </w:r>
          </w:p>
        </w:tc>
      </w:tr>
      <w:tr w14:paraId="70167D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3E5BD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- 1st (lowest)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F9A9C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704 (26.01%)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962F5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568 (20.98%)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59C6C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5EF37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</w:tr>
      <w:tr w14:paraId="5BE4E44B"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9E072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- 2nd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2A790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766 (28.30%)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1613F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673 (24.86%)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3D81F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13D0D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</w:tr>
      <w:tr w14:paraId="61882F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716FE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- 3rd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81CBB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670 (24.75%)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16305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714 (26.38%)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50987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FD0F8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</w:tr>
      <w:tr w14:paraId="1EAC795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0A29B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- 4th (highest)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94168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567 (20.95%)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D5908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752 (27.78%)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5339D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50A3B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</w:tr>
      <w:tr w14:paraId="35E754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9B838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Hospital Teaching Status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B53D9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AD2B2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D219C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0.22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C55E2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default"/>
              </w:rPr>
              <w:t>&lt;0.</w:t>
            </w:r>
            <w:r>
              <w:rPr>
                <w:rFonts w:hint="eastAsia"/>
                <w:lang w:val="en-US" w:eastAsia="zh-CN"/>
              </w:rPr>
              <w:t>01</w:t>
            </w:r>
          </w:p>
        </w:tc>
      </w:tr>
      <w:tr w14:paraId="3F6339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68F90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- Non-teaching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CB0C1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69 (2.55%)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3EB35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33 (1.22%)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89640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238D5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</w:tr>
      <w:tr w14:paraId="5FBAFC08"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CAE5A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- Low teaching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7E1FE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380 (14.04%)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3DCF4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218 (8.05%)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C37C5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19BF5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</w:tr>
      <w:tr w14:paraId="14617E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36397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- High teaching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EA58C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2258 (83.41%)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FF9FA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2456 (90.73%)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3968D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BC385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</w:tr>
      <w:tr w14:paraId="103862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B4C49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Hospital Bed Size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8A26D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A3E2E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F790F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0.24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6E6D2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&lt;0.01</w:t>
            </w:r>
          </w:p>
        </w:tc>
      </w:tr>
      <w:tr w14:paraId="79DD29E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E3A57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- Small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F2E6B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327 (12.08%)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2EA82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202 (7.46%)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1A93E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F554C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</w:tr>
      <w:tr w14:paraId="128514A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49C72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- Medium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0E584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649 (23.97%)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016BE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483 (17.84%)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A7E25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899DB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</w:tr>
      <w:tr w14:paraId="15CE9AD9"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675FA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- Large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716C9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1731 (63.95%)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03B24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2022 (74.70%)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6740B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59613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</w:tr>
      <w:tr w14:paraId="163A701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21722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  <w:b/>
                <w:bCs/>
              </w:rPr>
              <w:t>Comorbidities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C8E38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70A3F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1005F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val="en-US" w:eastAsia="zh-CN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67EEE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</w:tr>
      <w:tr w14:paraId="7382B2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AE9C9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Smoking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5E76D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1309 (48.36%)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A4EE1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908 (33.54%)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939B4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0.30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1F1C7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&lt;0.01</w:t>
            </w:r>
          </w:p>
        </w:tc>
      </w:tr>
      <w:tr w14:paraId="4F7835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7F8D1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Dyslipidemia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F7A3A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1930 (71.30%)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F1943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1748 (64.57%)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16EDE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0.14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8E836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&lt;0.01</w:t>
            </w:r>
          </w:p>
        </w:tc>
      </w:tr>
      <w:tr w14:paraId="417EA1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1BB00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Prior Stroke/TIA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E046D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709 (26.19%)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AD9D1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234 (8.64%)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20264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0.48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23049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&lt;0.01</w:t>
            </w:r>
          </w:p>
        </w:tc>
      </w:tr>
      <w:tr w14:paraId="426ED2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1FB65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Prior Myocardial Infarction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47BDF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446 (16.48%)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F2DAC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299 (11.05%)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F13E2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0.16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848F8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&lt;0.01</w:t>
            </w:r>
          </w:p>
        </w:tc>
      </w:tr>
      <w:tr w14:paraId="7057BA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081CF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Diabetes Mellitus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F0BFC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961 (35.50%)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9F2D3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1221 (45.11%)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78CF2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0.07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BD332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&lt;0.01</w:t>
            </w:r>
          </w:p>
        </w:tc>
      </w:tr>
      <w:tr w14:paraId="1B0DC0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094C9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Hypertension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6F817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2428 (89.69%)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6AD3F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2447 (90.40%)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52998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0.02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00857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lang w:eastAsia="zh-CN"/>
              </w:rPr>
            </w:pPr>
            <w:r>
              <w:rPr>
                <w:rFonts w:hint="default"/>
              </w:rPr>
              <w:t>0.3</w:t>
            </w:r>
            <w:r>
              <w:rPr>
                <w:rFonts w:hint="eastAsia"/>
                <w:lang w:val="en-US" w:eastAsia="zh-CN"/>
              </w:rPr>
              <w:t>9</w:t>
            </w:r>
          </w:p>
        </w:tc>
      </w:tr>
      <w:tr w14:paraId="70A4F95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9A247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SIADH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1929A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67 (2.48%)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04720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2 (0.07%)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368BE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0.22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3D6C0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&lt;0.01</w:t>
            </w:r>
          </w:p>
        </w:tc>
      </w:tr>
      <w:tr w14:paraId="269419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256B9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4"/>
                <w:szCs w:val="24"/>
                <w:lang w:val="en-US" w:eastAsia="zh-CN" w:bidi="ar"/>
              </w:rPr>
              <w:t>Elixhauser Comorbidity Index</w:t>
            </w:r>
            <w:r>
              <w:rPr>
                <w:rFonts w:hint="default" w:ascii="Arial" w:hAnsi="Arial" w:eastAsia="宋体" w:cs="Arial"/>
                <w:kern w:val="0"/>
              </w:rPr>
              <w:t>, % (95% CI)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4247B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6B5A8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4F387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0.24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2D37D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&lt;0.01</w:t>
            </w:r>
          </w:p>
        </w:tc>
      </w:tr>
      <w:tr w14:paraId="3D9B0AA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19DEF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kern w:val="0"/>
              </w:rPr>
              <w:t>0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2F794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eastAsia"/>
              </w:rPr>
              <w:t>0(0.00%)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F1057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eastAsia"/>
              </w:rPr>
              <w:t>0(0.00%)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E0864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7AD3F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</w:tr>
      <w:tr w14:paraId="006774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0ED8F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kern w:val="0"/>
              </w:rPr>
              <w:t>1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4945E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eastAsia"/>
              </w:rPr>
              <w:t>1(0.63%)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AE8EB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eastAsia"/>
              </w:rPr>
              <w:t>0(0.00%)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5E3FB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1CFF6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</w:tr>
      <w:tr w14:paraId="3BC5C3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55138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kern w:val="0"/>
              </w:rPr>
              <w:t>2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7F9FD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eastAsia"/>
              </w:rPr>
              <w:t>83(3.07%)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C6CDD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eastAsia"/>
              </w:rPr>
              <w:t>9(0.33%)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EC641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lang w:val="en-US" w:eastAsia="zh-CN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8EA3B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</w:tr>
      <w:tr w14:paraId="218B61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03E53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kern w:val="0"/>
              </w:rPr>
              <w:t>≥3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222C5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eastAsia"/>
              </w:rPr>
              <w:t>2607(96.31%)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AF355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eastAsia"/>
              </w:rPr>
              <w:t>2698(99.67%)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61208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D3E2E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</w:tr>
      <w:tr w14:paraId="7567D4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3FF94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  <w:b/>
                <w:bCs/>
              </w:rPr>
              <w:t>Clinical Outcomes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EFBFD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42B66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99E20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8324D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</w:p>
        </w:tc>
      </w:tr>
      <w:tr w14:paraId="2EE0E4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B5F9A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In-hospital Mortality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DB33E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73 (2.70%)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0681F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102 (3.77%)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9056D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0.06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44B7C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lang w:eastAsia="zh-CN"/>
              </w:rPr>
            </w:pPr>
            <w:r>
              <w:rPr>
                <w:rFonts w:hint="default"/>
              </w:rPr>
              <w:t>0.0</w:t>
            </w:r>
            <w:r>
              <w:rPr>
                <w:rFonts w:hint="eastAsia"/>
                <w:lang w:val="en-US" w:eastAsia="zh-CN"/>
              </w:rPr>
              <w:t>3</w:t>
            </w:r>
          </w:p>
        </w:tc>
      </w:tr>
      <w:tr w14:paraId="199C272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4A4BD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Cardiogenic Shock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F0177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93 (3.44%)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6606C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235 (8.68%)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E8F23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0.22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37F66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&lt;0.01</w:t>
            </w:r>
          </w:p>
        </w:tc>
      </w:tr>
      <w:tr w14:paraId="3B1664C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696DE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Permanent Pacemaker Implantation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4E5C4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296 (10.93%)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DB73D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338 (12.49%)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16D57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0.05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0DC36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eastAsiaTheme="minorEastAsia"/>
                <w:lang w:eastAsia="zh-CN"/>
              </w:rPr>
            </w:pPr>
            <w:r>
              <w:rPr>
                <w:rFonts w:hint="default"/>
              </w:rPr>
              <w:t>0.0</w:t>
            </w:r>
            <w:r>
              <w:rPr>
                <w:rFonts w:hint="eastAsia"/>
                <w:lang w:val="en-US" w:eastAsia="zh-CN"/>
              </w:rPr>
              <w:t>8</w:t>
            </w:r>
          </w:p>
        </w:tc>
      </w:tr>
      <w:tr w14:paraId="688063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5246A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Atrial Fibrillation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1196C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1022 (37.75%)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75723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1174 (43.37%)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4D44D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0.11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DC7E3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&lt;0.01</w:t>
            </w:r>
          </w:p>
        </w:tc>
      </w:tr>
      <w:tr w14:paraId="20F4F8B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06B77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Cardiac Arrest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5CB6B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52 (1.92%)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7EED5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59 (2.18%)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D3D1A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0.02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5C6A6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0.50</w:t>
            </w:r>
          </w:p>
        </w:tc>
      </w:tr>
      <w:tr w14:paraId="2ECAD3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0F745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Acute Myocardial Infarction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93F71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102 (3.77%)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1FF47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230 (8.50%)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ACA39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0.20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E11DF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&lt;0.01</w:t>
            </w:r>
          </w:p>
        </w:tc>
      </w:tr>
      <w:tr w14:paraId="65FF354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6230F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Acute Kidney Injury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A0F14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399 (14.74%)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FA2B0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888 (32.80%)</w:t>
            </w:r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A3CBB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0.43</w:t>
            </w:r>
            <w:bookmarkStart w:id="0" w:name="_GoBack"/>
            <w:bookmarkEnd w:id="0"/>
          </w:p>
        </w:tc>
        <w:tc>
          <w:tcPr>
            <w:tcW w:w="0" w:type="auto"/>
            <w:tcBorders>
              <w:left w:val="single" w:color="D0D7DE" w:sz="6" w:space="0"/>
              <w:bottom w:val="single" w:color="D0D7DE" w:sz="6" w:space="0"/>
              <w:right w:val="single" w:color="D0D7DE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BDC85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</w:rPr>
            </w:pPr>
            <w:r>
              <w:rPr>
                <w:rFonts w:hint="default"/>
              </w:rPr>
              <w:t>&lt;0.01</w:t>
            </w:r>
          </w:p>
        </w:tc>
      </w:tr>
    </w:tbl>
    <w:p w14:paraId="0AAC8D36">
      <w:pPr>
        <w:jc w:val="left"/>
        <w:rPr>
          <w:rFonts w:hint="eastAsia"/>
        </w:rPr>
      </w:pPr>
      <w:r>
        <w:t>Data are presented as mean ± SD or n (%).</w:t>
      </w:r>
      <w:r>
        <w:br w:type="textWrapping"/>
      </w:r>
      <w:r>
        <w:t>Standardized difference is presented as value (95% CI).</w:t>
      </w:r>
      <w:r>
        <w:br w:type="textWrapping"/>
      </w:r>
      <w:r>
        <w:t>P-values are from chi-square tests for categorical variables and t-tests for continuous variables, unless otherwise specified.</w:t>
      </w:r>
      <w:r>
        <w:br w:type="textWrapping"/>
      </w:r>
      <w:r>
        <w:t>TIA: Transient Ischemic Attack; SIADH: Syndrome of Inappropriate Antidiuretic Hormone Secretion.</w:t>
      </w:r>
    </w:p>
    <w:p w14:paraId="08955162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bordersDoNotSurroundHeader w:val="1"/>
  <w:bordersDoNotSurroundFooter w:val="1"/>
  <w:documentProtection w:enforcement="0"/>
  <w:defaultTabStop w:val="420"/>
  <w:displayHorizontalDrawingGridEvery w:val="0"/>
  <w:displayVerticalDrawingGridEvery w:val="2"/>
  <w:characterSpacingControl w:val="doNotCompress"/>
  <w:compat>
    <w:balanceSingleByteDoubleByteWidth/>
    <w:doNotExpandShiftReturn/>
    <w:adjustLineHeightInTable/>
    <w:useFELayout/>
    <w:doNotUseIndentAsNumberingTabStop/>
    <w:compatSetting w:name="compatibilityMode" w:uri="http://schemas.microsoft.com/office/word" w:val="12"/>
  </w:compat>
  <w:rsids>
    <w:rsidRoot w:val="005E6BFD"/>
    <w:rsid w:val="003133B6"/>
    <w:rsid w:val="00315920"/>
    <w:rsid w:val="00382F46"/>
    <w:rsid w:val="003F3A41"/>
    <w:rsid w:val="00404E25"/>
    <w:rsid w:val="004735A8"/>
    <w:rsid w:val="005471F3"/>
    <w:rsid w:val="005B282B"/>
    <w:rsid w:val="005E6BFD"/>
    <w:rsid w:val="008463BE"/>
    <w:rsid w:val="00872128"/>
    <w:rsid w:val="008B7598"/>
    <w:rsid w:val="00B10F96"/>
    <w:rsid w:val="00CD5810"/>
    <w:rsid w:val="00DD12BF"/>
    <w:rsid w:val="00E31E29"/>
    <w:rsid w:val="00FF60A0"/>
    <w:rsid w:val="0E9E6512"/>
    <w:rsid w:val="3BB07C93"/>
    <w:rsid w:val="499179A5"/>
    <w:rsid w:val="500707B0"/>
    <w:rsid w:val="56497940"/>
    <w:rsid w:val="5C5F6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371</Words>
  <Characters>2179</Characters>
  <Lines>16</Lines>
  <Paragraphs>4</Paragraphs>
  <TotalTime>11</TotalTime>
  <ScaleCrop>false</ScaleCrop>
  <LinksUpToDate>false</LinksUpToDate>
  <CharactersWithSpaces>2374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2024-09-13T16:23:00Z</dcterms:created>
  <dc:creator>士哲 付</dc:creator>
  <cp:lastModifiedBy>耗子先生</cp:lastModifiedBy>
  <dcterms:modified xsi:type="dcterms:W3CDTF">2025-02-04T13:18:29Z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eyJoZGlkIjoiNWQ0ZDY3MjYwZGMzMWJjM2RmMzRmOWQzYWQ5NzFjOGYiLCJ1c2VySWQiOiI3NTA0NTk2MzEifQ==</vt:lpwstr>
  </property>
  <property fmtid="{D5CDD505-2E9C-101B-9397-08002B2CF9AE}" pid="3" name="KSOProductBuildVer">
    <vt:lpwstr>2052-12.1.0.19770</vt:lpwstr>
  </property>
  <property fmtid="{D5CDD505-2E9C-101B-9397-08002B2CF9AE}" pid="4" name="ICV">
    <vt:lpwstr>373E5B13BA0C48DF83F3BEFEFDD60009_12</vt:lpwstr>
  </property>
</Properties>
</file>