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DB3C" w14:textId="5EC9637E" w:rsidR="00AB2024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  <w:r w:rsidRPr="000A70C5">
        <w:rPr>
          <w:rFonts w:ascii="Times New Roman" w:hAnsi="Times New Roman" w:cs="Times New Roman"/>
          <w:b/>
          <w:bCs/>
        </w:rPr>
        <w:t>Supplementary Figure 1: Cumulative survival risk graph stratified by sex, with all lines meaning the same as the labels in (A)</w:t>
      </w:r>
      <w:r w:rsidRPr="000A70C5">
        <w:rPr>
          <w:rFonts w:ascii="Times New Roman" w:hAnsi="Times New Roman" w:cs="Times New Roman"/>
        </w:rPr>
        <w:t>. AKI patients (A); non-AKI patients (B); VA patients (C); non-VA patients (D).</w:t>
      </w:r>
    </w:p>
    <w:p w14:paraId="44C3823C" w14:textId="0AD2D541" w:rsidR="000A70C5" w:rsidRPr="000A70C5" w:rsidRDefault="00CE4DB3" w:rsidP="000A70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B88E49" wp14:editId="4AA0EE87">
            <wp:extent cx="6668374" cy="461433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48" cy="4617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CF7C80" w14:textId="49E7F5D8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62CF33E9" w14:textId="420766AF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0FB16C6" w14:textId="2BA5838C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7B44EA1" w14:textId="2B3935E1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CD4C5D7" w14:textId="19B69F6D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E0ED5AB" w14:textId="6A27B605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107EC0CD" w14:textId="69B729EC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2D03E71" w14:textId="79F84A9E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55379DF" w14:textId="2E773E33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2F99EA5E" w14:textId="3EC0E8B2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9ABD89F" w14:textId="20A20B14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38FC467" w14:textId="3D6E577E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D1F5FD4" w14:textId="47AC26CD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25957B2" w14:textId="28861D9C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C2AAA43" w14:textId="4BD295D8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F5D3982" w14:textId="2D57FC3A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  <w:r w:rsidRPr="000A70C5">
        <w:rPr>
          <w:rFonts w:ascii="Times New Roman" w:hAnsi="Times New Roman" w:cs="Times New Roman"/>
          <w:b/>
          <w:bCs/>
        </w:rPr>
        <w:lastRenderedPageBreak/>
        <w:t>Supplementary Figure 2: Cumulative survival risk plot stratified by gender, with all lines having the same meaning as the labels in (A)</w:t>
      </w:r>
      <w:r w:rsidRPr="000A70C5">
        <w:rPr>
          <w:rFonts w:ascii="Times New Roman" w:hAnsi="Times New Roman" w:cs="Times New Roman"/>
        </w:rPr>
        <w:t>. Survival plots for males versus females in all patients (A); all patients with atrial fibrillation (B); all patients without atrial fibrillation (C); all patients with hypertension (D); and all patients without hypertension (E).</w:t>
      </w:r>
    </w:p>
    <w:p w14:paraId="704DB655" w14:textId="13C24E38" w:rsidR="000A70C5" w:rsidRPr="000A70C5" w:rsidRDefault="00CE4DB3" w:rsidP="000A70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6A9A84" wp14:editId="4B24712D">
            <wp:extent cx="6621395" cy="715433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554" cy="7160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02472C" w14:textId="07712AD8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1B855B5D" w14:textId="660ECFC8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6146130E" w14:textId="5855F366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74677ECC" w14:textId="417843C8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DCD2A3F" w14:textId="02DA7D85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130E0780" w14:textId="1C42651D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A2DC913" w14:textId="0E024FCA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  <w:r w:rsidRPr="000A70C5">
        <w:rPr>
          <w:rFonts w:ascii="Times New Roman" w:hAnsi="Times New Roman" w:cs="Times New Roman"/>
          <w:b/>
          <w:bCs/>
        </w:rPr>
        <w:t>Supplementary Figure 3: Cumulative survival risk plot stratified by gender, with all lines having the same meaning as the labels in (A)</w:t>
      </w:r>
      <w:r w:rsidRPr="000A70C5">
        <w:rPr>
          <w:rFonts w:ascii="Times New Roman" w:hAnsi="Times New Roman" w:cs="Times New Roman"/>
        </w:rPr>
        <w:t>. All patients with chronic kidney disease (A); all patients with non-chronic kidney disease (B); all patients with type 2 diabetes mellitus (C); all patients with non-type 2 diabetes mellitus(D).</w:t>
      </w:r>
    </w:p>
    <w:p w14:paraId="36CEC3A0" w14:textId="5DCC2AF4" w:rsidR="000A70C5" w:rsidRPr="000A70C5" w:rsidRDefault="00CE4DB3" w:rsidP="000A70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4F8EF57" wp14:editId="4D3C4BDB">
            <wp:extent cx="6526492" cy="473286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79" cy="4734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BF458F" w14:textId="20D462C9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EDE6E00" w14:textId="062EA19D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5FAAC92" w14:textId="3CBB4125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76BEF5B1" w14:textId="16E46B8F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53FF01EC" w14:textId="28A0EC88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09EE15E" w14:textId="2A38AED3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5B97A460" w14:textId="6389DAE7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A9FBC91" w14:textId="1D11C8B1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4E4CE2C0" w14:textId="76A3BF48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2EE1DB4" w14:textId="03F62F47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168062B5" w14:textId="56576ECB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7342436A" w14:textId="50211D9D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2179DD4A" w14:textId="77777777" w:rsidR="000A70C5" w:rsidRPr="000A70C5" w:rsidRDefault="000A70C5" w:rsidP="000A70C5">
      <w:pPr>
        <w:spacing w:line="360" w:lineRule="auto"/>
        <w:rPr>
          <w:rFonts w:ascii="Times New Roman" w:hAnsi="Times New Roman" w:cs="Times New Roman" w:hint="eastAsia"/>
        </w:rPr>
      </w:pPr>
    </w:p>
    <w:p w14:paraId="1C2FA146" w14:textId="701D6D8B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  <w:r w:rsidRPr="000A70C5">
        <w:rPr>
          <w:rFonts w:ascii="Times New Roman" w:hAnsi="Times New Roman" w:cs="Times New Roman"/>
          <w:b/>
          <w:bCs/>
        </w:rPr>
        <w:lastRenderedPageBreak/>
        <w:t>Supplementary Figure 4: Cumulative survival risk graph stratified by sex, with all lines meaning the same as the labels in (A).</w:t>
      </w:r>
      <w:r w:rsidRPr="000A70C5">
        <w:rPr>
          <w:rFonts w:ascii="Times New Roman" w:hAnsi="Times New Roman" w:cs="Times New Roman"/>
        </w:rPr>
        <w:t xml:space="preserve"> AKI patients (A); non-AKI patients (B); VA patients (C); non-VA patients (D).</w:t>
      </w:r>
    </w:p>
    <w:p w14:paraId="34004FA7" w14:textId="1275BA95" w:rsidR="000A70C5" w:rsidRPr="000A70C5" w:rsidRDefault="00CE4DB3" w:rsidP="000A70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B71818" wp14:editId="3530CA0F">
            <wp:extent cx="6570133" cy="475618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007" cy="4762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EB701" w14:textId="306F6A92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D582846" w14:textId="7A0DD8F9" w:rsidR="000A70C5" w:rsidRP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049B69B" w14:textId="394E4ED6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C333F7D" w14:textId="2517466D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08F576ED" w14:textId="4BE025D5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71183E02" w14:textId="4A0FC691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5A417B9F" w14:textId="1D305F87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63CD6C92" w14:textId="5ACB1586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3C059284" w14:textId="3CD2ADD1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7962F8EC" w14:textId="64F4794E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11DEA40B" w14:textId="2547F365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54512269" w14:textId="47A2033D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2D6326FC" w14:textId="4FDB53A2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2C244FA2" w14:textId="080FD545" w:rsidR="000A70C5" w:rsidRDefault="000A70C5" w:rsidP="000A70C5">
      <w:pPr>
        <w:spacing w:line="360" w:lineRule="auto"/>
        <w:rPr>
          <w:rFonts w:ascii="Times New Roman" w:hAnsi="Times New Roman" w:cs="Times New Roman"/>
        </w:rPr>
      </w:pPr>
    </w:p>
    <w:p w14:paraId="62755C41" w14:textId="77777777" w:rsidR="000A70C5" w:rsidRPr="000A70C5" w:rsidRDefault="000A70C5" w:rsidP="000A70C5">
      <w:pPr>
        <w:spacing w:line="360" w:lineRule="auto"/>
        <w:rPr>
          <w:rFonts w:ascii="Times New Roman" w:hAnsi="Times New Roman" w:cs="Times New Roman" w:hint="eastAsia"/>
        </w:rPr>
      </w:pPr>
    </w:p>
    <w:p w14:paraId="3BBAEEA9" w14:textId="4B611F8D" w:rsidR="000A70C5" w:rsidRPr="000A70C5" w:rsidRDefault="000A70C5" w:rsidP="000A70C5">
      <w:pPr>
        <w:spacing w:line="360" w:lineRule="auto"/>
        <w:rPr>
          <w:rFonts w:ascii="Times New Roman" w:hAnsi="Times New Roman" w:cs="Times New Roman"/>
          <w:b/>
          <w:bCs/>
        </w:rPr>
      </w:pPr>
      <w:r w:rsidRPr="000A70C5">
        <w:rPr>
          <w:rFonts w:ascii="Times New Roman" w:hAnsi="Times New Roman" w:cs="Times New Roman"/>
          <w:b/>
          <w:bCs/>
        </w:rPr>
        <w:t>Supplementary Figure 5</w:t>
      </w:r>
      <w:r w:rsidRPr="000A70C5">
        <w:rPr>
          <w:rFonts w:ascii="Times New Roman" w:hAnsi="Times New Roman" w:cs="Times New Roman"/>
          <w:b/>
          <w:bCs/>
        </w:rPr>
        <w:t>：</w:t>
      </w:r>
      <w:r w:rsidRPr="000A70C5">
        <w:rPr>
          <w:rFonts w:ascii="Times New Roman" w:hAnsi="Times New Roman" w:cs="Times New Roman"/>
          <w:b/>
          <w:bCs/>
        </w:rPr>
        <w:t>Cumulative survival risk maps stratified by sex.</w:t>
      </w:r>
    </w:p>
    <w:p w14:paraId="68043A50" w14:textId="680DB544" w:rsidR="000A70C5" w:rsidRPr="000A70C5" w:rsidRDefault="00CE4DB3" w:rsidP="000A70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4A122B" wp14:editId="5E126DD2">
            <wp:extent cx="6434231" cy="3860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445" cy="3865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A70C5" w:rsidRPr="000A70C5" w:rsidSect="000A70C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E226" w14:textId="77777777" w:rsidR="007C1256" w:rsidRDefault="007C1256" w:rsidP="00823FD0">
      <w:r>
        <w:separator/>
      </w:r>
    </w:p>
  </w:endnote>
  <w:endnote w:type="continuationSeparator" w:id="0">
    <w:p w14:paraId="216E5370" w14:textId="77777777" w:rsidR="007C1256" w:rsidRDefault="007C1256" w:rsidP="0082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7B43" w14:textId="77777777" w:rsidR="007C1256" w:rsidRDefault="007C1256" w:rsidP="00823FD0">
      <w:r>
        <w:separator/>
      </w:r>
    </w:p>
  </w:footnote>
  <w:footnote w:type="continuationSeparator" w:id="0">
    <w:p w14:paraId="5EA2CD8C" w14:textId="77777777" w:rsidR="007C1256" w:rsidRDefault="007C1256" w:rsidP="00823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6E"/>
    <w:rsid w:val="00056B6E"/>
    <w:rsid w:val="000A70C5"/>
    <w:rsid w:val="00115BFE"/>
    <w:rsid w:val="00180492"/>
    <w:rsid w:val="00221E02"/>
    <w:rsid w:val="003221DB"/>
    <w:rsid w:val="003432BF"/>
    <w:rsid w:val="0035062A"/>
    <w:rsid w:val="007C1256"/>
    <w:rsid w:val="00823FD0"/>
    <w:rsid w:val="009132C7"/>
    <w:rsid w:val="009B2DAB"/>
    <w:rsid w:val="009F4D94"/>
    <w:rsid w:val="00A52496"/>
    <w:rsid w:val="00AB2024"/>
    <w:rsid w:val="00C33849"/>
    <w:rsid w:val="00CE2599"/>
    <w:rsid w:val="00CE4DB3"/>
    <w:rsid w:val="00E11D15"/>
    <w:rsid w:val="00F07A60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2CD9"/>
  <w15:chartTrackingRefBased/>
  <w15:docId w15:val="{82D0FD1B-4687-41CE-BB81-121FAE5A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line">
    <w:name w:val="3line"/>
    <w:basedOn w:val="a1"/>
    <w:uiPriority w:val="99"/>
    <w:rsid w:val="00FF2B05"/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bottom w:val="single" w:sz="6" w:space="0" w:color="000000" w:themeColor="text1"/>
        </w:tcBorders>
      </w:tcPr>
    </w:tblStylePr>
  </w:style>
  <w:style w:type="table" w:styleId="a3">
    <w:name w:val="Table Grid"/>
    <w:basedOn w:val="a1"/>
    <w:uiPriority w:val="39"/>
    <w:rsid w:val="00CE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3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3F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3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3F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达贝</dc:creator>
  <cp:keywords/>
  <dc:description/>
  <cp:lastModifiedBy>达贝</cp:lastModifiedBy>
  <cp:revision>8</cp:revision>
  <dcterms:created xsi:type="dcterms:W3CDTF">2022-11-19T01:47:00Z</dcterms:created>
  <dcterms:modified xsi:type="dcterms:W3CDTF">2025-03-05T05:14:00Z</dcterms:modified>
</cp:coreProperties>
</file>