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CFCFC"/>
              <w:spacing w:before="0" w:beforeAutospacing="0"/>
              <w:ind w:left="0" w:firstLine="0"/>
              <w:jc w:val="center"/>
              <w:textAlignment w:val="baseline"/>
              <w:rPr>
                <w:rFonts w:hint="default" w:ascii="Times New Roman" w:hAnsi="Times New Roman" w:cs="Times New Roman"/>
                <w:b w:val="0"/>
                <w:bCs w:val="0"/>
                <w:color w:va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sTable1.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Lipid 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Management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Targets for Patients in Different Risk Stratifications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Risk Stratification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Lipid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Management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Targets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</w:t>
            </w:r>
          </w:p>
        </w:tc>
        <w:tc>
          <w:tcPr>
            <w:tcW w:w="4261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&lt;3.4mmol/L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Moderate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and High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Risk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&lt;2.6mmol/L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Very High Risk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&lt;1.8mmol/L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Ultra-High Risk</w:t>
            </w:r>
          </w:p>
        </w:tc>
        <w:tc>
          <w:tcPr>
            <w:tcW w:w="426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&lt;1.4mmol/L</w:t>
            </w:r>
          </w:p>
        </w:tc>
      </w:tr>
    </w:tbl>
    <w:p/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396"/>
        <w:gridCol w:w="2041"/>
        <w:gridCol w:w="2168"/>
        <w:gridCol w:w="21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CFCFC"/>
              <w:spacing w:before="0" w:beforeAutospacing="0"/>
              <w:ind w:left="0" w:firstLine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sTable2a.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Risk Stratification for Patients Without a History of ASCVD (Primary Prevention Patients)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Risk Factors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 &lt;4.1 or LDL-C &lt;2.6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(mmol/L)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 4.1–5.1 or LDL-C 2.6–3.3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(mmol/L)</w:t>
            </w:r>
          </w:p>
        </w:tc>
        <w:tc>
          <w:tcPr>
            <w:tcW w:w="2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TC 5.2–7.1 or LDL-C 3.4–4.8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(mmol/L)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No Hypertension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168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12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0–1</w:t>
            </w:r>
          </w:p>
        </w:tc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 (&lt;5%)</w:t>
            </w:r>
          </w:p>
        </w:tc>
        <w:tc>
          <w:tcPr>
            <w:tcW w:w="21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 (&lt;5%)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 (&lt;5%)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 (&lt;5%)</w:t>
            </w:r>
          </w:p>
        </w:tc>
        <w:tc>
          <w:tcPr>
            <w:tcW w:w="21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Moderate Risk (5%–9%)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Moderate Risk (5%–9%)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≥3</w:t>
            </w:r>
          </w:p>
        </w:tc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Moderate Risk (5%–9%)</w:t>
            </w:r>
          </w:p>
        </w:tc>
        <w:tc>
          <w:tcPr>
            <w:tcW w:w="21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High Risk (≥10%)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High Risk (≥10%)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Hypertension</w:t>
            </w:r>
          </w:p>
        </w:tc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1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0–1</w:t>
            </w:r>
          </w:p>
        </w:tc>
        <w:tc>
          <w:tcPr>
            <w:tcW w:w="2437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Low Risk (&lt;5%)</w:t>
            </w:r>
          </w:p>
        </w:tc>
        <w:tc>
          <w:tcPr>
            <w:tcW w:w="2168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Moderate Risk (5%–9%)</w:t>
            </w:r>
          </w:p>
        </w:tc>
        <w:tc>
          <w:tcPr>
            <w:tcW w:w="2120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Moderate Risk (5%–9%)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≥2</w:t>
            </w:r>
          </w:p>
        </w:tc>
        <w:tc>
          <w:tcPr>
            <w:tcW w:w="243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High Risk (≥10%)</w:t>
            </w:r>
          </w:p>
        </w:tc>
        <w:tc>
          <w:tcPr>
            <w:tcW w:w="216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High Risk (≥10%)</w:t>
            </w:r>
          </w:p>
        </w:tc>
        <w:tc>
          <w:tcPr>
            <w:tcW w:w="21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High Risk (≥10%)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single" w:color="auto" w:sz="4" w:space="0"/>
              <w:bottom w:val="nil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sTable2b.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Risk Stratification for Patients With a History of ASCVD (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Secondary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 xml:space="preserve"> Prevention Patients)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≥2 severe ASCVD events ​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1 severe ASCVD event + ≥2 high-risk factors</w:t>
            </w:r>
          </w:p>
        </w:tc>
        <w:tc>
          <w:tcPr>
            <w:tcW w:w="2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Other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1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Risk Stratification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204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Ultra-High Risk</w:t>
            </w:r>
          </w:p>
        </w:tc>
        <w:tc>
          <w:tcPr>
            <w:tcW w:w="216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Ultra-High Risk</w:t>
            </w:r>
          </w:p>
        </w:tc>
        <w:tc>
          <w:tcPr>
            <w:tcW w:w="212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Very High Risk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</w:trPr>
        <w:tc>
          <w:tcPr>
            <w:tcW w:w="8522" w:type="dxa"/>
            <w:gridSpan w:val="5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Definition: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Severe ASCVD Events:</w:t>
            </w:r>
          </w:p>
          <w:p>
            <w:pPr>
              <w:numPr>
                <w:ilvl w:val="0"/>
                <w:numId w:val="1"/>
              </w:num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Recent ACS (&lt;1 year)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Prior MI (excluding recent ACS)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Ischemic stroke history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Symptomatic PAD with revascularization/amputation.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High-Risk Factors:</w:t>
            </w:r>
          </w:p>
          <w:p>
            <w:pPr>
              <w:numPr>
                <w:ilvl w:val="0"/>
                <w:numId w:val="2"/>
              </w:num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LDL-C &gt;1.8 mmol/L with recurrent ASCVD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Premature CHD (male &lt;55, female &lt;65)</w:t>
            </w:r>
          </w:p>
          <w:p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Familial hypercholesterolemia or LDL-C ≥4.9 mmol/L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Prior CABG/PCI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5.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CKD stage 3–4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6.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Smoking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D62540"/>
    <w:multiLevelType w:val="singleLevel"/>
    <w:tmpl w:val="9AD6254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5573B8B"/>
    <w:multiLevelType w:val="singleLevel"/>
    <w:tmpl w:val="55573B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0NDQ3ZjAwMjEyODgzNjI0MGE4ZjQ2MjBmNDE5N2QifQ=="/>
  </w:docVars>
  <w:rsids>
    <w:rsidRoot w:val="7EA101F8"/>
    <w:rsid w:val="7EA10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2025-03-25T13:16:00Z</dcterms:created>
  <dc:creator>张一帆</dc:creator>
  <cp:lastModifiedBy>张一帆</cp:lastModifiedBy>
  <dcterms:modified xsi:type="dcterms:W3CDTF">2025-03-25T13:17:25Z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3D8A59FEE5CA47C3A63B458758986A11_11</vt:lpwstr>
  </property>
</Properties>
</file>