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E988F" w14:textId="77777777" w:rsidR="00FB488F" w:rsidRDefault="00FB488F" w:rsidP="00FB488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 1: Risk of bias assessment of the included studies</w:t>
      </w:r>
    </w:p>
    <w:tbl>
      <w:tblPr>
        <w:tblStyle w:val="TableGrid"/>
        <w:tblW w:w="15218" w:type="dxa"/>
        <w:tblInd w:w="-801" w:type="dxa"/>
        <w:tblLayout w:type="fixed"/>
        <w:tblLook w:val="04A0" w:firstRow="1" w:lastRow="0" w:firstColumn="1" w:lastColumn="0" w:noHBand="0" w:noVBand="1"/>
      </w:tblPr>
      <w:tblGrid>
        <w:gridCol w:w="1292"/>
        <w:gridCol w:w="1216"/>
        <w:gridCol w:w="1346"/>
        <w:gridCol w:w="1260"/>
        <w:gridCol w:w="1205"/>
        <w:gridCol w:w="1205"/>
        <w:gridCol w:w="1205"/>
        <w:gridCol w:w="1205"/>
        <w:gridCol w:w="967"/>
        <w:gridCol w:w="1195"/>
        <w:gridCol w:w="1108"/>
        <w:gridCol w:w="1108"/>
        <w:gridCol w:w="906"/>
      </w:tblGrid>
      <w:tr w:rsidR="00FB488F" w14:paraId="04D4BE85" w14:textId="77777777" w:rsidTr="00D30CE9">
        <w:tc>
          <w:tcPr>
            <w:tcW w:w="1292" w:type="dxa"/>
          </w:tcPr>
          <w:p w14:paraId="3C1F989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ID</w:t>
            </w:r>
          </w:p>
          <w:p w14:paraId="232DAF4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2AA8EE4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2DCA3DA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42AC5FC0" w14:textId="77777777" w:rsidR="00FB488F" w:rsidRDefault="00FB488F" w:rsidP="00D30CE9">
            <w:pPr>
              <w:tabs>
                <w:tab w:val="left" w:pos="106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69E21D0B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Were the two groups similar and recruited from the same population?</w:t>
            </w:r>
          </w:p>
        </w:tc>
        <w:tc>
          <w:tcPr>
            <w:tcW w:w="1346" w:type="dxa"/>
          </w:tcPr>
          <w:p w14:paraId="22811619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Were the exposures measured similarly to assign people to both exposed and unexposed groups?</w:t>
            </w:r>
          </w:p>
        </w:tc>
        <w:tc>
          <w:tcPr>
            <w:tcW w:w="1260" w:type="dxa"/>
          </w:tcPr>
          <w:p w14:paraId="4D399486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the exposure measured in a valid and reliable way?</w:t>
            </w:r>
          </w:p>
          <w:p w14:paraId="3503B18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69BF0BA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612F87B8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Were</w:t>
            </w:r>
            <w:proofErr w:type="spellEnd"/>
            <w:r>
              <w:rPr>
                <w:rFonts w:ascii="Times New Roman" w:hAnsi="Times New Roman" w:cs="Times New Roman"/>
              </w:rPr>
              <w:t xml:space="preserve"> confounding factors identified?</w:t>
            </w:r>
          </w:p>
          <w:p w14:paraId="77768D8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1A21A07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1716808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554C84F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7395E91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591C371A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Were strategies to deal with confounding factors stated?</w:t>
            </w:r>
          </w:p>
        </w:tc>
        <w:tc>
          <w:tcPr>
            <w:tcW w:w="1205" w:type="dxa"/>
          </w:tcPr>
          <w:p w14:paraId="2A7AC42D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Were the participants free of the outcome at the start of the study</w:t>
            </w:r>
          </w:p>
        </w:tc>
        <w:tc>
          <w:tcPr>
            <w:tcW w:w="1205" w:type="dxa"/>
          </w:tcPr>
          <w:p w14:paraId="42C4C31F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Were the outcomes measured in a valid and reliable way?</w:t>
            </w:r>
          </w:p>
          <w:p w14:paraId="117E4EC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35A041C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6008D00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7" w:type="dxa"/>
          </w:tcPr>
          <w:p w14:paraId="4D20863D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the follow up time reported and sufficient to be long enough for outcomes to occur?</w:t>
            </w:r>
          </w:p>
        </w:tc>
        <w:tc>
          <w:tcPr>
            <w:tcW w:w="1195" w:type="dxa"/>
          </w:tcPr>
          <w:p w14:paraId="73CA9DC3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follow up complete, and if not, were the reasons to loss to follow up described and explored?</w:t>
            </w:r>
          </w:p>
        </w:tc>
        <w:tc>
          <w:tcPr>
            <w:tcW w:w="1108" w:type="dxa"/>
          </w:tcPr>
          <w:p w14:paraId="3F13263E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Were strategies to address incomplete follow up utilized?</w:t>
            </w:r>
          </w:p>
        </w:tc>
        <w:tc>
          <w:tcPr>
            <w:tcW w:w="1108" w:type="dxa"/>
          </w:tcPr>
          <w:p w14:paraId="5CAF01A5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appropriate statistical analysis used?</w:t>
            </w:r>
          </w:p>
        </w:tc>
        <w:tc>
          <w:tcPr>
            <w:tcW w:w="906" w:type="dxa"/>
          </w:tcPr>
          <w:p w14:paraId="40DF1113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  <w:p w14:paraId="489EE297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Score</w:t>
            </w:r>
          </w:p>
          <w:p w14:paraId="126788C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28F736E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2F01F20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78AE62D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55128E5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43EBC7A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4757D51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0F95E73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</w:tc>
      </w:tr>
      <w:tr w:rsidR="00FB488F" w14:paraId="6A0FF5DE" w14:textId="77777777" w:rsidTr="00D30CE9">
        <w:tc>
          <w:tcPr>
            <w:tcW w:w="15218" w:type="dxa"/>
            <w:gridSpan w:val="13"/>
          </w:tcPr>
          <w:p w14:paraId="709D9FFF" w14:textId="77777777" w:rsidR="00FB488F" w:rsidRDefault="00FB488F" w:rsidP="00D30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Cohort studies</w:t>
            </w:r>
          </w:p>
        </w:tc>
      </w:tr>
      <w:tr w:rsidR="00FB488F" w14:paraId="181FE553" w14:textId="77777777" w:rsidTr="00D30CE9">
        <w:tc>
          <w:tcPr>
            <w:tcW w:w="1292" w:type="dxa"/>
          </w:tcPr>
          <w:p w14:paraId="015825C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Chammartin et al., 2022</w:t>
            </w:r>
          </w:p>
        </w:tc>
        <w:tc>
          <w:tcPr>
            <w:tcW w:w="1216" w:type="dxa"/>
          </w:tcPr>
          <w:p w14:paraId="2DAE453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11A24DD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1A90DD9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429135E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7CD5A1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C05CF8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05F6C66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67265A5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4563F42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26993E8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60007EC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0E0CB24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01192413" w14:textId="77777777" w:rsidTr="00D30CE9">
        <w:tc>
          <w:tcPr>
            <w:tcW w:w="1292" w:type="dxa"/>
          </w:tcPr>
          <w:p w14:paraId="1AAD55F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Chow et al., 2018(a)</w:t>
            </w:r>
          </w:p>
        </w:tc>
        <w:tc>
          <w:tcPr>
            <w:tcW w:w="1216" w:type="dxa"/>
          </w:tcPr>
          <w:p w14:paraId="06C833D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49794E5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4DBE4E6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18D251C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7983E5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069D9EC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7DFF63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15F5FE0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191F9FD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6D4415F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680C295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359A722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8044DC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68C7EFC2" w14:textId="77777777" w:rsidTr="00D30CE9">
        <w:tc>
          <w:tcPr>
            <w:tcW w:w="1292" w:type="dxa"/>
          </w:tcPr>
          <w:p w14:paraId="3C89965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Chow et al., 2018(b)</w:t>
            </w:r>
          </w:p>
        </w:tc>
        <w:tc>
          <w:tcPr>
            <w:tcW w:w="1216" w:type="dxa"/>
          </w:tcPr>
          <w:p w14:paraId="05594C3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4DCEB42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0DE1F68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30BBD2B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308F945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0F3BA47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E21BD5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6F6A082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195" w:type="dxa"/>
          </w:tcPr>
          <w:p w14:paraId="51C78DB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08" w:type="dxa"/>
          </w:tcPr>
          <w:p w14:paraId="6F94A5A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08" w:type="dxa"/>
          </w:tcPr>
          <w:p w14:paraId="34A4FC3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386DD66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8044DC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1ADB1AF1" w14:textId="77777777" w:rsidTr="00D30CE9">
        <w:tc>
          <w:tcPr>
            <w:tcW w:w="1292" w:type="dxa"/>
          </w:tcPr>
          <w:p w14:paraId="5945CF5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Cole et al., 2004</w:t>
            </w:r>
          </w:p>
        </w:tc>
        <w:tc>
          <w:tcPr>
            <w:tcW w:w="1216" w:type="dxa"/>
          </w:tcPr>
          <w:p w14:paraId="66307C6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6D22151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4F8F4B9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47531FF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AFD3CB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400EFBF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19E60C0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296735D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95" w:type="dxa"/>
          </w:tcPr>
          <w:p w14:paraId="77894AC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69068DA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3B7640E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42A3A41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8044DC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00C7CB7B" w14:textId="77777777" w:rsidTr="00D30CE9">
        <w:tc>
          <w:tcPr>
            <w:tcW w:w="1292" w:type="dxa"/>
          </w:tcPr>
          <w:p w14:paraId="62A54A7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Harding et al., 2021</w:t>
            </w:r>
          </w:p>
        </w:tc>
        <w:tc>
          <w:tcPr>
            <w:tcW w:w="1216" w:type="dxa"/>
          </w:tcPr>
          <w:p w14:paraId="7A25C86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16864B8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390D06D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43CB21F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2E2063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1415933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1ABDB55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7AE3B1C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0C294A2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270ED96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7FB6AAA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1DBD433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B3720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390F3132" w14:textId="77777777" w:rsidTr="00D30CE9">
        <w:tc>
          <w:tcPr>
            <w:tcW w:w="1292" w:type="dxa"/>
          </w:tcPr>
          <w:p w14:paraId="0BD5D9E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Hatleberg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 xml:space="preserve"> et al., 2019</w:t>
            </w:r>
          </w:p>
        </w:tc>
        <w:tc>
          <w:tcPr>
            <w:tcW w:w="1216" w:type="dxa"/>
          </w:tcPr>
          <w:p w14:paraId="2614E01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09E6872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6BDC81E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056F839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218413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178A195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7FB1A5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672D44A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4EAEBEF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20E0C17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696B448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5331D04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B3720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4D1F983D" w14:textId="77777777" w:rsidTr="00D30CE9">
        <w:tc>
          <w:tcPr>
            <w:tcW w:w="1292" w:type="dxa"/>
          </w:tcPr>
          <w:p w14:paraId="16DF0E0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Krsak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 xml:space="preserve"> et al., 2015</w:t>
            </w:r>
          </w:p>
        </w:tc>
        <w:tc>
          <w:tcPr>
            <w:tcW w:w="1216" w:type="dxa"/>
          </w:tcPr>
          <w:p w14:paraId="0628F0B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6BA85B3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34C08E5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A22A54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E2C968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0F976FD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3FA9766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632F055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1DED750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08" w:type="dxa"/>
          </w:tcPr>
          <w:p w14:paraId="39AEBEB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7FD76F6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06D8FAF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B3720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55BF061B" w14:textId="77777777" w:rsidTr="00D30CE9">
        <w:tc>
          <w:tcPr>
            <w:tcW w:w="1292" w:type="dxa"/>
          </w:tcPr>
          <w:p w14:paraId="502027D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Sabin et al., 2013</w:t>
            </w:r>
          </w:p>
        </w:tc>
        <w:tc>
          <w:tcPr>
            <w:tcW w:w="1216" w:type="dxa"/>
          </w:tcPr>
          <w:p w14:paraId="7CA5281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6700C58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23A7134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B9B63F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3568DA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A86710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2ABF0F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494712A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46A2BCF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6C387A6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4DBD2C2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6D544A9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B3720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6211664C" w14:textId="77777777" w:rsidTr="00D30CE9">
        <w:tc>
          <w:tcPr>
            <w:tcW w:w="1292" w:type="dxa"/>
          </w:tcPr>
          <w:p w14:paraId="1C5A25E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Sarfo et al., 2021</w:t>
            </w:r>
          </w:p>
        </w:tc>
        <w:tc>
          <w:tcPr>
            <w:tcW w:w="1216" w:type="dxa"/>
          </w:tcPr>
          <w:p w14:paraId="496DF96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1B06758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61D7BF5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CD3694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4579D2D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D9AF92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D54D54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6A86367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95" w:type="dxa"/>
          </w:tcPr>
          <w:p w14:paraId="39E560C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2FBFA14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659B87A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1AAFB72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B3720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126E3E28" w14:textId="77777777" w:rsidTr="00D30CE9">
        <w:tc>
          <w:tcPr>
            <w:tcW w:w="1292" w:type="dxa"/>
          </w:tcPr>
          <w:p w14:paraId="508E4E5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Vinikoor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 xml:space="preserve"> et al., 2024</w:t>
            </w:r>
          </w:p>
        </w:tc>
        <w:tc>
          <w:tcPr>
            <w:tcW w:w="1216" w:type="dxa"/>
          </w:tcPr>
          <w:p w14:paraId="7E61676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79C8D2E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284FC4C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173BFC0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34153B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C34866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614831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0BF6F91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1CBF472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08" w:type="dxa"/>
          </w:tcPr>
          <w:p w14:paraId="711A059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0E55BBA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0A0C3C3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B3720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7F45AA23" w14:textId="77777777" w:rsidTr="00D30CE9">
        <w:tc>
          <w:tcPr>
            <w:tcW w:w="1292" w:type="dxa"/>
          </w:tcPr>
          <w:p w14:paraId="2A533EE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Yen et al., 2016</w:t>
            </w:r>
          </w:p>
        </w:tc>
        <w:tc>
          <w:tcPr>
            <w:tcW w:w="1216" w:type="dxa"/>
          </w:tcPr>
          <w:p w14:paraId="56A0EA8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76510E6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1EA1B64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3CDB3C4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41A4524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7F42EA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4DAE887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3BB7431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0095596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7C93263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342E2AD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6A2DEF6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B3720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2839CA6E" w14:textId="77777777" w:rsidTr="00D30CE9">
        <w:tc>
          <w:tcPr>
            <w:tcW w:w="1292" w:type="dxa"/>
          </w:tcPr>
          <w:p w14:paraId="2E9D069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lastRenderedPageBreak/>
              <w:t>Bizzotte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 xml:space="preserve"> et al., 2003</w:t>
            </w:r>
          </w:p>
        </w:tc>
        <w:tc>
          <w:tcPr>
            <w:tcW w:w="1216" w:type="dxa"/>
          </w:tcPr>
          <w:p w14:paraId="59137F4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5C0713F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1695117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FCCDBC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11916D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A8D5DE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C58BBD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732BEFA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95" w:type="dxa"/>
          </w:tcPr>
          <w:p w14:paraId="779639A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592DAC7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483EC02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2A5F61D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416AA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06FC080D" w14:textId="77777777" w:rsidTr="00D30CE9">
        <w:tc>
          <w:tcPr>
            <w:tcW w:w="1292" w:type="dxa"/>
          </w:tcPr>
          <w:p w14:paraId="4C17967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Hiransuthikul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 xml:space="preserve"> et al., 2022</w:t>
            </w:r>
          </w:p>
        </w:tc>
        <w:tc>
          <w:tcPr>
            <w:tcW w:w="1216" w:type="dxa"/>
          </w:tcPr>
          <w:p w14:paraId="3FF3DEB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09B3247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388B906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D2E78D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ADF5C6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45E9868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ADAED7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2BD3E05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95" w:type="dxa"/>
          </w:tcPr>
          <w:p w14:paraId="7A515C3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1E4B8D3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537430C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2B80CB1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416AA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6EDD1525" w14:textId="77777777" w:rsidTr="00D30CE9">
        <w:tc>
          <w:tcPr>
            <w:tcW w:w="1292" w:type="dxa"/>
          </w:tcPr>
          <w:p w14:paraId="0DCD944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Lee et al., 2012</w:t>
            </w:r>
          </w:p>
        </w:tc>
        <w:tc>
          <w:tcPr>
            <w:tcW w:w="1216" w:type="dxa"/>
          </w:tcPr>
          <w:p w14:paraId="22BDE1B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69895B0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55773B0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A20103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1B1B39A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E7F27B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F244B5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5E6BF03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95" w:type="dxa"/>
          </w:tcPr>
          <w:p w14:paraId="6DEA9E0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08" w:type="dxa"/>
          </w:tcPr>
          <w:p w14:paraId="5CBD7A0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08" w:type="dxa"/>
          </w:tcPr>
          <w:p w14:paraId="6BFEAE8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2479C73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416AA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5A4603A9" w14:textId="77777777" w:rsidTr="00D30CE9">
        <w:tc>
          <w:tcPr>
            <w:tcW w:w="1292" w:type="dxa"/>
          </w:tcPr>
          <w:p w14:paraId="3281302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 xml:space="preserve">Marconi et al., 2018 </w:t>
            </w:r>
          </w:p>
        </w:tc>
        <w:tc>
          <w:tcPr>
            <w:tcW w:w="1216" w:type="dxa"/>
          </w:tcPr>
          <w:p w14:paraId="2121A1B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22449C0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3D22902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2004F2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10E96D1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60B418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8DCE18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2CC4046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76EABF6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26BD011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3BE0D91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3BF5A84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416AA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49AB4F1D" w14:textId="77777777" w:rsidTr="00D30CE9">
        <w:tc>
          <w:tcPr>
            <w:tcW w:w="1292" w:type="dxa"/>
          </w:tcPr>
          <w:p w14:paraId="4B074FF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 xml:space="preserve">Monforte et al., 2013 </w:t>
            </w:r>
          </w:p>
        </w:tc>
        <w:tc>
          <w:tcPr>
            <w:tcW w:w="1216" w:type="dxa"/>
          </w:tcPr>
          <w:p w14:paraId="7294CF2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51DC5CD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0DE1A0C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3E0FC5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093E0CA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C77EAC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0F7605F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3DD0C23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0CB82CE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10A02B4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6BA84E6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32D5A86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416AA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3E1409A1" w14:textId="77777777" w:rsidTr="00D30CE9">
        <w:tc>
          <w:tcPr>
            <w:tcW w:w="1292" w:type="dxa"/>
          </w:tcPr>
          <w:p w14:paraId="4C06EC7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Rasmussen et al., 2011</w:t>
            </w:r>
          </w:p>
        </w:tc>
        <w:tc>
          <w:tcPr>
            <w:tcW w:w="1216" w:type="dxa"/>
          </w:tcPr>
          <w:p w14:paraId="40AB794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0D57D0D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7CF479B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49EF1E2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563A32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0A767D0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EA79DE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7F61ACB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612CB86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0BAA6CD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241DEA1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2AA95AF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416AA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332F2D40" w14:textId="77777777" w:rsidTr="00D30CE9">
        <w:tc>
          <w:tcPr>
            <w:tcW w:w="1292" w:type="dxa"/>
          </w:tcPr>
          <w:p w14:paraId="21C2330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Sabin et al., 2013</w:t>
            </w:r>
          </w:p>
        </w:tc>
        <w:tc>
          <w:tcPr>
            <w:tcW w:w="1216" w:type="dxa"/>
          </w:tcPr>
          <w:p w14:paraId="322CE06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7EA973C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45CAB6F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0CDAD5C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4247691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48985E1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185F83E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2354416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725E22B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2066FB4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29C2DE8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33DFFE6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416AA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1D597D0B" w14:textId="77777777" w:rsidTr="00D30CE9">
        <w:tc>
          <w:tcPr>
            <w:tcW w:w="1292" w:type="dxa"/>
          </w:tcPr>
          <w:p w14:paraId="33E7D1C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Chow et al., 2013</w:t>
            </w:r>
          </w:p>
        </w:tc>
        <w:tc>
          <w:tcPr>
            <w:tcW w:w="1216" w:type="dxa"/>
          </w:tcPr>
          <w:p w14:paraId="5F68B8B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4F82CEA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683F6AE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3F6337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721DBA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8F4C46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111F6D6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7DB3BA1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72F5EED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5FD9D2F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427FA54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35F544B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416AA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7C85BF18" w14:textId="77777777" w:rsidTr="00D30CE9">
        <w:tc>
          <w:tcPr>
            <w:tcW w:w="1292" w:type="dxa"/>
          </w:tcPr>
          <w:p w14:paraId="0D1EC5B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Bedimo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 xml:space="preserve"> et al., 2011</w:t>
            </w:r>
          </w:p>
        </w:tc>
        <w:tc>
          <w:tcPr>
            <w:tcW w:w="1216" w:type="dxa"/>
          </w:tcPr>
          <w:p w14:paraId="7093081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53A95C2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234208A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3753EF5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A12180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132F9CB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49B840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7D24C3D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06797A3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7D51DCC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4890A25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6FB1368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416AA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5CC74A48" w14:textId="77777777" w:rsidTr="00D30CE9">
        <w:tc>
          <w:tcPr>
            <w:tcW w:w="1292" w:type="dxa"/>
          </w:tcPr>
          <w:p w14:paraId="3200E4D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hyperlink r:id="rId4" w:history="1"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  <w:lang w:eastAsia="en-ZA"/>
                </w:rPr>
                <w:t>Vinikoor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  <w:lang w:eastAsia="en-ZA"/>
                </w:rPr>
                <w:t xml:space="preserve"> et al., 2013</w:t>
              </w:r>
            </w:hyperlink>
          </w:p>
        </w:tc>
        <w:tc>
          <w:tcPr>
            <w:tcW w:w="1216" w:type="dxa"/>
          </w:tcPr>
          <w:p w14:paraId="6758065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36F70EB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3EFC72A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5C720E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346D6A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FA675B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FFE3F8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47D8D0E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63D1F43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0893EAA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2D9EEE3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4525F8D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416AA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45D05A95" w14:textId="77777777" w:rsidTr="00D30CE9">
        <w:tc>
          <w:tcPr>
            <w:tcW w:w="1292" w:type="dxa"/>
          </w:tcPr>
          <w:p w14:paraId="64799C9F" w14:textId="77777777" w:rsidR="00FB488F" w:rsidRDefault="00FB488F" w:rsidP="00D30CE9"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Gutierrez et al., 2019</w:t>
            </w:r>
          </w:p>
        </w:tc>
        <w:tc>
          <w:tcPr>
            <w:tcW w:w="1216" w:type="dxa"/>
          </w:tcPr>
          <w:p w14:paraId="287A724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7C7DF01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066FAED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05925E7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B3EF39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1912D09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01D87B8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6906F77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95" w:type="dxa"/>
          </w:tcPr>
          <w:p w14:paraId="4B50E794" w14:textId="77777777" w:rsidR="00FB488F" w:rsidRPr="00EF5886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79D0E497" w14:textId="77777777" w:rsidR="00FB488F" w:rsidRPr="00EF5886" w:rsidRDefault="00FB488F" w:rsidP="00D30CE9">
            <w:pPr>
              <w:rPr>
                <w:rFonts w:ascii="Times New Roman" w:hAnsi="Times New Roman" w:cs="Times New Roman"/>
              </w:rPr>
            </w:pPr>
            <w:r w:rsidRPr="00EF5886">
              <w:rPr>
                <w:rFonts w:ascii="Times New Roman" w:hAnsi="Times New Roman" w:cs="Times New Roman"/>
              </w:rPr>
              <w:t>Can’t’ tell</w:t>
            </w:r>
          </w:p>
        </w:tc>
        <w:tc>
          <w:tcPr>
            <w:tcW w:w="1108" w:type="dxa"/>
          </w:tcPr>
          <w:p w14:paraId="5DDE6E2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6" w:type="dxa"/>
          </w:tcPr>
          <w:p w14:paraId="39351E1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416AA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76E9D332" w14:textId="77777777" w:rsidTr="00D30CE9">
        <w:tc>
          <w:tcPr>
            <w:tcW w:w="15218" w:type="dxa"/>
            <w:gridSpan w:val="13"/>
          </w:tcPr>
          <w:p w14:paraId="652FD421" w14:textId="77777777" w:rsidR="00FB488F" w:rsidRDefault="00FB488F" w:rsidP="00D30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Case-control Studies</w:t>
            </w:r>
          </w:p>
        </w:tc>
      </w:tr>
      <w:tr w:rsidR="00FB488F" w14:paraId="4C79CAA6" w14:textId="77777777" w:rsidTr="00D30CE9">
        <w:tc>
          <w:tcPr>
            <w:tcW w:w="1292" w:type="dxa"/>
          </w:tcPr>
          <w:p w14:paraId="035823D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6764DB7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Were the groups comparable?</w:t>
            </w:r>
          </w:p>
        </w:tc>
        <w:tc>
          <w:tcPr>
            <w:tcW w:w="1346" w:type="dxa"/>
          </w:tcPr>
          <w:p w14:paraId="2344E3BD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Were cases and controls matched appropriately?</w:t>
            </w:r>
          </w:p>
          <w:p w14:paraId="24E18C4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BCF1F42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Were the same criteria used for identification of cases and controls?</w:t>
            </w:r>
          </w:p>
        </w:tc>
        <w:tc>
          <w:tcPr>
            <w:tcW w:w="1205" w:type="dxa"/>
          </w:tcPr>
          <w:p w14:paraId="53EF3244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exposure measured in a standard, valid and reliable way?</w:t>
            </w:r>
          </w:p>
        </w:tc>
        <w:tc>
          <w:tcPr>
            <w:tcW w:w="1205" w:type="dxa"/>
          </w:tcPr>
          <w:p w14:paraId="1A684E5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exposure measured in the same way for cases and controls?</w:t>
            </w:r>
          </w:p>
        </w:tc>
        <w:tc>
          <w:tcPr>
            <w:tcW w:w="1205" w:type="dxa"/>
          </w:tcPr>
          <w:p w14:paraId="2E915DAE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Were</w:t>
            </w:r>
            <w:proofErr w:type="spellEnd"/>
            <w:r>
              <w:rPr>
                <w:rFonts w:ascii="Times New Roman" w:hAnsi="Times New Roman" w:cs="Times New Roman"/>
              </w:rPr>
              <w:t xml:space="preserve"> confounding factors identified?</w:t>
            </w:r>
          </w:p>
          <w:p w14:paraId="19C3B76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045FA01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638C881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214E9582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Were strategies to deal with confounding factors stated?</w:t>
            </w:r>
          </w:p>
          <w:p w14:paraId="5ECA4EF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1243BF5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  <w:p w14:paraId="4C10E24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7" w:type="dxa"/>
          </w:tcPr>
          <w:p w14:paraId="3EC64817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Were outcomes assessed in a standard, valid and reliable way for cases and controls?</w:t>
            </w:r>
          </w:p>
        </w:tc>
        <w:tc>
          <w:tcPr>
            <w:tcW w:w="1195" w:type="dxa"/>
          </w:tcPr>
          <w:p w14:paraId="57C862F6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the exposure period of interest long enough to be meaningful?</w:t>
            </w:r>
          </w:p>
        </w:tc>
        <w:tc>
          <w:tcPr>
            <w:tcW w:w="1108" w:type="dxa"/>
          </w:tcPr>
          <w:p w14:paraId="3D895195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appropriate statistical analysis used?</w:t>
            </w:r>
          </w:p>
        </w:tc>
        <w:tc>
          <w:tcPr>
            <w:tcW w:w="1108" w:type="dxa"/>
          </w:tcPr>
          <w:p w14:paraId="580B8F47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14:paraId="4E8481F1" w14:textId="77777777" w:rsidR="00FB488F" w:rsidRDefault="00FB488F" w:rsidP="00D30CE9">
            <w:pPr>
              <w:tabs>
                <w:tab w:val="left" w:pos="3297"/>
              </w:tabs>
              <w:rPr>
                <w:rFonts w:ascii="Times New Roman" w:hAnsi="Times New Roman" w:cs="Times New Roman"/>
              </w:rPr>
            </w:pPr>
          </w:p>
        </w:tc>
      </w:tr>
      <w:tr w:rsidR="00FB488F" w14:paraId="5C8D3AF1" w14:textId="77777777" w:rsidTr="00D30CE9">
        <w:tc>
          <w:tcPr>
            <w:tcW w:w="1292" w:type="dxa"/>
          </w:tcPr>
          <w:p w14:paraId="776022C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Benjamin et al., 2015</w:t>
            </w:r>
          </w:p>
        </w:tc>
        <w:tc>
          <w:tcPr>
            <w:tcW w:w="1216" w:type="dxa"/>
          </w:tcPr>
          <w:p w14:paraId="3E245D9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1427C746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5514723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0C6F75A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B00C22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7247CF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DDB488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507953D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5992CDF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 tell</w:t>
            </w:r>
          </w:p>
        </w:tc>
        <w:tc>
          <w:tcPr>
            <w:tcW w:w="1108" w:type="dxa"/>
          </w:tcPr>
          <w:p w14:paraId="6FF4CC5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1D50A56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14:paraId="39E68BC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FF62D9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11EF4C55" w14:textId="77777777" w:rsidTr="00D30CE9">
        <w:tc>
          <w:tcPr>
            <w:tcW w:w="1292" w:type="dxa"/>
          </w:tcPr>
          <w:p w14:paraId="311B0DB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Chow et al., 2014</w:t>
            </w:r>
          </w:p>
        </w:tc>
        <w:tc>
          <w:tcPr>
            <w:tcW w:w="1216" w:type="dxa"/>
          </w:tcPr>
          <w:p w14:paraId="75EACB7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46" w:type="dxa"/>
          </w:tcPr>
          <w:p w14:paraId="4B8DBE0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60" w:type="dxa"/>
          </w:tcPr>
          <w:p w14:paraId="17C0B66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721E09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49B2A90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60C0C2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73BD38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4D2E5F7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07125E6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 tell</w:t>
            </w:r>
          </w:p>
        </w:tc>
        <w:tc>
          <w:tcPr>
            <w:tcW w:w="1108" w:type="dxa"/>
          </w:tcPr>
          <w:p w14:paraId="66BBA7D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482400C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14:paraId="283EF2A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FF62D9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23196327" w14:textId="77777777" w:rsidTr="00D30CE9">
        <w:tc>
          <w:tcPr>
            <w:tcW w:w="1292" w:type="dxa"/>
          </w:tcPr>
          <w:p w14:paraId="245008AF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lastRenderedPageBreak/>
              <w:t>Ku et al. 2023</w:t>
            </w:r>
          </w:p>
        </w:tc>
        <w:tc>
          <w:tcPr>
            <w:tcW w:w="1216" w:type="dxa"/>
          </w:tcPr>
          <w:p w14:paraId="2D69F71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55382AA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66CA3771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6BDC8E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9D16AD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1FC65A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AD40C82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63F0BF73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25ED921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 tell</w:t>
            </w:r>
          </w:p>
        </w:tc>
        <w:tc>
          <w:tcPr>
            <w:tcW w:w="1108" w:type="dxa"/>
          </w:tcPr>
          <w:p w14:paraId="260A6B1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78BB89C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14:paraId="4DA08BA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FF62D9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4FC7208D" w14:textId="77777777" w:rsidTr="00D30CE9">
        <w:tc>
          <w:tcPr>
            <w:tcW w:w="1292" w:type="dxa"/>
          </w:tcPr>
          <w:p w14:paraId="1FFD837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>Allie et al., 2015</w:t>
            </w:r>
          </w:p>
        </w:tc>
        <w:tc>
          <w:tcPr>
            <w:tcW w:w="1216" w:type="dxa"/>
          </w:tcPr>
          <w:p w14:paraId="5BA9643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0C757E3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1278230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5E59B77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489F3B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B581C0E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2E393E1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6510060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32C4C05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 tell</w:t>
            </w:r>
          </w:p>
        </w:tc>
        <w:tc>
          <w:tcPr>
            <w:tcW w:w="1108" w:type="dxa"/>
          </w:tcPr>
          <w:p w14:paraId="4113BC7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2D3232E4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14:paraId="79D732DC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A1495E">
              <w:rPr>
                <w:rFonts w:ascii="Times New Roman" w:hAnsi="Times New Roman" w:cs="Times New Roman"/>
              </w:rPr>
              <w:t>Low risk</w:t>
            </w:r>
          </w:p>
        </w:tc>
      </w:tr>
      <w:tr w:rsidR="00FB488F" w14:paraId="04B76D9C" w14:textId="77777777" w:rsidTr="00D30CE9">
        <w:tc>
          <w:tcPr>
            <w:tcW w:w="1292" w:type="dxa"/>
          </w:tcPr>
          <w:p w14:paraId="25389A2A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ZA"/>
              </w:rPr>
              <w:t xml:space="preserve">Silva-Pinto et al., 2017 </w:t>
            </w:r>
          </w:p>
        </w:tc>
        <w:tc>
          <w:tcPr>
            <w:tcW w:w="1216" w:type="dxa"/>
          </w:tcPr>
          <w:p w14:paraId="077F080A" w14:textId="77777777" w:rsidR="00FB488F" w:rsidRDefault="00FB488F" w:rsidP="00D30CE9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46" w:type="dxa"/>
          </w:tcPr>
          <w:p w14:paraId="2F6425C0" w14:textId="77777777" w:rsidR="00FB488F" w:rsidRDefault="00FB488F" w:rsidP="00D30CE9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60" w:type="dxa"/>
          </w:tcPr>
          <w:p w14:paraId="3009007B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64643E55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4B81FF0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56AE2AF4" w14:textId="77777777" w:rsidR="00FB488F" w:rsidRDefault="00FB488F" w:rsidP="00D30CE9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5" w:type="dxa"/>
          </w:tcPr>
          <w:p w14:paraId="72B2BAB7" w14:textId="77777777" w:rsidR="00FB488F" w:rsidRDefault="00FB488F" w:rsidP="00D30CE9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7" w:type="dxa"/>
          </w:tcPr>
          <w:p w14:paraId="4DB1E3C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5" w:type="dxa"/>
          </w:tcPr>
          <w:p w14:paraId="3C7C5FAD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Can’t tell</w:t>
            </w:r>
          </w:p>
        </w:tc>
        <w:tc>
          <w:tcPr>
            <w:tcW w:w="1108" w:type="dxa"/>
          </w:tcPr>
          <w:p w14:paraId="0A6F3888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8" w:type="dxa"/>
          </w:tcPr>
          <w:p w14:paraId="67D8743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14:paraId="75EF9F19" w14:textId="77777777" w:rsidR="00FB488F" w:rsidRDefault="00FB488F" w:rsidP="00D30CE9">
            <w:pPr>
              <w:rPr>
                <w:rFonts w:ascii="Times New Roman" w:hAnsi="Times New Roman" w:cs="Times New Roman"/>
              </w:rPr>
            </w:pPr>
            <w:r w:rsidRPr="00A1495E">
              <w:rPr>
                <w:rFonts w:ascii="Times New Roman" w:hAnsi="Times New Roman" w:cs="Times New Roman"/>
              </w:rPr>
              <w:t>Low risk</w:t>
            </w:r>
          </w:p>
        </w:tc>
      </w:tr>
    </w:tbl>
    <w:p w14:paraId="0BF49FF7" w14:textId="77777777" w:rsidR="00FB488F" w:rsidRDefault="00FB488F" w:rsidP="00FB48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27A88F" w14:textId="77777777" w:rsidR="00701B66" w:rsidRDefault="00701B66"/>
    <w:sectPr w:rsidR="00701B66" w:rsidSect="00FB488F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8F"/>
    <w:rsid w:val="00026DCC"/>
    <w:rsid w:val="00504EB0"/>
    <w:rsid w:val="00701B66"/>
    <w:rsid w:val="00A74553"/>
    <w:rsid w:val="00FB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2992D"/>
  <w15:chartTrackingRefBased/>
  <w15:docId w15:val="{E7F7855A-5A4C-45CA-ABFF-EF016F10C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88F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FB488F"/>
    <w:pPr>
      <w:widowControl w:val="0"/>
      <w:spacing w:after="0" w:line="240" w:lineRule="auto"/>
      <w:jc w:val="both"/>
    </w:pPr>
    <w:rPr>
      <w:rFonts w:eastAsiaTheme="minorEastAsia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bmed.ncbi.nlm.nih.gov/?term=Vinikoor+MJ&amp;cauthor_id=235658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2025-01-15T14:59:00Z</dcterms:created>
  <dcterms:modified xsi:type="dcterms:W3CDTF">2025-01-15T14:59:00Z</dcterms:modified>
</cp:coreProperties>
</file>