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6BF2D">
      <w:pPr>
        <w:pStyle w:val="2"/>
        <w:numPr>
          <w:ilvl w:val="2"/>
          <w:numId w:val="0"/>
        </w:numPr>
        <w:rPr>
          <w:rFonts w:hint="eastAsia" w:ascii="Times New Roman" w:hAnsi="Times New Roman" w:cs="Times New Roman" w:eastAsiaTheme="maj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sz w:val="21"/>
          <w:szCs w:val="21"/>
        </w:rPr>
        <w:t>able</w:t>
      </w:r>
      <w:bookmarkStart w:id="0" w:name="table3单多因素回归结果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cs="Times New Roman"/>
          <w:sz w:val="21"/>
          <w:szCs w:val="21"/>
        </w:rPr>
        <w:t>:</w:t>
      </w:r>
      <w:bookmarkEnd w:id="0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Weighted </w:t>
      </w:r>
      <w:r>
        <w:rPr>
          <w:rFonts w:hint="default" w:ascii="Times New Roman" w:hAnsi="Times New Roman" w:cs="Times New Roman"/>
          <w:sz w:val="21"/>
          <w:szCs w:val="21"/>
        </w:rPr>
        <w:t>Multivariable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adjusted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model</w:t>
      </w:r>
      <w:r>
        <w:rPr>
          <w:rFonts w:hint="default" w:ascii="Times New Roman" w:hAnsi="Times New Roman" w:cs="Times New Roman"/>
          <w:sz w:val="21"/>
          <w:szCs w:val="21"/>
        </w:rPr>
        <w:t xml:space="preserve">s of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biomarkers </w:t>
      </w:r>
      <w:r>
        <w:rPr>
          <w:rFonts w:hint="default" w:ascii="Times New Roman" w:hAnsi="Times New Roman" w:cs="Times New Roman"/>
          <w:sz w:val="21"/>
          <w:szCs w:val="21"/>
        </w:rPr>
        <w:t>associated with the prevalence of hypertension.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tbl>
      <w:tblPr>
        <w:tblStyle w:val="5"/>
        <w:tblW w:w="510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007"/>
        <w:gridCol w:w="498"/>
        <w:gridCol w:w="1009"/>
        <w:gridCol w:w="498"/>
        <w:gridCol w:w="1009"/>
        <w:gridCol w:w="498"/>
        <w:gridCol w:w="1009"/>
        <w:gridCol w:w="498"/>
        <w:gridCol w:w="1009"/>
        <w:gridCol w:w="498"/>
      </w:tblGrid>
      <w:tr w14:paraId="66E4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46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E4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C0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mputation data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DD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mputation data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16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mputation data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3</w:t>
            </w:r>
          </w:p>
        </w:tc>
        <w:tc>
          <w:tcPr>
            <w:tcW w:w="150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2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mputation data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4</w:t>
            </w:r>
          </w:p>
        </w:tc>
        <w:tc>
          <w:tcPr>
            <w:tcW w:w="150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ED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mputation data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5</w:t>
            </w:r>
          </w:p>
        </w:tc>
      </w:tr>
      <w:tr w14:paraId="058F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4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3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037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OR (95%CI)</w:t>
            </w:r>
          </w:p>
        </w:tc>
        <w:tc>
          <w:tcPr>
            <w:tcW w:w="4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69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/>
                <w:color w:val="000000"/>
                <w:sz w:val="13"/>
                <w:szCs w:val="13"/>
                <w:u w:val="none"/>
                <w:lang w:val="en-US" w:eastAsia="zh-CN"/>
              </w:rPr>
              <w:t>value</w:t>
            </w:r>
          </w:p>
        </w:tc>
        <w:tc>
          <w:tcPr>
            <w:tcW w:w="10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89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OR (95%CI)</w:t>
            </w:r>
          </w:p>
        </w:tc>
        <w:tc>
          <w:tcPr>
            <w:tcW w:w="4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CA7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/>
                <w:color w:val="000000"/>
                <w:sz w:val="13"/>
                <w:szCs w:val="13"/>
                <w:u w:val="none"/>
                <w:lang w:val="en-US" w:eastAsia="zh-CN"/>
              </w:rPr>
              <w:t>value</w:t>
            </w:r>
          </w:p>
        </w:tc>
        <w:tc>
          <w:tcPr>
            <w:tcW w:w="10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F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OR (95%CI)</w:t>
            </w:r>
          </w:p>
        </w:tc>
        <w:tc>
          <w:tcPr>
            <w:tcW w:w="4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F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/>
                <w:color w:val="000000"/>
                <w:sz w:val="13"/>
                <w:szCs w:val="13"/>
                <w:u w:val="none"/>
                <w:lang w:val="en-US" w:eastAsia="zh-CN"/>
              </w:rPr>
              <w:t>value</w:t>
            </w:r>
          </w:p>
        </w:tc>
        <w:tc>
          <w:tcPr>
            <w:tcW w:w="10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4F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OR (95%CI)</w:t>
            </w:r>
          </w:p>
        </w:tc>
        <w:tc>
          <w:tcPr>
            <w:tcW w:w="4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D59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/>
                <w:color w:val="000000"/>
                <w:sz w:val="13"/>
                <w:szCs w:val="13"/>
                <w:u w:val="none"/>
                <w:lang w:val="en-US" w:eastAsia="zh-CN"/>
              </w:rPr>
              <w:t>value</w:t>
            </w:r>
          </w:p>
        </w:tc>
        <w:tc>
          <w:tcPr>
            <w:tcW w:w="10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27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OR (95%CI)</w:t>
            </w:r>
          </w:p>
        </w:tc>
        <w:tc>
          <w:tcPr>
            <w:tcW w:w="4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AB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/>
                <w:color w:val="000000"/>
                <w:sz w:val="13"/>
                <w:szCs w:val="13"/>
                <w:u w:val="none"/>
                <w:lang w:val="en-US" w:eastAsia="zh-CN"/>
              </w:rPr>
              <w:t>value</w:t>
            </w:r>
          </w:p>
        </w:tc>
      </w:tr>
      <w:tr w14:paraId="68894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86F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Weight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9B9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1.0051280 (1.0047126 ~ 1.0055437)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B55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9F08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1.0051359 (1.0047300 ~ 1.0055419)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B6D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341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1.0051015 (1.0046887 ~ 1.0055144)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15E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6C73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1.0050988 (1.0046883 ~ 1.0055095)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7AA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373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1.0051418 (1.0047252 ~ 1.0055585)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6D9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577FE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A9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BMI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F6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1.0153417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1.0140015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1.0166837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1EB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B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1.0153839 (1.0140642 ~ 1.0167053)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03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5AF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1.0153262 (1.0139924 ~ 1.0166618)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CC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F44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1.0152838 (1.0139519 ~ 1.0166174)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4E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C7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1.0153655 (1.0140265 ~ 1.0167062)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25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6CB81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EAF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WC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CD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1.0066516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1.0061075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1.0071961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51C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A1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1.0067106 (1.0061720 ~ 1.0072494)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26D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E2E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1.0066864 (1.0061245 ~ 1.0072486)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26AF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E2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1.0066528 (1.0061082 ~ 1.0071977)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B6E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4C2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1.0066606 (1.0061130 ~ 1.0072086)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60F6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4E59C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EE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WWI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5A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1.1096987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1.0956657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1.1239115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D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B1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1.1117566 (1.0975413 ~ 1.1261561)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33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59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1.1119567 (1.0971469 ~ 1.1269664)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3E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70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1.1108839 (1.0968153 ~ 1.1251329)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9F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6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1.1075522 (1.0938598 ~ 1.1214161)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67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11CE3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F2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 xml:space="preserve">WHtR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76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2.9677289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2.6960016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3.2668434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E65E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A6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3.0055520 (2.7334619 ~ 3.3047262)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972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8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2.9992349 (2.7175268 ~ 3.3101457)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F14D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73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2.9698455 (2.6980184 ~ 3.2690593)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8A0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EBD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en-US" w:bidi="ar-SA"/>
              </w:rPr>
              <w:t>2.9682075 (2.6969227 ~ 3.2667811)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4155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63637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91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TyG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D9D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1.1173235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1.1027066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1.1321341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E9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3C3C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1.1128090 (1.0971637 ~ 1.1286773)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53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90D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1.1112893 (1.0961304 ~ 1.1266578)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4D6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1D5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1.1142050 (1.0988428 ~ 1.1297820)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B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E1B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1.1124020 (1.0978223 ~ 1.1271754)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9AF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655A5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49B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TyG-BMI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058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1.0016729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1.0015392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1.0018066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D4A3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2ED0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1.0016658 (1.0015307 ~ 1.0018010)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78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4C2E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1.0016557 (1.0015192 ~ 1.0017922)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D7A4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BF9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1.0016586 (1.0015235 ~ 1.0017937)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7EA0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5DB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1.0016664 (1.0015309 ~ 1.0018020)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9EC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2E509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8D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TyG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5C6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1.0006644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1.0006143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1.0007144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5E3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90D9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1.0006632 (1.0006114 ~ 1.0007151)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8C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82F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1.0006587 (1.0006058 ~ 1.0007115)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1A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DB8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1.0006612 (1.0006098 ~ 1.0007126)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5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4F7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1.0006608 (1.0006093 ~ 1.0007122)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D4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1F61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37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TyG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Weight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A030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1.0005637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1.0005207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1.0006067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1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23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1.0005612 (1.0005177 ~ 1.0006047)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5E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61D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1.0005575 (1.0005137 ~ 1.0006013)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A1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5D7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1.0005591 (1.0005157 ~ 1.0006025)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67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56F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1.0005627 (1.0005192 ~ 1.0006063)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51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2DBBE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9F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TyG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WHtR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DC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1.1160641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1.1063888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 xml:space="preserve"> ~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1.1258240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)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CC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5A48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1.1159767 (1.1060086 ~ 1.1260345)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95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CD02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1.1151336 (1.1049546 ~ 1.1254063)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295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4189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1.1153015 (1.1054066 ~ 1.1252850)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34D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AD35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1.1150941 (1.1051658 ~ 1.1251116)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71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</w:tbl>
    <w:p w14:paraId="661ACC77">
      <w:pPr>
        <w:rPr>
          <w:rFonts w:hint="default"/>
          <w:lang w:val="en-US" w:eastAsia="zh-CN"/>
        </w:rPr>
      </w:pPr>
    </w:p>
    <w:p w14:paraId="643D46A5">
      <w:pPr>
        <w:rPr>
          <w:rFonts w:hint="default"/>
          <w:lang w:val="en-US" w:eastAsia="zh-CN"/>
        </w:rPr>
      </w:pPr>
    </w:p>
    <w:p w14:paraId="58F6F75F">
      <w:pPr>
        <w:rPr>
          <w:rFonts w:hint="default"/>
          <w:lang w:val="en-US" w:eastAsia="zh-CN"/>
        </w:rPr>
      </w:pPr>
    </w:p>
    <w:p w14:paraId="59E65E6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3666490"/>
            <wp:effectExtent l="0" t="0" r="13335" b="1016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71249">
      <w:pPr>
        <w:rPr>
          <w:rFonts w:hint="eastAsia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  <w:t xml:space="preserve">Figure S1 </w:t>
      </w:r>
      <w:r>
        <w:rPr>
          <w:rFonts w:hint="eastAsia" w:ascii="Times New Roman" w:hAnsi="Times New Roman" w:cs="Times New Roman" w:eastAsiaTheme="majorEastAsia"/>
          <w:b w:val="0"/>
          <w:bCs/>
          <w:kern w:val="2"/>
          <w:sz w:val="21"/>
          <w:szCs w:val="21"/>
          <w:lang w:val="en-US" w:eastAsia="zh-CN" w:bidi="ar-SA"/>
        </w:rPr>
        <w:t>presents the ROC curves for five imputed datasets. The results indicate that TyG WHtR demonstrated the best predictive performance across all datasets.</w:t>
      </w:r>
    </w:p>
    <w:p w14:paraId="77CC3794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350E08F6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5419D4DB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7E21FD45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7546905F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71C17551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  <w:bookmarkStart w:id="1" w:name="_GoBack"/>
      <w:bookmarkEnd w:id="1"/>
    </w:p>
    <w:p w14:paraId="79848451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0510B659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1BB97CCD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747F5C43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07BC22AF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5A826F52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6CBDDDB5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6782B201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28064ADD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57FB8E26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1A161F64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7B0A94AC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3BB2AC50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2FFED48B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577AAAA9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6498DA59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40D3A9A4">
      <w:pPr>
        <w:rPr>
          <w:rFonts w:hint="default" w:ascii="Times New Roman" w:hAnsi="Times New Roman" w:cs="Times New Roman" w:eastAsiaTheme="majorEastAsia"/>
          <w:b/>
          <w:kern w:val="2"/>
          <w:sz w:val="21"/>
          <w:szCs w:val="21"/>
          <w:lang w:val="en-US" w:eastAsia="zh-CN" w:bidi="ar-SA"/>
        </w:rPr>
      </w:pPr>
    </w:p>
    <w:p w14:paraId="6B23201D">
      <w:pPr>
        <w:jc w:val="center"/>
        <w:rPr>
          <w:rFonts w:hint="default" w:ascii="Times New Roman" w:hAnsi="Times New Roman" w:cs="Times New Roman" w:eastAsiaTheme="majorEastAsia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cs="Times New Roman" w:eastAsiaTheme="majorEastAsia"/>
          <w:b/>
          <w:kern w:val="2"/>
          <w:sz w:val="28"/>
          <w:szCs w:val="28"/>
          <w:lang w:val="en-US" w:eastAsia="zh-CN" w:bidi="ar-SA"/>
        </w:rPr>
        <w:t>Analysis in elderly individuals (aged &gt; 60)</w:t>
      </w:r>
    </w:p>
    <w:p w14:paraId="242D4DF9">
      <w:pPr>
        <w:numPr>
          <w:ilvl w:val="0"/>
          <w:numId w:val="0"/>
        </w:numPr>
        <w:rPr>
          <w:rFonts w:hint="default" w:ascii="Times New Roman" w:hAnsi="Times New Roman" w:eastAsia="宋体" w:cs="Times New Roman"/>
          <w:i w:val="0"/>
          <w:iCs w:val="0"/>
          <w:caps w:val="0"/>
          <w:color w:val="242424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S2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Weighted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Multivariable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adjusted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model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s of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biomarkers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associated with the prevalence of hypertension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in elderly aged over 60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</w:p>
    <w:tbl>
      <w:tblPr>
        <w:tblStyle w:val="5"/>
        <w:tblW w:w="510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5"/>
        <w:gridCol w:w="3482"/>
        <w:gridCol w:w="1722"/>
      </w:tblGrid>
      <w:tr w14:paraId="50515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75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EB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2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D9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 xml:space="preserve">Model </w:t>
            </w:r>
          </w:p>
        </w:tc>
      </w:tr>
      <w:tr w14:paraId="6B249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7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C6B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17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OR (95%CI)</w:t>
            </w:r>
          </w:p>
        </w:tc>
        <w:tc>
          <w:tcPr>
            <w:tcW w:w="172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A0C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/>
                <w:color w:val="000000"/>
                <w:sz w:val="13"/>
                <w:szCs w:val="13"/>
                <w:u w:val="none"/>
                <w:lang w:val="en-US" w:eastAsia="zh-CN"/>
              </w:rPr>
              <w:t>value</w:t>
            </w:r>
          </w:p>
        </w:tc>
      </w:tr>
      <w:tr w14:paraId="777DA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325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Weight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208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1.0031495 (1.0021420 ~ 1.0041581)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C3C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7CC71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EDC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BMI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B12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</w:rPr>
              <w:t>1.0096718 (1.0066373 ~ 1.0127154)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69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2BADC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BCA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4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WC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EDA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1.0040912 (1.0027633 ~ 1.0054209)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D39E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3A765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A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WWI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EB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1.0598183 (1.0289556 ~ 1.0916068)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CA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2EC2D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3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 xml:space="preserve">WHtR 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AE8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1.9889759 (1.5957471 ~ 2.4791053)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12D2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5C837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1E6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TyG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 xml:space="preserve"> 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56B1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1.0639308 (1.0371157 ~ 1.0914393)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CC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12DA9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657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TyG-BMI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277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1.0010492 (1.0007408 ~ 1.0013577)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479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5C7AF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FD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WC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E525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1.0004059 (1.0002842 ~ 1.0005276)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258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22ADC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76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Weight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9ED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1.0003468 (1.0002451 ~ 1.0004486)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05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  <w:tr w14:paraId="0910C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FF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  <w:t>WHtR</w:t>
            </w:r>
          </w:p>
        </w:tc>
        <w:tc>
          <w:tcPr>
            <w:tcW w:w="348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5B61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3"/>
                <w:szCs w:val="13"/>
                <w:u w:val="none"/>
                <w:lang w:val="en-US" w:eastAsia="en-US" w:bidi="ar-SA"/>
              </w:rPr>
              <w:t>1.0706708 (1.0489782 ~ 1.0928121)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CD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3"/>
                <w:szCs w:val="13"/>
                <w:u w:val="none"/>
              </w:rPr>
              <w:t>&lt;.001</w:t>
            </w:r>
          </w:p>
        </w:tc>
      </w:tr>
    </w:tbl>
    <w:p w14:paraId="7D4F4A6C">
      <w:pPr>
        <w:jc w:val="both"/>
        <w:rPr>
          <w:rFonts w:hint="eastAsia" w:ascii="Times New Roman" w:hAnsi="Times New Roman" w:eastAsia="宋体" w:cs="Times New Roman"/>
          <w:b w:val="0"/>
          <w:i w:val="0"/>
          <w:color w:val="auto"/>
          <w:sz w:val="18"/>
          <w:szCs w:val="18"/>
          <w:u w:val="none"/>
          <w:lang w:val="en-US" w:eastAsia="zh-CN"/>
        </w:rPr>
      </w:pPr>
      <w:r>
        <w:rPr>
          <w:rFonts w:hint="default" w:ascii="Times New Roman" w:hAnsi="Times New Roman" w:eastAsia="Times New Roman" w:cs="Times New Roman"/>
          <w:b w:val="0"/>
          <w:i w:val="0"/>
          <w:color w:val="000000"/>
          <w:sz w:val="18"/>
          <w:szCs w:val="18"/>
          <w:u w:val="none"/>
        </w:rPr>
        <w:t>Model: Adjust: Gender, Age, Race, Ed</w:t>
      </w:r>
      <w:r>
        <w:rPr>
          <w:rFonts w:hint="default" w:ascii="Times New Roman" w:hAnsi="Times New Roman" w:eastAsia="Times New Roman" w:cs="Times New Roman"/>
          <w:b w:val="0"/>
          <w:i w:val="0"/>
          <w:color w:val="auto"/>
          <w:sz w:val="18"/>
          <w:szCs w:val="18"/>
          <w:u w:val="none"/>
        </w:rPr>
        <w:t xml:space="preserve">ucation, </w:t>
      </w:r>
      <w:r>
        <w:rPr>
          <w:rFonts w:hint="default" w:ascii="Times New Roman" w:hAnsi="Times New Roman" w:eastAsia="宋体" w:cs="Times New Roman"/>
          <w:b w:val="0"/>
          <w:i w:val="0"/>
          <w:color w:val="auto"/>
          <w:sz w:val="18"/>
          <w:szCs w:val="18"/>
          <w:u w:val="none"/>
          <w:lang w:val="en-US" w:eastAsia="zh-CN"/>
        </w:rPr>
        <w:t>M</w:t>
      </w:r>
      <w:r>
        <w:rPr>
          <w:rFonts w:hint="default" w:ascii="Times New Roman" w:hAnsi="Times New Roman" w:eastAsia="Times New Roman" w:cs="Times New Roman"/>
          <w:b w:val="0"/>
          <w:i w:val="0"/>
          <w:color w:val="auto"/>
          <w:sz w:val="18"/>
          <w:szCs w:val="18"/>
          <w:u w:val="none"/>
        </w:rPr>
        <w:t xml:space="preserve">arital status, </w:t>
      </w:r>
      <w:r>
        <w:rPr>
          <w:rFonts w:hint="eastAsia" w:ascii="Times New Roman" w:hAnsi="Times New Roman" w:eastAsia="宋体" w:cs="Times New Roman"/>
          <w:b w:val="0"/>
          <w:i w:val="0"/>
          <w:color w:val="auto"/>
          <w:sz w:val="18"/>
          <w:szCs w:val="18"/>
          <w:u w:val="none"/>
          <w:lang w:val="en-US" w:eastAsia="zh-CN"/>
        </w:rPr>
        <w:t>PIR</w:t>
      </w:r>
      <w:r>
        <w:rPr>
          <w:rFonts w:hint="default" w:ascii="Times New Roman" w:hAnsi="Times New Roman" w:eastAsia="Times New Roman" w:cs="Times New Roman"/>
          <w:b w:val="0"/>
          <w:i w:val="0"/>
          <w:color w:val="auto"/>
          <w:sz w:val="18"/>
          <w:szCs w:val="18"/>
          <w:u w:val="none"/>
        </w:rPr>
        <w:t>, Drink</w:t>
      </w:r>
      <w:r>
        <w:rPr>
          <w:rFonts w:hint="eastAsia" w:ascii="Times New Roman" w:hAnsi="Times New Roman" w:eastAsia="宋体" w:cs="Times New Roman"/>
          <w:b w:val="0"/>
          <w:i w:val="0"/>
          <w:color w:val="auto"/>
          <w:sz w:val="18"/>
          <w:szCs w:val="18"/>
          <w:u w:val="none"/>
          <w:lang w:val="en-US" w:eastAsia="zh-CN"/>
        </w:rPr>
        <w:t>ing</w:t>
      </w:r>
      <w:r>
        <w:rPr>
          <w:rFonts w:hint="default" w:ascii="Times New Roman" w:hAnsi="Times New Roman" w:eastAsia="Times New Roman" w:cs="Times New Roman"/>
          <w:b w:val="0"/>
          <w:i w:val="0"/>
          <w:color w:val="auto"/>
          <w:sz w:val="18"/>
          <w:szCs w:val="18"/>
          <w:u w:val="none"/>
        </w:rPr>
        <w:t xml:space="preserve">, Smoking, CHF, CHD, Diabetes, </w:t>
      </w:r>
      <w:r>
        <w:rPr>
          <w:rFonts w:hint="eastAsia" w:ascii="Times New Roman" w:hAnsi="Times New Roman" w:eastAsia="宋体" w:cs="Times New Roman"/>
          <w:b w:val="0"/>
          <w:i w:val="0"/>
          <w:color w:val="auto"/>
          <w:sz w:val="18"/>
          <w:szCs w:val="18"/>
          <w:u w:val="none"/>
          <w:lang w:val="en-US" w:eastAsia="zh-CN"/>
        </w:rPr>
        <w:t xml:space="preserve">Depression, Sedentary Activity, Serum </w:t>
      </w:r>
      <w:r>
        <w:rPr>
          <w:rFonts w:hint="default" w:ascii="Times New Roman" w:hAnsi="Times New Roman" w:eastAsia="Times New Roman" w:cs="Times New Roman"/>
          <w:b w:val="0"/>
          <w:i w:val="0"/>
          <w:color w:val="auto"/>
          <w:sz w:val="18"/>
          <w:szCs w:val="18"/>
          <w:u w:val="none"/>
        </w:rPr>
        <w:t>Sodium,</w:t>
      </w:r>
      <w:r>
        <w:rPr>
          <w:rFonts w:hint="eastAsia" w:ascii="Times New Roman" w:hAnsi="Times New Roman" w:eastAsia="宋体" w:cs="Times New Roman"/>
          <w:b w:val="0"/>
          <w:i w:val="0"/>
          <w:color w:val="auto"/>
          <w:sz w:val="18"/>
          <w:szCs w:val="1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i w:val="0"/>
          <w:color w:val="auto"/>
          <w:sz w:val="18"/>
          <w:szCs w:val="18"/>
          <w:u w:val="none"/>
        </w:rPr>
        <w:t>Potassium, Creatinine</w:t>
      </w:r>
      <w:r>
        <w:rPr>
          <w:rFonts w:hint="eastAsia" w:ascii="Times New Roman" w:hAnsi="Times New Roman" w:eastAsia="宋体" w:cs="Times New Roman"/>
          <w:b w:val="0"/>
          <w:i w:val="0"/>
          <w:color w:val="auto"/>
          <w:sz w:val="18"/>
          <w:szCs w:val="18"/>
          <w:u w:val="none"/>
          <w:lang w:val="en-US" w:eastAsia="zh-CN"/>
        </w:rPr>
        <w:t>, Sodium Intake, Potassium Intake.</w:t>
      </w:r>
    </w:p>
    <w:p w14:paraId="0D412E55">
      <w:pPr>
        <w:numPr>
          <w:ilvl w:val="0"/>
          <w:numId w:val="0"/>
        </w:numPr>
        <w:rPr>
          <w:rFonts w:hint="default" w:ascii="Times New Roman" w:hAnsi="Times New Roman" w:eastAsia="宋体" w:cs="Times New Roman"/>
          <w:i w:val="0"/>
          <w:iCs w:val="0"/>
          <w:caps w:val="0"/>
          <w:color w:val="242424"/>
          <w:spacing w:val="0"/>
          <w:sz w:val="22"/>
          <w:szCs w:val="22"/>
          <w:shd w:val="clear" w:fill="FFFFFF"/>
          <w:lang w:val="en-US" w:eastAsia="zh-CN"/>
        </w:rPr>
      </w:pPr>
    </w:p>
    <w:p w14:paraId="4C1B5683">
      <w:pPr>
        <w:numPr>
          <w:ilvl w:val="0"/>
          <w:numId w:val="0"/>
        </w:numPr>
        <w:rPr>
          <w:rFonts w:hint="default" w:ascii="Times New Roman" w:hAnsi="Times New Roman" w:eastAsia="宋体" w:cs="Times New Roman"/>
          <w:i w:val="0"/>
          <w:iCs w:val="0"/>
          <w:caps w:val="0"/>
          <w:color w:val="242424"/>
          <w:spacing w:val="0"/>
          <w:sz w:val="22"/>
          <w:szCs w:val="22"/>
          <w:shd w:val="clear" w:fill="FFFFFF"/>
          <w:lang w:val="en-US" w:eastAsia="zh-CN"/>
        </w:rPr>
      </w:pPr>
    </w:p>
    <w:p w14:paraId="6C4D348B">
      <w:pPr>
        <w:numPr>
          <w:ilvl w:val="0"/>
          <w:numId w:val="0"/>
        </w:numPr>
        <w:rPr>
          <w:rFonts w:hint="default" w:ascii="Times New Roman" w:hAnsi="Times New Roman" w:eastAsia="宋体" w:cs="Times New Roman"/>
          <w:i w:val="0"/>
          <w:iCs w:val="0"/>
          <w:caps w:val="0"/>
          <w:color w:val="242424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S3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ROC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curves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for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biomarkers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to improve the identification of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hypertension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in elderly aged over 60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736"/>
        <w:gridCol w:w="1736"/>
        <w:gridCol w:w="1736"/>
        <w:gridCol w:w="1736"/>
      </w:tblGrid>
      <w:tr w14:paraId="2CE9A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F52192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274A4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WWI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8BB5CA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WHtR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5A18D2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TyG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912000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TyG-WHtR</w:t>
            </w:r>
          </w:p>
        </w:tc>
      </w:tr>
      <w:tr w14:paraId="5CF26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3626A6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AUC (95%CI)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FEBD8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0.5692 </w:t>
            </w:r>
          </w:p>
          <w:p w14:paraId="2CB9167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(0.5495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~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0.5889)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EF89AC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0.5977 </w:t>
            </w:r>
          </w:p>
          <w:p w14:paraId="229EA22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(0.6660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~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0.6850)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C8FEAD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0.5527</w:t>
            </w:r>
          </w:p>
          <w:p w14:paraId="6C7F27A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(0.533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~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0.5724)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5A1826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0.5964</w:t>
            </w:r>
          </w:p>
          <w:p w14:paraId="105A951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(0.577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~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0.6157)</w:t>
            </w:r>
          </w:p>
        </w:tc>
      </w:tr>
      <w:tr w14:paraId="423E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2FC3A7D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for AUC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0E3FDC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627C6B2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319254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256225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</w:tr>
      <w:tr w14:paraId="7E35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389F0FF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 xml:space="preserve"> for comparison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7DC463E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11989F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0.7508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492D08E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61D72C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Reference</w:t>
            </w:r>
          </w:p>
        </w:tc>
      </w:tr>
      <w:tr w14:paraId="49FD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151D3A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NRI, Categorical</w:t>
            </w:r>
          </w:p>
          <w:p w14:paraId="4685B6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95%CI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518C3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-0.0213</w:t>
            </w:r>
          </w:p>
          <w:p w14:paraId="19F9DD5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(-0.0363 ~ -0.0063)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D458CE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0.001</w:t>
            </w:r>
          </w:p>
          <w:p w14:paraId="593327F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(-0.0107 ~ 0.0127)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2B25E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-0.0308</w:t>
            </w:r>
          </w:p>
          <w:p w14:paraId="0255186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(-0.0467 ~ -0.0148)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5D2C4D1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Reference</w:t>
            </w:r>
          </w:p>
        </w:tc>
      </w:tr>
      <w:tr w14:paraId="3955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762AF60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8"/>
                <w:szCs w:val="18"/>
                <w:u w:val="none"/>
              </w:rPr>
              <w:t>P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B7636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18"/>
                <w:szCs w:val="1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0.005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40C7E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0.86873 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E7000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18"/>
                <w:szCs w:val="1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 xml:space="preserve">0.00016 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227506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28CF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05E234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NRI, Continuous</w:t>
            </w:r>
          </w:p>
          <w:p w14:paraId="57882F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95%CI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A9B11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-0.1874</w:t>
            </w:r>
          </w:p>
          <w:p w14:paraId="5C8CD05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(-0.2556 ~-0.1192)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42ABE47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-0.0438</w:t>
            </w:r>
          </w:p>
          <w:p w14:paraId="3D6A670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(-0.1125 ~ 0.0248)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0B328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-0.2772</w:t>
            </w:r>
          </w:p>
          <w:p w14:paraId="52064CE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(-0.3447 ~ -0.2097)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E1A98A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Reference</w:t>
            </w:r>
          </w:p>
        </w:tc>
      </w:tr>
      <w:tr w14:paraId="1F20D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39A39BD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8"/>
                <w:szCs w:val="18"/>
                <w:u w:val="none"/>
              </w:rPr>
              <w:t>P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DB869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18"/>
                <w:szCs w:val="1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59DD9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0.21086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84739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18"/>
                <w:szCs w:val="1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58EBB40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4D9D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6C671542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IDI</w:t>
            </w:r>
          </w:p>
          <w:p w14:paraId="4054E8DA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95%CI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E435E8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-0.0087</w:t>
            </w:r>
          </w:p>
          <w:p w14:paraId="614221C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(-0.0112 ~ -0.0062)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28E336C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</w:t>
            </w:r>
          </w:p>
          <w:p w14:paraId="01E273E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(-0.0016 ~ 0.0015)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52425A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-0.0138</w:t>
            </w:r>
          </w:p>
          <w:p w14:paraId="43FAE3B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(-0.0167 ~ -0.011)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6B28401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Reference</w:t>
            </w:r>
          </w:p>
        </w:tc>
      </w:tr>
      <w:tr w14:paraId="0DCB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AB9B0F9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iCs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color w:val="000000"/>
                <w:sz w:val="18"/>
                <w:szCs w:val="18"/>
                <w:u w:val="none"/>
              </w:rPr>
              <w:t>P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7C87CB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18"/>
                <w:szCs w:val="1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9E7AD9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0.97183 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67911E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18"/>
                <w:szCs w:val="1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18"/>
                <w:szCs w:val="18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FB6051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</w:tbl>
    <w:p w14:paraId="5370C936">
      <w:pPr>
        <w:numPr>
          <w:ilvl w:val="0"/>
          <w:numId w:val="0"/>
        </w:numPr>
        <w:rPr>
          <w:rFonts w:hint="default" w:ascii="Times New Roman" w:hAnsi="Times New Roman" w:eastAsia="Segoe UI" w:cs="Times New Roman"/>
          <w:i w:val="0"/>
          <w:iCs w:val="0"/>
          <w:caps w:val="0"/>
          <w:color w:val="242424"/>
          <w:spacing w:val="0"/>
          <w:sz w:val="22"/>
          <w:szCs w:val="22"/>
          <w:shd w:val="clear" w:fill="FFFFFF"/>
        </w:rPr>
      </w:pPr>
    </w:p>
    <w:p w14:paraId="4BB59602">
      <w:pPr>
        <w:numPr>
          <w:ilvl w:val="0"/>
          <w:numId w:val="0"/>
        </w:numPr>
        <w:rPr>
          <w:rFonts w:hint="eastAsia" w:ascii="Times New Roman" w:hAnsi="Times New Roman" w:eastAsia="宋体" w:cs="Times New Roman"/>
          <w:i w:val="0"/>
          <w:iCs w:val="0"/>
          <w:caps w:val="0"/>
          <w:color w:val="242424"/>
          <w:spacing w:val="0"/>
          <w:sz w:val="22"/>
          <w:szCs w:val="22"/>
          <w:shd w:val="clear" w:fill="FFFFFF"/>
          <w:lang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42424"/>
          <w:spacing w:val="0"/>
          <w:sz w:val="22"/>
          <w:szCs w:val="22"/>
          <w:shd w:val="clear" w:fill="FFFFFF"/>
          <w:lang w:eastAsia="zh-CN"/>
        </w:rPr>
        <w:drawing>
          <wp:inline distT="0" distB="0" distL="114300" distR="114300">
            <wp:extent cx="5027930" cy="5027930"/>
            <wp:effectExtent l="0" t="0" r="1270" b="1270"/>
            <wp:docPr id="1" name="图片 1" descr="myplo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yplot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7930" cy="502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43FF4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1"/>
          <w:szCs w:val="21"/>
          <w:lang w:val="en-US" w:eastAsia="zh-CN" w:bidi="ar"/>
        </w:rPr>
        <w:t>Figure S2.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Comparison of ROC curves for WWI, WHtR, TyG, and TyG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WHtR in elderly individuals aged 60 and older. The results indicated no significant difference between WHtR and TyG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WHtR.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2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 w:tentative="1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611D4"/>
    <w:rsid w:val="0EB16245"/>
    <w:rsid w:val="110B729A"/>
    <w:rsid w:val="13801D86"/>
    <w:rsid w:val="157E0E4B"/>
    <w:rsid w:val="2850421C"/>
    <w:rsid w:val="2B115961"/>
    <w:rsid w:val="33CC2799"/>
    <w:rsid w:val="3BE24C47"/>
    <w:rsid w:val="42E067CA"/>
    <w:rsid w:val="45141A90"/>
    <w:rsid w:val="4D2B4DB6"/>
    <w:rsid w:val="62D8551C"/>
    <w:rsid w:val="7080408D"/>
    <w:rsid w:val="75793FD3"/>
    <w:rsid w:val="7E076DF2"/>
    <w:rsid w:val="7E8A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2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footer"/>
    <w:basedOn w:val="1"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385</Words>
  <Characters>2542</Characters>
  <Lines>0</Lines>
  <Paragraphs>0</Paragraphs>
  <TotalTime>81</TotalTime>
  <ScaleCrop>false</ScaleCrop>
  <LinksUpToDate>false</LinksUpToDate>
  <CharactersWithSpaces>2789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2025-04-18T15:15:10Z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eyJoZGlkIjoiNzlkMGMxM2U3NGJiMWE3OGQ0ZDIyN2QxYjc0M2VjNmUifQ==</vt:lpwstr>
  </property>
  <property fmtid="{D5CDD505-2E9C-101B-9397-08002B2CF9AE}" pid="4" name="ICV">
    <vt:lpwstr>61706B3EAD0241A1AD187E5C9B535FF0_12</vt:lpwstr>
  </property>
</Properties>
</file>