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4A897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</w:rPr>
        <w:t>Supplementary Materials</w:t>
      </w:r>
    </w:p>
    <w:p w14:paraId="0F84846C">
      <w:pPr>
        <w:spacing w:line="360" w:lineRule="auto"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Table S1</w:t>
      </w:r>
    </w:p>
    <w:tbl>
      <w:tblPr>
        <w:tblStyle w:val="4"/>
        <w:tblW w:w="96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2"/>
        <w:gridCol w:w="2087"/>
        <w:gridCol w:w="1819"/>
        <w:gridCol w:w="2135"/>
        <w:gridCol w:w="968"/>
      </w:tblGrid>
      <w:tr w14:paraId="3E7E1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1" w:type="dxa"/>
            <w:gridSpan w:val="5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8D5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>Supplementary Table S1 Baseline characteristics of patients stratified into Man group and Woman group</w:t>
            </w:r>
          </w:p>
        </w:tc>
      </w:tr>
      <w:tr w14:paraId="6ED5D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00D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208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BF9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Overall</w:t>
            </w:r>
          </w:p>
          <w:p w14:paraId="132FAE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 xml:space="preserve">N = 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>3941</w:t>
            </w:r>
          </w:p>
        </w:tc>
        <w:tc>
          <w:tcPr>
            <w:tcW w:w="181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BAF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Man</w:t>
            </w:r>
          </w:p>
          <w:p w14:paraId="1D8C5D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 xml:space="preserve">N = 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2671</w:t>
            </w:r>
          </w:p>
        </w:tc>
        <w:tc>
          <w:tcPr>
            <w:tcW w:w="213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1CB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Woman</w:t>
            </w:r>
          </w:p>
          <w:p w14:paraId="6D5134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 xml:space="preserve">N = 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1270</w:t>
            </w:r>
          </w:p>
        </w:tc>
        <w:tc>
          <w:tcPr>
            <w:tcW w:w="96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8DA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p-value</w:t>
            </w:r>
          </w:p>
        </w:tc>
      </w:tr>
      <w:tr w14:paraId="53DD8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DC5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TyG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 index</w:t>
            </w:r>
          </w:p>
        </w:tc>
        <w:tc>
          <w:tcPr>
            <w:tcW w:w="208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FA7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8.85 [8.38, 9.37]</w:t>
            </w:r>
          </w:p>
        </w:tc>
        <w:tc>
          <w:tcPr>
            <w:tcW w:w="181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080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8.82 [8.34, 9.33]</w:t>
            </w:r>
          </w:p>
        </w:tc>
        <w:tc>
          <w:tcPr>
            <w:tcW w:w="213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E2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8.92 [8.46, 9.46]</w:t>
            </w:r>
          </w:p>
        </w:tc>
        <w:tc>
          <w:tcPr>
            <w:tcW w:w="96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619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1768B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257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TyG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BMI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 index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1D9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216 [189, 240]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786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216 [188, 239]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C9F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218 [192, 242]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ECB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>0.028</w:t>
            </w:r>
          </w:p>
        </w:tc>
      </w:tr>
      <w:tr w14:paraId="7F514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16C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A83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66 [58, 73]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053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64 [57, 72]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B8E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68 [63, 75]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C2E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1A913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635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TG (mg/dl)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20B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137 [97, 202]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FDC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133 [95, 198]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6D2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144 [100, 210]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644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67E74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275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BMI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(kg/m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02C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23.9 [22.2, 25.8]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9D6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23.9 [22.2, 25.7]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58A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23.8 [22.1, 25.9]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869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0.945</w:t>
            </w:r>
          </w:p>
        </w:tc>
      </w:tr>
      <w:tr w14:paraId="788DB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07D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HbA1c (%)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49E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6.10 [5.70, 7.00]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D0F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6.10 [5.70, 6.90]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8DC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6.20 [5.80, 7.30]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DE2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402ED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EA3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Scr (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mg/dl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34F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0.9 [0.8, 1.1]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EBF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1.0 [0.9, 1.1]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06B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0.8 [0.6, 0.9]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6DA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61737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385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LDL-c (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mg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dl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328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104 [83, 127]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F5A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103 [82, 125]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2E6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105 [84, 128]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751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0.012</w:t>
            </w:r>
          </w:p>
        </w:tc>
      </w:tr>
      <w:tr w14:paraId="7FCD7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94B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HDL-c (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mg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dl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2B5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45 [38, 54]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787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43 [37, 52]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6E7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50 [42, 59]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BB3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56BCC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163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>PIV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D3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323 [192, 594]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815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359 [215, 677]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07B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258 [161, 455]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B43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4E109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5B1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SBP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2ED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130 [117, 143]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EB9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128 [116, 142]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00E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133 [119, 148]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BBD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7A348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388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DBP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5F3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78 [70, 86]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A78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78 [70, 86]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CC0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77 [69, 85]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1F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0.003</w:t>
            </w:r>
          </w:p>
        </w:tc>
      </w:tr>
      <w:tr w14:paraId="4C135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0A3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B25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2265 (57.5)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740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1419 (53.1)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BE2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846 (66.6)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F4E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2F25E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9AD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78F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1283 (32.6)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E28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799 (29.9)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718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484 (38.1)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84C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791B4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39F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Style w:val="7"/>
                <w:rFonts w:ascii="Times New Roman" w:hAnsi="Times New Roman" w:cs="Times New Roman"/>
                <w:b w:val="0"/>
                <w:color w:val="060607"/>
                <w:spacing w:val="4"/>
                <w:sz w:val="18"/>
                <w:szCs w:val="18"/>
                <w:shd w:val="clear" w:color="auto" w:fill="FFFFFF"/>
              </w:rPr>
            </w:pPr>
            <w:r>
              <w:rPr>
                <w:rStyle w:val="7"/>
                <w:rFonts w:hint="eastAsia" w:ascii="Times New Roman" w:hAnsi="Times New Roman" w:cs="Times New Roman"/>
                <w:b w:val="0"/>
                <w:color w:val="060607"/>
                <w:spacing w:val="4"/>
                <w:sz w:val="18"/>
                <w:szCs w:val="18"/>
                <w:shd w:val="clear" w:color="auto" w:fill="FFFFFF"/>
              </w:rPr>
              <w:t>CKD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FF3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1385 (35.1)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4B4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1014 (38.0)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D09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371 (29.2)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320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46A98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282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060607"/>
                <w:spacing w:val="4"/>
                <w:sz w:val="18"/>
                <w:szCs w:val="18"/>
                <w:shd w:val="clear" w:color="auto" w:fill="FFFFFF"/>
              </w:rPr>
              <w:t>Antihypertensive medications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D84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3626 (92.0)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1B1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2460 (92.1)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6B1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1166 (91.8)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3CD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0.754</w:t>
            </w:r>
          </w:p>
        </w:tc>
      </w:tr>
      <w:tr w14:paraId="260A5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09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060607"/>
                <w:spacing w:val="4"/>
                <w:sz w:val="18"/>
                <w:szCs w:val="18"/>
                <w:shd w:val="clear" w:color="auto" w:fill="FFFFFF"/>
              </w:rPr>
              <w:t>Antiplatelet medications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73E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3796 (96.3)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D0D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2595 (97.2)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B5F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1201 (94.6)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11F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1292F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474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060607"/>
                <w:spacing w:val="4"/>
                <w:sz w:val="18"/>
                <w:szCs w:val="18"/>
                <w:shd w:val="clear" w:color="auto" w:fill="FFFFFF"/>
              </w:rPr>
              <w:t>Hypolipidemic medications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443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1701 (43.2)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5D2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1099 (41.1)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182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602 (47.4)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B24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5E63E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0BA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060607"/>
                <w:spacing w:val="4"/>
                <w:sz w:val="18"/>
                <w:szCs w:val="18"/>
                <w:shd w:val="clear" w:color="auto" w:fill="FFFFFF"/>
              </w:rPr>
              <w:t>Insulin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B7F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575 (14.6)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5E6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358 (13.4)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A09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217 (17.1)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2D6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0.002</w:t>
            </w:r>
          </w:p>
        </w:tc>
      </w:tr>
      <w:tr w14:paraId="77A7E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8B2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060607"/>
                <w:spacing w:val="4"/>
                <w:sz w:val="18"/>
                <w:szCs w:val="18"/>
                <w:shd w:val="clear" w:color="auto" w:fill="FFFFFF"/>
              </w:rPr>
              <w:t>Non-insulin antidiabetic drugs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9F8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754 (19.1)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22A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452 (16.9)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3FF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302 (23.8)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516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06469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21B0B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beforeAutospacing="0" w:after="20" w:afterAutospacing="0"/>
              <w:ind w:left="20" w:leftChars="0" w:right="20" w:rightChars="0"/>
              <w:jc w:val="both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</w:pPr>
            <w:r>
              <w:rPr>
                <w:rStyle w:val="7"/>
                <w:rFonts w:hint="default" w:ascii="Cambria" w:hAnsi="Cambria" w:eastAsia="宋体" w:cs="Times New Roman"/>
                <w:b w:val="0"/>
                <w:bCs/>
                <w:color w:val="auto"/>
                <w:spacing w:val="4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Nicotine use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482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1127 (28.6)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1DF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1126 (42.2)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734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 (0.1)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C6C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07228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8D75F"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beforeAutospacing="0" w:after="20" w:afterAutospacing="0"/>
              <w:ind w:left="20" w:leftChars="0" w:right="20" w:rightChars="0"/>
              <w:jc w:val="both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Style w:val="7"/>
                <w:rFonts w:hint="default" w:ascii="Cambria" w:hAnsi="Cambria" w:eastAsia="宋体" w:cs="Times New Roman"/>
                <w:b w:val="0"/>
                <w:bCs/>
                <w:color w:val="auto"/>
                <w:spacing w:val="4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Alcohol consumption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B49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175 (4.4)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191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172 (6.4)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B59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3 (0.2)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AB3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19B8C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928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060607"/>
                <w:spacing w:val="4"/>
                <w:sz w:val="18"/>
                <w:szCs w:val="18"/>
                <w:shd w:val="clear" w:color="auto" w:fill="FFFFFF"/>
              </w:rPr>
              <w:t>Manual worker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A2B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722 (18.3)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A01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450 (16.8)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14F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272 (21.4)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89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&lt;0.001</w:t>
            </w:r>
          </w:p>
        </w:tc>
      </w:tr>
      <w:tr w14:paraId="40E93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8F4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060607"/>
                <w:spacing w:val="4"/>
                <w:sz w:val="18"/>
                <w:szCs w:val="18"/>
                <w:shd w:val="clear" w:color="auto" w:fill="FFFFFF"/>
              </w:rPr>
              <w:t>Married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B2C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3913 (99.3)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5A4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2653 (99.3)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EB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1260 (99.2)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E08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0.692</w:t>
            </w:r>
          </w:p>
        </w:tc>
      </w:tr>
      <w:tr w14:paraId="12529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DB1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everity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of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CAD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5B7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E94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DC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F44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>0.030</w:t>
            </w:r>
          </w:p>
        </w:tc>
      </w:tr>
      <w:tr w14:paraId="3241E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BAF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Single-vessel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EAA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1291 (32.8)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D32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845 (31.6)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61A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446 (35.1)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626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14:paraId="43E2B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45C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Multi-vessel</w:t>
            </w:r>
          </w:p>
        </w:tc>
        <w:tc>
          <w:tcPr>
            <w:tcW w:w="20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626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2650 (67.2)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11C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1826 (68.4)</w:t>
            </w:r>
          </w:p>
        </w:tc>
        <w:tc>
          <w:tcPr>
            <w:tcW w:w="21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DA5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>824 (64.9)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9B1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14:paraId="4C864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1" w:type="dxa"/>
            <w:gridSpan w:val="5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19E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360" w:lineRule="auto"/>
              <w:ind w:left="20" w:right="20"/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Continuous variables are presented as median [interquartile ranges], and categorical variables are presented as n (%)</w:t>
            </w:r>
            <w:r>
              <w:rPr>
                <w:rFonts w:hint="eastAsia"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TyG: Triglyceride-Glucose Index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TyG-BMI: Triglyceride-Glucose-BMI Index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GLU: Glucose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TG: Triglycerides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BMI: Body Mass Index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HbA1c: Glycated Hemoglobin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Scr: Serum Creatinine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LDL-c: Low-Density Lipoprotein Cholesterol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HDL-c: High-Density Lipoprotein Cholesterol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PIV: pan-immune-inflammation value; 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SBP: Systolic Blood Pressure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DBP: Diastolic Blood Pressure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18"/>
                <w:szCs w:val="18"/>
              </w:rPr>
              <w:t xml:space="preserve">CKD: Chronic Kidney Disease; </w:t>
            </w:r>
            <w:r>
              <w:rPr>
                <w:rFonts w:ascii="Times New Roman" w:hAnsi="Times New Roman" w:eastAsia="DejaVu Sans" w:cs="Times New Roman"/>
                <w:bCs/>
                <w:color w:val="000000"/>
                <w:sz w:val="18"/>
                <w:szCs w:val="18"/>
              </w:rPr>
              <w:t>CAD: Coronary Artery Disease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8"/>
                <w:szCs w:val="18"/>
              </w:rPr>
              <w:t>.</w:t>
            </w:r>
          </w:p>
        </w:tc>
      </w:tr>
    </w:tbl>
    <w:p w14:paraId="4551B933">
      <w:pPr>
        <w:spacing w:line="360" w:lineRule="auto"/>
        <w:rPr>
          <w:rFonts w:ascii="Times New Roman" w:hAnsi="Times New Roman" w:cs="Times New Roman"/>
          <w:szCs w:val="21"/>
        </w:rPr>
      </w:pPr>
    </w:p>
    <w:p w14:paraId="3ADB5A6D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Females exhibited a significantly higher TyG index (Triglyceride-Glucose Index) than males (median 8.92 vs. 8.82, p &lt; 0.001), along with elevated triglycerides (TG: 144 vs. 133 mg/dL, p &lt; 0.001), low-density lipoprotein cholesterol (LDL-c: 105 vs. 103 mg/dL, p = 0.012), and glycated hemoglobin (HbA1c: 6.20% vs. 6.10%, p &lt; 0.001). Conversely, females had superior high-density lipoprotein cholesterol (HDL-c: 50 vs. 43 mg/dL, p &lt; 0.001). Males demonstrated markedly higher systemic inflammation, reflected in the pan-immune-inflammation value (PIV: 359 vs. 258, p &lt; 0.001). Females were older (68 vs. 64 years, p &lt; 0.001), had higher systolic blood pressure (SBP: 133 vs. 128 mmHg, p &lt; 0.001), and lower diastolic blood pressure (DBP: 77 vs. 78 mmHg, p = 0.003). Hypertension (66.6% vs. 53.1%, p &lt; 0.001) and diabetes mellitus (38.1% vs. 29.9%, p &lt; 0.001) were more prevalent in females, while chronic kidney disease (CKD: 38.0% vs. 29.2%, p &lt; 0.001) was more common in males. Females had higher utilization rates of lipid-lowering agents (47.4% vs. 41.1%, p &lt; 0.001), insulin (17.1% vs. 13.4%, p = 0.002), and non-insulin antidiabetic drugs (23.8% vs. 16.9%, p &lt; 0.001). Males showed greater use of antiplatelet medications (97.2% vs. 94.6%, p &lt; 0.001). Substantial disparities existed in behavioral risks: males had significantly higher rates of nicotine dependence (42.2% vs. 0.1%, p &lt; 0.001) and alcohol dependence (6.4% vs. 0.2%, p &lt; 0.001). Females reported a higher proportion of manual labor occupations (21.4% vs. 16.8%, p &lt; 0.001). Females had a higher prevalence of single-vessel disease (35.1% vs. 31.6%), while multi-vessel disease was more frequent in males (68.4% vs. 64.9%, p = 0.030). No statistically significant differences were observed in body mass index (BMI: 23.9 vs. 23.8 kg/m², p = 0.945), antihypertensive medication utilization (92.1% vs. 91.8%, p = 0.754), or marital status (married: 99.3% vs. 99.2%, p = 0.692). The TyG-BMI index, though marginally higher in females (218 vs. 216), showed weaker statistical significance (p = 0.028). These findings highlight sex-specific cardiometabolic risk patterns, emphasizing the need for gender-tailored clinical management strategies in cardiovascular disease.</w:t>
      </w:r>
    </w:p>
    <w:p w14:paraId="0C28EC14">
      <w:pPr>
        <w:spacing w:line="360" w:lineRule="auto"/>
        <w:rPr>
          <w:rFonts w:ascii="Times New Roman" w:hAnsi="Times New Roman" w:cs="Times New Roman"/>
          <w:szCs w:val="21"/>
        </w:rPr>
      </w:pPr>
    </w:p>
    <w:p w14:paraId="18F584FF">
      <w:pPr>
        <w:spacing w:line="360" w:lineRule="auto"/>
        <w:rPr>
          <w:rFonts w:ascii="Times New Roman" w:hAnsi="Times New Roman" w:cs="Times New Roman"/>
          <w:szCs w:val="21"/>
        </w:rPr>
      </w:pPr>
    </w:p>
    <w:p w14:paraId="1DFBFA4A">
      <w:pPr>
        <w:spacing w:line="360" w:lineRule="auto"/>
        <w:rPr>
          <w:rFonts w:ascii="Times New Roman" w:hAnsi="Times New Roman" w:cs="Times New Roman"/>
          <w:szCs w:val="21"/>
        </w:rPr>
      </w:pPr>
    </w:p>
    <w:p w14:paraId="66BD9F94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Figure S2</w:t>
      </w:r>
    </w:p>
    <w:p w14:paraId="139FE189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Age-Sex Pyramid</w:t>
      </w:r>
      <w:r>
        <w:rPr>
          <w:rFonts w:hint="eastAsia" w:ascii="Times New Roman" w:hAnsi="Times New Roman" w:cs="Times New Roman"/>
          <w:szCs w:val="21"/>
        </w:rPr>
        <w:t xml:space="preserve"> in Whole Populations</w:t>
      </w:r>
    </w:p>
    <w:p w14:paraId="779C0667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114300" distR="114300">
            <wp:extent cx="3251835" cy="3264535"/>
            <wp:effectExtent l="0" t="0" r="5715" b="12065"/>
            <wp:docPr id="1" name="图片 1" descr="www_pyramid 男性与女性在不同年龄上的分布金字塔图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ww_pyramid 男性与女性在不同年龄上的分布金字塔图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51835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EA21E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Population Distribution</w:t>
      </w:r>
    </w:p>
    <w:p w14:paraId="418E26C0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The horizontal axis shows the population size. The vertical axis shows age groups. Light yellow is for males, and light blue is for females.</w:t>
      </w:r>
    </w:p>
    <w:p w14:paraId="05716307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Overall Trend</w:t>
      </w:r>
    </w:p>
    <w:p w14:paraId="69F0BDC3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The graph has a pyramid shape. The population is most significant in younger age groups and gets smaller in older age groups. This is a typical pattern in natural population structures, with more young and fewer older adults.</w:t>
      </w:r>
    </w:p>
    <w:p w14:paraId="53ACC0D9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Gender Differences</w:t>
      </w:r>
      <w:r>
        <w:rPr>
          <w:rFonts w:hint="eastAsia" w:ascii="Times New Roman" w:hAnsi="Times New Roman" w:cs="Times New Roman"/>
          <w:b/>
          <w:szCs w:val="21"/>
        </w:rPr>
        <w:t xml:space="preserve"> </w:t>
      </w:r>
    </w:p>
    <w:p w14:paraId="256F2AF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In younger age groups (20–50 years), the number of males is slightly higher than that of females. However, in middle-aged and elderly groups (over 50 years), the number of females is slightly higher than that of males. This might be because females tend to live longer on average.</w:t>
      </w:r>
    </w:p>
    <w:p w14:paraId="34CFE8F3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Specific Age Groups</w:t>
      </w:r>
    </w:p>
    <w:p w14:paraId="272873FE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Male and female populations are relatively small in the 20 - 30 age group. This could be due to population migration or specific sampling methods.</w:t>
      </w:r>
    </w:p>
    <w:p w14:paraId="55F6963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In the 40 - 60 age group, both male and female populations are relatively large, with the male population reaching its peak in this range.</w:t>
      </w:r>
    </w:p>
    <w:p w14:paraId="6FED85A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In age groups over 60 years, the female population gradually surpasses the male population, especially in those over 70 years old.</w:t>
      </w:r>
    </w:p>
    <w:p w14:paraId="062C86E6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753FE085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2E954CA6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30AA395F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0D67CCC7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6227AAE8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26D48476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41EA7836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5B12852F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708C468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507B46F8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245E7754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5714A62F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4E383CA7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5E7BBBDE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4BE30E63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60ABC487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389F63B5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55C0E979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64C9B52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2938609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72DEEB4E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6CF5F6BC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33077D9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416AB87E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3634860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1807771E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71717DEE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29F910F8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S3</w:t>
      </w:r>
    </w:p>
    <w:p w14:paraId="530CB729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Comparison of TyG-BMI, TyG Index, and BMI in Diagnostic Performance Across Genders and Significance Analysis</w:t>
      </w:r>
      <w:bookmarkStart w:id="0" w:name="_GoBack"/>
      <w:bookmarkEnd w:id="0"/>
    </w:p>
    <w:p w14:paraId="29DB7B29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TyG: Triglyceride-glucose; BMI：Body mass index; AUC: area under the curve; CI: confidence</w:t>
      </w:r>
    </w:p>
    <w:tbl>
      <w:tblPr>
        <w:tblStyle w:val="5"/>
        <w:tblW w:w="108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705"/>
        <w:gridCol w:w="1962"/>
        <w:gridCol w:w="240"/>
        <w:gridCol w:w="1213"/>
        <w:gridCol w:w="1664"/>
        <w:gridCol w:w="954"/>
        <w:gridCol w:w="996"/>
      </w:tblGrid>
      <w:tr w14:paraId="131E7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top w:val="single" w:color="auto" w:sz="12" w:space="0"/>
            </w:tcBorders>
            <w:vAlign w:val="center"/>
          </w:tcPr>
          <w:p w14:paraId="64109082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0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A84C967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AUC</w:t>
            </w:r>
          </w:p>
        </w:tc>
        <w:tc>
          <w:tcPr>
            <w:tcW w:w="1962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F702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95% CI</w:t>
            </w:r>
          </w:p>
        </w:tc>
        <w:tc>
          <w:tcPr>
            <w:tcW w:w="2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DED513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13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2450AF47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3614" w:type="dxa"/>
            <w:gridSpan w:val="3"/>
            <w:tcBorders>
              <w:top w:val="single" w:color="auto" w:sz="12" w:space="0"/>
            </w:tcBorders>
            <w:vAlign w:val="center"/>
          </w:tcPr>
          <w:p w14:paraId="4661058B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Optimal cut-off value</w:t>
            </w:r>
          </w:p>
        </w:tc>
      </w:tr>
      <w:tr w14:paraId="3B6B2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2093" w:type="dxa"/>
            <w:tcBorders>
              <w:bottom w:val="single" w:color="auto" w:sz="6" w:space="0"/>
            </w:tcBorders>
            <w:vAlign w:val="center"/>
          </w:tcPr>
          <w:p w14:paraId="137AFE4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3667" w:type="dxa"/>
            <w:gridSpan w:val="2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78C0C1">
            <w:pPr>
              <w:spacing w:line="360" w:lineRule="auto"/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Overall patients</w:t>
            </w:r>
          </w:p>
        </w:tc>
        <w:tc>
          <w:tcPr>
            <w:tcW w:w="2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3878E5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13" w:type="dxa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626CA4E7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TyG-BMI</w:t>
            </w:r>
          </w:p>
        </w:tc>
        <w:tc>
          <w:tcPr>
            <w:tcW w:w="1664" w:type="dxa"/>
            <w:tcBorders>
              <w:bottom w:val="single" w:color="auto" w:sz="6" w:space="0"/>
            </w:tcBorders>
            <w:vAlign w:val="center"/>
          </w:tcPr>
          <w:p w14:paraId="7CFF1113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Overall patients</w:t>
            </w:r>
          </w:p>
        </w:tc>
        <w:tc>
          <w:tcPr>
            <w:tcW w:w="954" w:type="dxa"/>
            <w:tcBorders>
              <w:bottom w:val="single" w:color="auto" w:sz="6" w:space="0"/>
            </w:tcBorders>
            <w:vAlign w:val="center"/>
          </w:tcPr>
          <w:p w14:paraId="603EF9F7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Woman</w:t>
            </w:r>
          </w:p>
        </w:tc>
        <w:tc>
          <w:tcPr>
            <w:tcW w:w="996" w:type="dxa"/>
            <w:tcBorders>
              <w:bottom w:val="single" w:color="auto" w:sz="6" w:space="0"/>
            </w:tcBorders>
            <w:vAlign w:val="center"/>
          </w:tcPr>
          <w:p w14:paraId="6B08608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Man</w:t>
            </w:r>
          </w:p>
        </w:tc>
      </w:tr>
      <w:tr w14:paraId="096C6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top w:val="single" w:color="auto" w:sz="6" w:space="0"/>
            </w:tcBorders>
            <w:vAlign w:val="center"/>
          </w:tcPr>
          <w:p w14:paraId="186A1B2C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TyG-BMI</w:t>
            </w:r>
          </w:p>
        </w:tc>
        <w:tc>
          <w:tcPr>
            <w:tcW w:w="1705" w:type="dxa"/>
            <w:tcBorders>
              <w:top w:val="single" w:color="auto" w:sz="6" w:space="0"/>
            </w:tcBorders>
            <w:vAlign w:val="center"/>
          </w:tcPr>
          <w:p w14:paraId="39A12E2B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0.647</w:t>
            </w:r>
          </w:p>
        </w:tc>
        <w:tc>
          <w:tcPr>
            <w:tcW w:w="1962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7774F08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0.629 - 0.665</w:t>
            </w:r>
          </w:p>
        </w:tc>
        <w:tc>
          <w:tcPr>
            <w:tcW w:w="2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C3C3AC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13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0DA7553C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664" w:type="dxa"/>
            <w:tcBorders>
              <w:top w:val="single" w:color="auto" w:sz="6" w:space="0"/>
            </w:tcBorders>
            <w:vAlign w:val="center"/>
          </w:tcPr>
          <w:p w14:paraId="677DA51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211</w:t>
            </w:r>
          </w:p>
        </w:tc>
        <w:tc>
          <w:tcPr>
            <w:tcW w:w="954" w:type="dxa"/>
            <w:tcBorders>
              <w:top w:val="single" w:color="auto" w:sz="6" w:space="0"/>
            </w:tcBorders>
            <w:vAlign w:val="center"/>
          </w:tcPr>
          <w:p w14:paraId="5A32D8A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212</w:t>
            </w:r>
          </w:p>
        </w:tc>
        <w:tc>
          <w:tcPr>
            <w:tcW w:w="996" w:type="dxa"/>
            <w:tcBorders>
              <w:top w:val="single" w:color="auto" w:sz="6" w:space="0"/>
            </w:tcBorders>
            <w:vAlign w:val="center"/>
          </w:tcPr>
          <w:p w14:paraId="6BADE66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212</w:t>
            </w:r>
          </w:p>
        </w:tc>
      </w:tr>
      <w:tr w14:paraId="623B5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vAlign w:val="center"/>
          </w:tcPr>
          <w:p w14:paraId="1F260D8B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TyG index</w:t>
            </w:r>
          </w:p>
        </w:tc>
        <w:tc>
          <w:tcPr>
            <w:tcW w:w="1705" w:type="dxa"/>
            <w:vAlign w:val="center"/>
          </w:tcPr>
          <w:p w14:paraId="11E24133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0.578</w:t>
            </w:r>
          </w:p>
        </w:tc>
        <w:tc>
          <w:tcPr>
            <w:tcW w:w="1962" w:type="dxa"/>
            <w:tcBorders>
              <w:right w:val="single" w:color="auto" w:sz="4" w:space="0"/>
            </w:tcBorders>
            <w:vAlign w:val="center"/>
          </w:tcPr>
          <w:p w14:paraId="2FEC01BE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0.557 - 0.595</w:t>
            </w:r>
          </w:p>
        </w:tc>
        <w:tc>
          <w:tcPr>
            <w:tcW w:w="2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C0BA30E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13" w:type="dxa"/>
            <w:tcBorders>
              <w:left w:val="single" w:color="auto" w:sz="4" w:space="0"/>
            </w:tcBorders>
            <w:vAlign w:val="center"/>
          </w:tcPr>
          <w:p w14:paraId="357AF913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Sensitivity</w:t>
            </w:r>
          </w:p>
        </w:tc>
        <w:tc>
          <w:tcPr>
            <w:tcW w:w="1664" w:type="dxa"/>
            <w:vAlign w:val="center"/>
          </w:tcPr>
          <w:p w14:paraId="49B20F17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65.4%</w:t>
            </w:r>
          </w:p>
        </w:tc>
        <w:tc>
          <w:tcPr>
            <w:tcW w:w="954" w:type="dxa"/>
            <w:vAlign w:val="center"/>
          </w:tcPr>
          <w:p w14:paraId="4EF9C03E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69.9%</w:t>
            </w:r>
          </w:p>
        </w:tc>
        <w:tc>
          <w:tcPr>
            <w:tcW w:w="996" w:type="dxa"/>
            <w:vAlign w:val="center"/>
          </w:tcPr>
          <w:p w14:paraId="5E50F10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62.9%</w:t>
            </w:r>
          </w:p>
        </w:tc>
      </w:tr>
      <w:tr w14:paraId="4E53D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bottom w:val="single" w:color="auto" w:sz="4" w:space="0"/>
            </w:tcBorders>
            <w:vAlign w:val="center"/>
          </w:tcPr>
          <w:p w14:paraId="1ACF6A6B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BMI</w:t>
            </w:r>
          </w:p>
        </w:tc>
        <w:tc>
          <w:tcPr>
            <w:tcW w:w="1705" w:type="dxa"/>
            <w:tcBorders>
              <w:bottom w:val="single" w:color="auto" w:sz="4" w:space="0"/>
            </w:tcBorders>
            <w:vAlign w:val="center"/>
          </w:tcPr>
          <w:p w14:paraId="22324BB0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0.633</w:t>
            </w:r>
          </w:p>
        </w:tc>
        <w:tc>
          <w:tcPr>
            <w:tcW w:w="196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8E56FB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0.615 - 0.651</w:t>
            </w:r>
          </w:p>
        </w:tc>
        <w:tc>
          <w:tcPr>
            <w:tcW w:w="2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5ABD64B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1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C48BF82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Specificity</w:t>
            </w:r>
          </w:p>
        </w:tc>
        <w:tc>
          <w:tcPr>
            <w:tcW w:w="1664" w:type="dxa"/>
            <w:tcBorders>
              <w:bottom w:val="single" w:color="auto" w:sz="4" w:space="0"/>
            </w:tcBorders>
            <w:vAlign w:val="center"/>
          </w:tcPr>
          <w:p w14:paraId="2DE7A3E9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62.0%</w:t>
            </w:r>
          </w:p>
        </w:tc>
        <w:tc>
          <w:tcPr>
            <w:tcW w:w="954" w:type="dxa"/>
            <w:tcBorders>
              <w:bottom w:val="single" w:color="auto" w:sz="4" w:space="0"/>
            </w:tcBorders>
            <w:vAlign w:val="center"/>
          </w:tcPr>
          <w:p w14:paraId="2A87F8A3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63.0%</w:t>
            </w:r>
          </w:p>
        </w:tc>
        <w:tc>
          <w:tcPr>
            <w:tcW w:w="996" w:type="dxa"/>
            <w:tcBorders>
              <w:bottom w:val="single" w:color="auto" w:sz="4" w:space="0"/>
            </w:tcBorders>
            <w:vAlign w:val="center"/>
          </w:tcPr>
          <w:p w14:paraId="3D5A5AA2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62.0%</w:t>
            </w:r>
          </w:p>
        </w:tc>
      </w:tr>
      <w:tr w14:paraId="3D19B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bottom w:val="single" w:color="auto" w:sz="12" w:space="0"/>
            </w:tcBorders>
            <w:vAlign w:val="center"/>
          </w:tcPr>
          <w:p w14:paraId="7FB41E3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airwise comparison</w:t>
            </w:r>
          </w:p>
        </w:tc>
        <w:tc>
          <w:tcPr>
            <w:tcW w:w="3667" w:type="dxa"/>
            <w:gridSpan w:val="2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3BF8075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DeLong test (AUC)</w:t>
            </w:r>
          </w:p>
          <w:p w14:paraId="353E42B0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TyG-BMI vs. TyG index P &lt;0.001</w:t>
            </w:r>
          </w:p>
          <w:p w14:paraId="3091289D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Tyg-BMI vs. BMI P =0.002</w:t>
            </w:r>
          </w:p>
        </w:tc>
        <w:tc>
          <w:tcPr>
            <w:tcW w:w="2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BCFDE3C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13" w:type="dxa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 w14:paraId="008D7D6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664" w:type="dxa"/>
            <w:tcBorders>
              <w:bottom w:val="single" w:color="auto" w:sz="12" w:space="0"/>
            </w:tcBorders>
            <w:vAlign w:val="center"/>
          </w:tcPr>
          <w:p w14:paraId="4F11084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54" w:type="dxa"/>
            <w:tcBorders>
              <w:bottom w:val="single" w:color="auto" w:sz="12" w:space="0"/>
            </w:tcBorders>
            <w:vAlign w:val="center"/>
          </w:tcPr>
          <w:p w14:paraId="5B774B2F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96" w:type="dxa"/>
            <w:tcBorders>
              <w:bottom w:val="single" w:color="auto" w:sz="12" w:space="0"/>
            </w:tcBorders>
            <w:vAlign w:val="center"/>
          </w:tcPr>
          <w:p w14:paraId="0A8C22A5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</w:tbl>
    <w:p w14:paraId="1F497976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60C56BB9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10C27978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0FBA9B3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04E1E77A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6979D9E8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02A98808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3CD439DA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34BC3AB6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342532C8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1219F442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08BC340A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37250F9E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23D4EBC7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3A6600C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76393ADE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0C944FA9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Figure S</w:t>
      </w:r>
      <w:r>
        <w:rPr>
          <w:rFonts w:hint="eastAsia" w:ascii="Times New Roman" w:hAnsi="Times New Roman" w:cs="Times New Roman"/>
          <w:b/>
          <w:bCs/>
          <w:szCs w:val="21"/>
        </w:rPr>
        <w:t>4</w:t>
      </w:r>
    </w:p>
    <w:p w14:paraId="30C0C75C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TyG-BMI: triglyceride-glucose-body mass index</w:t>
      </w:r>
    </w:p>
    <w:p w14:paraId="6EACDA67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CAD: coronary artery disease</w:t>
      </w:r>
    </w:p>
    <w:p w14:paraId="78439448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Figure</w:t>
      </w:r>
      <w:r>
        <w:rPr>
          <w:rFonts w:hint="eastAsia" w:ascii="Times New Roman" w:hAnsi="Times New Roman" w:cs="Times New Roman"/>
          <w:b/>
          <w:bCs/>
          <w:szCs w:val="21"/>
        </w:rPr>
        <w:t>4a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539C7987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The RCS of the TyG-BMI and the severity of CAD in Man Group</w:t>
      </w:r>
    </w:p>
    <w:p w14:paraId="34EF151F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114300" distR="114300">
            <wp:extent cx="3574415" cy="3195955"/>
            <wp:effectExtent l="0" t="0" r="6985" b="4445"/>
            <wp:docPr id="6" name="图片 6" descr="www_plot 男性组TYG-BMI与CAD的RCS图带转折点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www_plot 男性组TYG-BMI与CAD的RCS图带转折点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4415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A216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Figure S</w:t>
      </w:r>
      <w:r>
        <w:rPr>
          <w:rFonts w:hint="eastAsia" w:ascii="Times New Roman" w:hAnsi="Times New Roman" w:cs="Times New Roman"/>
          <w:b/>
          <w:bCs/>
          <w:szCs w:val="21"/>
        </w:rPr>
        <w:t>4b</w:t>
      </w:r>
    </w:p>
    <w:p w14:paraId="46AF34EB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The RCS of the TyG-BMI and the severity of CAD in Women </w:t>
      </w:r>
      <w:r>
        <w:rPr>
          <w:rFonts w:hint="eastAsia" w:ascii="Times New Roman" w:hAnsi="Times New Roman" w:cs="Times New Roman"/>
          <w:szCs w:val="21"/>
        </w:rPr>
        <w:t>G</w:t>
      </w:r>
      <w:r>
        <w:rPr>
          <w:rFonts w:ascii="Times New Roman" w:hAnsi="Times New Roman" w:cs="Times New Roman"/>
          <w:szCs w:val="21"/>
        </w:rPr>
        <w:t>roup</w:t>
      </w:r>
    </w:p>
    <w:p w14:paraId="4A8DFB6E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114300" distR="114300">
            <wp:extent cx="3583305" cy="3204210"/>
            <wp:effectExtent l="0" t="0" r="17145" b="15240"/>
            <wp:docPr id="7" name="图片 7" descr="www_plot 女性组TYG-BMI与CAD的RCS图带转折点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www_plot 女性组TYG-BMI与CAD的RCS图带转折点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83305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37F8E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Figure S</w:t>
      </w:r>
      <w:r>
        <w:rPr>
          <w:rFonts w:hint="eastAsia" w:ascii="Times New Roman" w:hAnsi="Times New Roman" w:cs="Times New Roman"/>
          <w:b/>
          <w:bCs/>
          <w:szCs w:val="21"/>
        </w:rPr>
        <w:t>5</w:t>
      </w:r>
    </w:p>
    <w:p w14:paraId="6F71473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TyG-BMI: triglyceride-glucose-body mass index</w:t>
      </w:r>
    </w:p>
    <w:p w14:paraId="67C5367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szCs w:val="21"/>
        </w:rPr>
        <w:t>CAD: coronary artery disease</w:t>
      </w:r>
    </w:p>
    <w:p w14:paraId="13C80D7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Figure S</w:t>
      </w:r>
      <w:r>
        <w:rPr>
          <w:rFonts w:hint="eastAsia" w:ascii="Times New Roman" w:hAnsi="Times New Roman" w:cs="Times New Roman"/>
          <w:b/>
          <w:bCs/>
          <w:szCs w:val="21"/>
        </w:rPr>
        <w:t>5</w:t>
      </w:r>
      <w:r>
        <w:rPr>
          <w:rFonts w:ascii="Times New Roman" w:hAnsi="Times New Roman" w:cs="Times New Roman"/>
          <w:b/>
          <w:bCs/>
          <w:szCs w:val="21"/>
        </w:rPr>
        <w:t>a</w:t>
      </w:r>
    </w:p>
    <w:p w14:paraId="7CBA3119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  <w:t>The</w:t>
      </w:r>
      <w:r>
        <w:rPr>
          <w:rFonts w:hint="eastAsia"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  <w:t xml:space="preserve"> RCS of</w:t>
      </w:r>
      <w:r>
        <w:rPr>
          <w:rFonts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  <w:t xml:space="preserve"> interaction between age and TyG-BMI </w:t>
      </w:r>
      <w:r>
        <w:rPr>
          <w:rFonts w:hint="eastAsia"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  <w:t xml:space="preserve">on the severity of CAD </w:t>
      </w:r>
      <w:r>
        <w:rPr>
          <w:rFonts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  <w:t>in Man Group</w:t>
      </w:r>
    </w:p>
    <w:p w14:paraId="0DFA913C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114300" distR="114300">
            <wp:extent cx="3834130" cy="3147695"/>
            <wp:effectExtent l="0" t="0" r="13970" b="14605"/>
            <wp:docPr id="8" name="图片 8" descr="www_plot 男性组TYG-BMI与年龄的交互作用_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www_plot 男性组TYG-BMI与年龄的交互作用_00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413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255B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Figure S</w:t>
      </w:r>
      <w:r>
        <w:rPr>
          <w:rFonts w:hint="eastAsia" w:ascii="Times New Roman" w:hAnsi="Times New Roman" w:cs="Times New Roman"/>
          <w:b/>
          <w:bCs/>
          <w:szCs w:val="21"/>
        </w:rPr>
        <w:t>5</w:t>
      </w:r>
      <w:r>
        <w:rPr>
          <w:rFonts w:ascii="Times New Roman" w:hAnsi="Times New Roman" w:cs="Times New Roman"/>
          <w:b/>
          <w:bCs/>
          <w:szCs w:val="21"/>
        </w:rPr>
        <w:t>b</w:t>
      </w:r>
    </w:p>
    <w:p w14:paraId="4EBFC3D8">
      <w:pPr>
        <w:spacing w:line="360" w:lineRule="auto"/>
        <w:rPr>
          <w:rFonts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</w:pPr>
      <w:r>
        <w:rPr>
          <w:rFonts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  <w:t>The</w:t>
      </w:r>
      <w:r>
        <w:rPr>
          <w:rFonts w:hint="eastAsia"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  <w:t xml:space="preserve"> RCS results of</w:t>
      </w:r>
      <w:r>
        <w:rPr>
          <w:rFonts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  <w:t xml:space="preserve"> interaction between age and TyG-BMI in </w:t>
      </w:r>
      <w:r>
        <w:rPr>
          <w:rFonts w:hint="eastAsia"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  <w:t>Woman</w:t>
      </w:r>
      <w:r>
        <w:rPr>
          <w:rFonts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  <w:t>G</w:t>
      </w:r>
      <w:r>
        <w:rPr>
          <w:rFonts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  <w:t>roup</w:t>
      </w:r>
    </w:p>
    <w:p w14:paraId="2DC9184D">
      <w:pPr>
        <w:spacing w:line="360" w:lineRule="auto"/>
        <w:rPr>
          <w:rFonts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</w:pPr>
      <w:r>
        <w:rPr>
          <w:rFonts w:hint="eastAsia"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bidi="ar"/>
        </w:rPr>
        <w:drawing>
          <wp:inline distT="0" distB="0" distL="114300" distR="114300">
            <wp:extent cx="3902075" cy="3204210"/>
            <wp:effectExtent l="0" t="0" r="3175" b="15240"/>
            <wp:docPr id="9" name="图片 9" descr="www_plot 女性组 TYG-BMI与年龄的交互作用_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www_plot 女性组 TYG-BMI与年龄的交互作用_00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2075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xtDS2NDQyNLO0MDNR0lEKTi0uzszPAykwqgUAKzcw3iwAAAA="/>
  </w:docVars>
  <w:rsids>
    <w:rsidRoot w:val="00943B44"/>
    <w:rsid w:val="000A2C21"/>
    <w:rsid w:val="000E7965"/>
    <w:rsid w:val="00274495"/>
    <w:rsid w:val="002D368A"/>
    <w:rsid w:val="00375D92"/>
    <w:rsid w:val="00390074"/>
    <w:rsid w:val="003B56B4"/>
    <w:rsid w:val="004B669A"/>
    <w:rsid w:val="006B25A8"/>
    <w:rsid w:val="0075231A"/>
    <w:rsid w:val="00797520"/>
    <w:rsid w:val="00826786"/>
    <w:rsid w:val="00847B16"/>
    <w:rsid w:val="00943B44"/>
    <w:rsid w:val="00A170DA"/>
    <w:rsid w:val="00BE4194"/>
    <w:rsid w:val="00CE172A"/>
    <w:rsid w:val="00ED5D5E"/>
    <w:rsid w:val="00F601CE"/>
    <w:rsid w:val="00F801F6"/>
    <w:rsid w:val="0171129A"/>
    <w:rsid w:val="04A85BDA"/>
    <w:rsid w:val="05131813"/>
    <w:rsid w:val="097E27B5"/>
    <w:rsid w:val="0DD77309"/>
    <w:rsid w:val="13837718"/>
    <w:rsid w:val="15924AC4"/>
    <w:rsid w:val="187E3798"/>
    <w:rsid w:val="1A206975"/>
    <w:rsid w:val="35F42D38"/>
    <w:rsid w:val="36E64FE4"/>
    <w:rsid w:val="388B1C39"/>
    <w:rsid w:val="3A023108"/>
    <w:rsid w:val="3B9A612F"/>
    <w:rsid w:val="408D183C"/>
    <w:rsid w:val="45274C30"/>
    <w:rsid w:val="4A26021E"/>
    <w:rsid w:val="4C3237CD"/>
    <w:rsid w:val="4EE51310"/>
    <w:rsid w:val="5C595B28"/>
    <w:rsid w:val="67EC1211"/>
    <w:rsid w:val="6A5A06B4"/>
    <w:rsid w:val="769907B6"/>
    <w:rsid w:val="7E747B3F"/>
    <w:rsid w:val="7EF9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945</Words>
  <Characters>5103</Characters>
  <Lines>49</Lines>
  <Paragraphs>13</Paragraphs>
  <TotalTime>84</TotalTime>
  <ScaleCrop>false</ScaleCrop>
  <LinksUpToDate>false</LinksUpToDate>
  <CharactersWithSpaces>5881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2025-03-31T04:26:00Z</dcterms:created>
  <dc:creator>Administrator</dc:creator>
  <cp:lastModifiedBy>鰜</cp:lastModifiedBy>
  <dcterms:modified xsi:type="dcterms:W3CDTF">2025-06-12T03:29:14Z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eyJoZGlkIjoiZjI3MTJjZWQ0NjUzOGI4NGJjMzA4NzE4NzFlYzY5MjkiLCJ1c2VySWQiOiIzMjQxODc5NzAifQ==</vt:lpwstr>
  </property>
  <property fmtid="{D5CDD505-2E9C-101B-9397-08002B2CF9AE}" pid="4" name="ICV">
    <vt:lpwstr>8127B389A8314BFE9B90ED12151D9B32_12</vt:lpwstr>
  </property>
</Properties>
</file>