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593"/>
        <w:tblW w:w="11199" w:type="dxa"/>
        <w:tblLayout w:type="fixed"/>
        <w:tblLook w:val="04A0" w:firstRow="1" w:lastRow="0" w:firstColumn="1" w:lastColumn="0" w:noHBand="0" w:noVBand="1"/>
      </w:tblPr>
      <w:tblGrid>
        <w:gridCol w:w="3846"/>
        <w:gridCol w:w="901"/>
        <w:gridCol w:w="1602"/>
        <w:gridCol w:w="1277"/>
        <w:gridCol w:w="1305"/>
        <w:gridCol w:w="1275"/>
        <w:gridCol w:w="993"/>
      </w:tblGrid>
      <w:tr w:rsidR="008507BE" w14:paraId="59C8F56E" w14:textId="77777777">
        <w:trPr>
          <w:trHeight w:hRule="exact" w:val="338"/>
        </w:trPr>
        <w:tc>
          <w:tcPr>
            <w:tcW w:w="11199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0A5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0"/>
                <w:szCs w:val="20"/>
              </w:rPr>
              <w:t>Table S1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Association Between the IMH Risk Score and MACEs: Univariate and Multivariate Logistic Regression Analysis</w:t>
            </w:r>
          </w:p>
        </w:tc>
      </w:tr>
      <w:tr w:rsidR="008507BE" w14:paraId="59867BD6" w14:textId="77777777">
        <w:trPr>
          <w:trHeight w:hRule="exact" w:val="338"/>
        </w:trPr>
        <w:tc>
          <w:tcPr>
            <w:tcW w:w="384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7C70B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D5B6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Univariate Logistic Regression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A82B0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Multivariate Logistic Regression</w:t>
            </w:r>
          </w:p>
        </w:tc>
      </w:tr>
      <w:tr w:rsidR="008507BE" w14:paraId="0BD5138F" w14:textId="77777777">
        <w:trPr>
          <w:trHeight w:hRule="exact" w:val="338"/>
        </w:trPr>
        <w:tc>
          <w:tcPr>
            <w:tcW w:w="38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499C9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9B44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5717E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3D1DF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B42C4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148B6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3574F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8507BE" w14:paraId="33926086" w14:textId="77777777">
        <w:trPr>
          <w:trHeight w:hRule="exact" w:val="397"/>
        </w:trPr>
        <w:tc>
          <w:tcPr>
            <w:tcW w:w="3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C07A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0" w:name="_Hlk129087764"/>
            <w:bookmarkStart w:id="1" w:name="_Hlk131760475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F509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808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0.99-1.05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A6BB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4B2A12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DCF09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06BD2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61B645D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DBDB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4B2F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23CC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0.41-1.48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2FEC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F9A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557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ABC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4B32E571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6008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006F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871E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0.98-1.03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7410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D57732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E97A6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0AB0F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905967B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FC5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4D3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BB5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0.95-1.04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9739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53AE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AD33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E4BF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D87654F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AAC4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0C19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0945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0.93-1.41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8254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739D8F3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44ADC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CC954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4E584F8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817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*CKMB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45B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39A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0.75-1.11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C69A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6EED98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1CEFE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2C708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A4B356B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AF21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*CRP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6279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9670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0.88-1.42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5B7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988433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865E4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DCB65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D7EB934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D043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LDL-C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8851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73AB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1-1.16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891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E394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7318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0.99-1.16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4DE3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0.139 </w:t>
            </w:r>
          </w:p>
        </w:tc>
      </w:tr>
      <w:tr w:rsidR="008507BE" w14:paraId="03AFF042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3E11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5FF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318F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0.97-1.01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2482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D15CB1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1C240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9F7DF4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02D1F05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0B5B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Beta-blocker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73D7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C2D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0.55-10.4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80D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86F6DF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D9DA9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A2DE0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ABC7069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BC02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ACEI/ARB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89BD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A65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0.66-3.37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CBDD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00B5BA3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C74C1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BED9F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FB7A2C3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2EE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Heart rate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14E0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C256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3FB1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9B3B7C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9E501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746E4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678DCC37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BEE2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Killip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1E4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1D4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0.67-10.85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0F0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607B5E2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D7143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2F885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EA63269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41A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Mutivessel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4990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FCC8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0.88-3.37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6443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3EB3BE6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9C801D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EB9454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FF222EA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9C1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Thrombus Aspiration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9162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4341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0.59-3.48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CA6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475A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3911D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2FDD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72E92DC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228D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LCX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4FAD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91D2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0.77-3.84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FF00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72ED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D4EF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B378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D4C882A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4C0B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RCA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E83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5BD7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0.24-1.21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1C53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779B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434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6F68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1AEA325" w14:textId="77777777">
        <w:trPr>
          <w:trHeight w:hRule="exact" w:val="397"/>
        </w:trPr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0750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IMH Risk score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7134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14.30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B039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4.95-41.35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A5F40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8E81A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12.79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110C2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4.39-38.05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D2E1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7BE" w14:paraId="23348D26" w14:textId="77777777">
        <w:trPr>
          <w:trHeight w:hRule="exact" w:val="2001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B5741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*Variables were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first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transformed to their natural logarithm (ln) values for comparability. Abbreviations: IMH, intramyocardial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hemorrhage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; MACEs, major adverse cardiovascular events; SBP, systolic blood pressure; DBP, diastolic blood pressure;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IRA, infarction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related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artery; LAD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left anterior descending; LCX, left circumflex; RCA, right coronary artery; ACEI/ARB, angiotensin-converting enzyme inhibitors/angiotensin receptor blockers; 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cardiac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troponin T; CKMB, creatine kinase-MB; CRP, C-reactive protein; LDL-C, low-density lipoprotein cholesterol;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SCr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serum creatinine; LVEF, left ventricular ejection fraction;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caIMR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, coronary angiography-derived index of microcirculatory resistance.</w:t>
            </w:r>
          </w:p>
        </w:tc>
      </w:tr>
    </w:tbl>
    <w:bookmarkEnd w:id="0"/>
    <w:bookmarkEnd w:id="1"/>
    <w:p w14:paraId="3217B403" w14:textId="77777777" w:rsidR="008507BE" w:rsidRDefault="00000000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Figures and Tables</w:t>
      </w:r>
    </w:p>
    <w:p w14:paraId="52619C53" w14:textId="77777777" w:rsidR="008507BE" w:rsidRDefault="008507BE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</w:p>
    <w:p w14:paraId="05B6EFB4" w14:textId="77777777" w:rsidR="008507BE" w:rsidRDefault="008507BE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</w:p>
    <w:p w14:paraId="56166DCF" w14:textId="77777777" w:rsidR="008507BE" w:rsidRDefault="008507BE">
      <w:pPr>
        <w:rPr>
          <w:rFonts w:ascii="Arial" w:hAnsi="Arial" w:cs="Arial"/>
        </w:rPr>
      </w:pPr>
    </w:p>
    <w:p w14:paraId="357F787D" w14:textId="77777777" w:rsidR="008507BE" w:rsidRDefault="000000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3E40A" wp14:editId="04E022E9">
                <wp:simplePos x="0" y="0"/>
                <wp:positionH relativeFrom="column">
                  <wp:posOffset>-1065530</wp:posOffset>
                </wp:positionH>
                <wp:positionV relativeFrom="paragraph">
                  <wp:posOffset>5177790</wp:posOffset>
                </wp:positionV>
                <wp:extent cx="6980555" cy="605155"/>
                <wp:effectExtent l="4445" t="4445" r="10160" b="57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205" y="888365"/>
                          <a:ext cx="6980555" cy="60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087B1" w14:textId="77777777" w:rsidR="008507BE" w:rsidRDefault="0000000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Style w:val="ad"/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t xml:space="preserve">Supplementary Table </w:t>
                            </w:r>
                            <w:proofErr w:type="gramStart"/>
                            <w:r>
                              <w:rPr>
                                <w:rStyle w:val="ad"/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Style w:val="ad"/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t>Association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t xml:space="preserve"> Between the IMH Risk Score and 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</w:rPr>
                              <w:t>MACE</w:t>
                            </w:r>
                            <w:r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t>: Univariate and Multivariate Logistic Regression</w:t>
                            </w:r>
                            <w:r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D3E40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83.9pt;margin-top:407.7pt;width:549.65pt;height:4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Pd5cAIAAE8FAAAOAAAAZHJzL2Uyb0RvYy54bWysVMFu2zAMvQ/YPwi6L3bSOk2DOEXWIsOA&#10;YC3WDTsrstQIlUVNUmJnX19KdtJk26XDLjJlko/kE8nZTVtrshPOKzAlHQ5ySoThUCnzVNLv35Yf&#10;JpT4wEzFNBhR0r3w9Gb+/t2ssVMxgg3oSjiCIMZPG1vSTQh2mmWeb0TN/ACsMKiU4GoW8Oqessqx&#10;BtFrnY3yfJw14CrrgAvv8e9dp6TzhC+l4OFeSi8C0SXF3EI6XTrX8czmMzZ9csxuFO/TYP+QRc2U&#10;waBHqDsWGNk69QdUrbgDDzIMONQZSKm4SDVgNcP8t2oeN8yKVAuS4+2RJv//YPmX3aN9cCS0H6HF&#10;B4yENNZPPf6M9bTS1fGLmRLUX1zlo7ygZF/SyWRyMS46AkUbCEf1+HqSFwXqORqM82KIMgJmrzjW&#10;+fBJQE2iUFKHD5R4Y7uVD53pwSSG9aBVtVRap0tsCnGrHdkxfE4dUrYIfmalDWkw+EWRJ+AzXYQ+&#10;+q814899eidWiKcN5vzKQpLCXouYhDZfhSSqwmr7AOdZMc6FOWaWrKObxBre4tjbR1eR2vgtzkeP&#10;FBlMODrXyoDreDlPu3o+kCk7+wMDXd2RgtCu27471lDtsWkcdPPkLV8qpHbFfHhgDgcIRw2XQrjH&#10;Q2rA94BeomQD7tff/kd77GvUUtLgQJbU/9wyJyjRnw12/PXw8jJOcLpcFlcjvLhTzfpUY7b1LWCT&#10;DHH9WJ7EaB/0QZQO6h+4OxYxKqqY4Ri7pOEg3oZuTeDu4WKxSEY4s5aFlXm0PEJHeg0stgGkSs0b&#10;aeq46enDqU3t32+YuBZO78nqdQ/OXwAAAP//AwBQSwMEFAAGAAgAAAAhABQZT4LgAAAADAEAAA8A&#10;AABkcnMvZG93bnJldi54bWxMj8FOwzAQRO9I/IO1SNxax0DbNMSpALVcOFEQZzd27Yh4HdluGv6e&#10;7QluO9rRzJt6M/mejSamLqAEMS+AGWyD7tBK+PzYzUpgKSvUqg9oJPyYBJvm+qpWlQ5nfDfjPltG&#10;IZgqJcHlPFScp9YZr9I8DAbpdwzRq0wyWq6jOlO47/ldUSy5Vx1Sg1ODeXGm/d6fvITts13btlTR&#10;bUvddeP0dXyzr1Le3kxPj8CymfKfGS74hA4NMR3CCXVivYSZWK6IPUsoxeIBGFnW92IB7ECHKFbA&#10;m5r/H9H8AgAA//8DAFBLAQItABQABgAIAAAAIQC2gziS/gAAAOEBAAATAAAAAAAAAAAAAAAAAAAA&#10;AABbQ29udGVudF9UeXBlc10ueG1sUEsBAi0AFAAGAAgAAAAhADj9If/WAAAAlAEAAAsAAAAAAAAA&#10;AAAAAAAALwEAAF9yZWxzLy5yZWxzUEsBAi0AFAAGAAgAAAAhAPqE93lwAgAATwUAAA4AAAAAAAAA&#10;AAAAAAAALgIAAGRycy9lMm9Eb2MueG1sUEsBAi0AFAAGAAgAAAAhABQZT4LgAAAADAEAAA8AAAAA&#10;AAAAAAAAAAAAygQAAGRycy9kb3ducmV2LnhtbFBLBQYAAAAABAAEAPMAAADXBQAAAAA=&#10;" fillcolor="white [3201]" strokeweight=".5pt">
                <v:textbox>
                  <w:txbxContent>
                    <w:p w14:paraId="305087B1" w14:textId="77777777" w:rsidR="008507BE" w:rsidRDefault="00000000">
                      <w:pPr>
                        <w:rPr>
                          <w:rFonts w:hint="eastAsia"/>
                        </w:rPr>
                      </w:pPr>
                      <w:r>
                        <w:rPr>
                          <w:rStyle w:val="ad"/>
                          <w:rFonts w:ascii="宋体" w:eastAsia="宋体" w:hAnsi="宋体" w:cs="宋体"/>
                          <w:sz w:val="24"/>
                          <w:szCs w:val="24"/>
                        </w:rPr>
                        <w:t xml:space="preserve">Supplementary Table </w:t>
                      </w:r>
                      <w:proofErr w:type="gramStart"/>
                      <w:r>
                        <w:rPr>
                          <w:rStyle w:val="ad"/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Style w:val="ad"/>
                          <w:rFonts w:ascii="宋体" w:eastAsia="宋体" w:hAnsi="宋体" w:cs="宋体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Association</w:t>
                      </w:r>
                      <w:proofErr w:type="gramEnd"/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 xml:space="preserve"> Between the IMH Risk Score and </w:t>
                      </w: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</w:rPr>
                        <w:t>MACE</w:t>
                      </w: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: Univariate and Multivariate Logistic Regression</w:t>
                      </w: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br w:type="page"/>
      </w:r>
    </w:p>
    <w:p w14:paraId="763E2887" w14:textId="77777777" w:rsidR="008507BE" w:rsidRDefault="008507BE">
      <w:pPr>
        <w:widowControl/>
        <w:jc w:val="left"/>
        <w:rPr>
          <w:rFonts w:ascii="Arial" w:hAnsi="Arial" w:cs="Arial"/>
        </w:rPr>
      </w:pPr>
    </w:p>
    <w:p w14:paraId="49A5AA12" w14:textId="77777777" w:rsidR="008507BE" w:rsidRDefault="008507BE">
      <w:pPr>
        <w:widowControl/>
        <w:jc w:val="left"/>
        <w:rPr>
          <w:rFonts w:ascii="Arial" w:hAnsi="Arial" w:cs="Arial"/>
        </w:rPr>
      </w:pPr>
    </w:p>
    <w:p w14:paraId="737A4516" w14:textId="77777777" w:rsidR="008507BE" w:rsidRDefault="008507BE">
      <w:pPr>
        <w:widowControl/>
        <w:jc w:val="left"/>
        <w:rPr>
          <w:rFonts w:ascii="Arial" w:hAnsi="Arial" w:cs="Arial"/>
        </w:rPr>
      </w:pPr>
    </w:p>
    <w:tbl>
      <w:tblPr>
        <w:tblpPr w:leftFromText="180" w:rightFromText="180" w:vertAnchor="page" w:horzAnchor="page" w:tblpX="301" w:tblpY="2030"/>
        <w:tblW w:w="11199" w:type="dxa"/>
        <w:tblLayout w:type="fixed"/>
        <w:tblLook w:val="04A0" w:firstRow="1" w:lastRow="0" w:firstColumn="1" w:lastColumn="0" w:noHBand="0" w:noVBand="1"/>
      </w:tblPr>
      <w:tblGrid>
        <w:gridCol w:w="3846"/>
        <w:gridCol w:w="901"/>
        <w:gridCol w:w="1602"/>
        <w:gridCol w:w="1277"/>
        <w:gridCol w:w="1305"/>
        <w:gridCol w:w="1275"/>
        <w:gridCol w:w="993"/>
      </w:tblGrid>
      <w:tr w:rsidR="008507BE" w14:paraId="41FD69BE" w14:textId="77777777">
        <w:trPr>
          <w:trHeight w:hRule="exact" w:val="338"/>
        </w:trPr>
        <w:tc>
          <w:tcPr>
            <w:tcW w:w="11199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940F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0"/>
                <w:szCs w:val="20"/>
              </w:rPr>
              <w:t>Table S2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9"/>
                <w:szCs w:val="19"/>
              </w:rPr>
              <w:t>Association Between the IMH Risk Score and in-hospital HF: Univariate and Multivariate Logistic Regression Analysis</w:t>
            </w:r>
          </w:p>
        </w:tc>
      </w:tr>
      <w:tr w:rsidR="008507BE" w14:paraId="460D1B4E" w14:textId="77777777">
        <w:trPr>
          <w:trHeight w:hRule="exact" w:val="338"/>
        </w:trPr>
        <w:tc>
          <w:tcPr>
            <w:tcW w:w="38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CE721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BD4E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Univariate Logistic Regression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23F8C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Multivariate Logistic Regression</w:t>
            </w:r>
          </w:p>
        </w:tc>
      </w:tr>
      <w:tr w:rsidR="008507BE" w14:paraId="709B3A99" w14:textId="77777777">
        <w:trPr>
          <w:trHeight w:hRule="exact" w:val="338"/>
        </w:trPr>
        <w:tc>
          <w:tcPr>
            <w:tcW w:w="38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DD4DC8" w14:textId="77777777" w:rsidR="008507BE" w:rsidRDefault="008507BE">
            <w:pPr>
              <w:pStyle w:val="TableCaption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DF8AD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OR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39EAFA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95%CI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84266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P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182B21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3B764A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35E4E7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  <w:t>P</w:t>
            </w:r>
          </w:p>
        </w:tc>
      </w:tr>
      <w:tr w:rsidR="008507BE" w14:paraId="4F5A9A1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3E0C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894F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A67D3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1.01-1.05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DF879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20650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8E210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1.02-1.07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53FBB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&lt;0.001</w:t>
            </w:r>
          </w:p>
        </w:tc>
      </w:tr>
      <w:tr w:rsidR="008507BE" w14:paraId="74E1BE18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61DD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30DB4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19B5E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0.78-1.97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22B0F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AA3FC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C39B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9C89B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36B8CF40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699C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53E7B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AC576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0.98-1.01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5EBFF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7AB9550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8C0BB0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A90885" w14:textId="77777777" w:rsidR="008507BE" w:rsidRDefault="008507BE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6ED853BE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3AAA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7CCA6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C475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0.96-1.03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7B9A3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62E1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32237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44E9A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147ED43E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18C2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A457A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831A8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1.35-2.03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60027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0B768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8BF17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1.15-2.1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79292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0.004</w:t>
            </w:r>
          </w:p>
        </w:tc>
      </w:tr>
      <w:tr w:rsidR="008507BE" w14:paraId="7B7F727B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102E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*CKMB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90A1F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1.3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159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1.11-1.53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0808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F0920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DF1E2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0.73-1.26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53C19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0.776</w:t>
            </w:r>
          </w:p>
        </w:tc>
      </w:tr>
      <w:tr w:rsidR="008507BE" w14:paraId="7522764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CBF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*CRP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9E475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E28C8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0.93-1.31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F570D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51C1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C569E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0.99-1.53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3CED3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0.063</w:t>
            </w:r>
          </w:p>
        </w:tc>
      </w:tr>
      <w:tr w:rsidR="008507BE" w14:paraId="1A6BD878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064C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LDL-C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D7D2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26F99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1.02-1.35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03865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03F2E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47BEF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0.99-1.16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370D0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 xml:space="preserve">0.139 </w:t>
            </w:r>
          </w:p>
        </w:tc>
      </w:tr>
      <w:tr w:rsidR="008507BE" w14:paraId="4B898882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C45A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87A73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E4766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0.98-1.01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5E1AE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0DFB0F2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93FA7F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FDB806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5A434D3B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6C44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Beta-blocker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FA6F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B41E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0.53-2.64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0824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1A417C8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31312B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380C79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533A8A3A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B10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ACEI/ARB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1C577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125FE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0.68-2.03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7137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A83330D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4A8564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EC16FC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2EC7525D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5B44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Heart rate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0EBA5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CDE1B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0.99-1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15806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718AAA15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ABD88B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9F4282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4346A57F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F8B2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Killip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6168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7D7DA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1.01-15.78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0B6D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223B4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07792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0.57-12.87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80B4F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0.21</w:t>
            </w:r>
          </w:p>
        </w:tc>
      </w:tr>
      <w:tr w:rsidR="008507BE" w14:paraId="5DF5684E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7E42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Mutivessel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7D4E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E7E2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0.65-1.66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968EB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2FACA4E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2FB806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B3A608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70FF77F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F6BA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Thrombus Aspiration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1AE0D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EEE07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0.79-3.09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E836B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89E5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F0DC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6D328" w14:textId="77777777" w:rsidR="008507BE" w:rsidRDefault="008507BE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</w:p>
        </w:tc>
      </w:tr>
      <w:tr w:rsidR="008507BE" w14:paraId="77A2981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99DF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LCX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EBE5C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9CC4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0.31-1.21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DA4C5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D429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60461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0.39-1.85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F520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0.676</w:t>
            </w:r>
          </w:p>
        </w:tc>
      </w:tr>
      <w:tr w:rsidR="008507BE" w14:paraId="60A6046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10DB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RCA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8B074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0CBD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0.26-0.78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63C9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7E78B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A8AF4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0.28-1.03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162BE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0.06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507BE" w14:paraId="7F15BCDA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3436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IMH Risk score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3E70F0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18.19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7F4D79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7.09-46.69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C1431" w14:textId="77777777" w:rsidR="008507BE" w:rsidRDefault="00000000">
            <w:pPr>
              <w:pStyle w:val="TableCaption"/>
              <w:jc w:val="center"/>
              <w:rPr>
                <w:rFonts w:ascii="Arial" w:eastAsia="宋体" w:hAnsi="Arial" w:cs="Arial"/>
                <w:i w:val="0"/>
                <w:i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F7199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11.41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5AD3C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</w:rPr>
              <w:t>3.82-34.08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73A88B" w14:textId="77777777" w:rsidR="008507BE" w:rsidRDefault="00000000">
            <w:pPr>
              <w:pStyle w:val="TableCaption"/>
              <w:jc w:val="center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&lt;0.001</w:t>
            </w:r>
          </w:p>
        </w:tc>
      </w:tr>
      <w:tr w:rsidR="008507BE" w14:paraId="579630F5" w14:textId="77777777">
        <w:trPr>
          <w:trHeight w:hRule="exact" w:val="1938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FAE7A9" w14:textId="77777777" w:rsidR="008507BE" w:rsidRDefault="00000000">
            <w:pPr>
              <w:pStyle w:val="TableCaption"/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*Variables were 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first</w:t>
            </w: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 transformed to their natural logarithm (ln) values for comparability. Abbreviations: IMH, intramyocardial 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hemorrhage</w:t>
            </w: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; HF, heart failure; SBP, systolic blood pressure; DBP, diastolic blood pressure; 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IRA, infarction</w:t>
            </w: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 related 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artery; LAD</w:t>
            </w: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, left anterior descending; LCX, left circumflex; RCA, right coronary artery; ACEI/ARB, angiotensin-converting enzyme inhibitors/angiotensin receptor blockers;  </w:t>
            </w:r>
            <w:proofErr w:type="spellStart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>cTnT</w:t>
            </w:r>
            <w:proofErr w:type="spellEnd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Arial" w:hAnsi="Arial" w:cs="Arial"/>
                <w:i w:val="0"/>
                <w:iCs/>
                <w:color w:val="000000"/>
                <w:sz w:val="20"/>
                <w:szCs w:val="20"/>
                <w:lang w:eastAsia="zh-CN"/>
              </w:rPr>
              <w:t>cardiac</w:t>
            </w:r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 troponin T; CKMB, creatine kinase-MB; CRP, C-reactive protein; LDL-C, low-density lipoprotein cholesterol; </w:t>
            </w:r>
            <w:proofErr w:type="spellStart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>SCr</w:t>
            </w:r>
            <w:proofErr w:type="spellEnd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 xml:space="preserve">, serum creatinine; LVEF, left ventricular ejection fraction; </w:t>
            </w:r>
            <w:proofErr w:type="spellStart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>caIMR</w:t>
            </w:r>
            <w:proofErr w:type="spellEnd"/>
            <w:r>
              <w:rPr>
                <w:rFonts w:ascii="Arial" w:hAnsi="Arial" w:cs="Arial" w:hint="eastAsia"/>
                <w:i w:val="0"/>
                <w:iCs/>
                <w:color w:val="000000"/>
                <w:sz w:val="20"/>
                <w:szCs w:val="20"/>
                <w:lang w:eastAsia="zh-CN"/>
              </w:rPr>
              <w:t>, coronary angiography-derived index of microcirculatory resistance.</w:t>
            </w:r>
          </w:p>
        </w:tc>
      </w:tr>
    </w:tbl>
    <w:p w14:paraId="37E11CDE" w14:textId="77777777" w:rsidR="008507BE" w:rsidRDefault="000000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80" w:rightFromText="180" w:vertAnchor="page" w:horzAnchor="page" w:tblpX="301" w:tblpY="2030"/>
        <w:tblW w:w="11199" w:type="dxa"/>
        <w:tblLayout w:type="fixed"/>
        <w:tblLook w:val="04A0" w:firstRow="1" w:lastRow="0" w:firstColumn="1" w:lastColumn="0" w:noHBand="0" w:noVBand="1"/>
      </w:tblPr>
      <w:tblGrid>
        <w:gridCol w:w="3846"/>
        <w:gridCol w:w="901"/>
        <w:gridCol w:w="1602"/>
        <w:gridCol w:w="1277"/>
        <w:gridCol w:w="1305"/>
        <w:gridCol w:w="1275"/>
        <w:gridCol w:w="993"/>
      </w:tblGrid>
      <w:tr w:rsidR="008507BE" w14:paraId="47246193" w14:textId="77777777">
        <w:trPr>
          <w:trHeight w:hRule="exact" w:val="338"/>
        </w:trPr>
        <w:tc>
          <w:tcPr>
            <w:tcW w:w="11199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D3FC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Table S3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 Association Between the CMR-IMH and MACE: Univariate and Multivariate Logistic Regression Analysis</w:t>
            </w:r>
          </w:p>
        </w:tc>
      </w:tr>
      <w:tr w:rsidR="008507BE" w14:paraId="5204571B" w14:textId="77777777">
        <w:trPr>
          <w:trHeight w:hRule="exact" w:val="338"/>
        </w:trPr>
        <w:tc>
          <w:tcPr>
            <w:tcW w:w="38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C02BA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578B0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Univariate Logistic Regression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7E1BF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Multivariate Logistic Regression</w:t>
            </w:r>
          </w:p>
        </w:tc>
      </w:tr>
      <w:tr w:rsidR="008507BE" w14:paraId="62A2881A" w14:textId="77777777">
        <w:trPr>
          <w:trHeight w:hRule="exact" w:val="338"/>
        </w:trPr>
        <w:tc>
          <w:tcPr>
            <w:tcW w:w="38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8E885E" w14:textId="77777777" w:rsidR="008507BE" w:rsidRDefault="008507BE">
            <w:pPr>
              <w:pStyle w:val="TableCaption"/>
              <w:rPr>
                <w:rFonts w:ascii="Arial" w:eastAsia="宋体" w:hAnsi="Arial" w:cs="Arial"/>
                <w:i w:val="0"/>
                <w:iCs/>
                <w:lang w:eastAsia="zh-C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1244A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0B7F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DB3B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4C73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BBE20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DBC85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8507BE" w14:paraId="73908565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C320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6FAB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C708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0.99-1.05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6D50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BC70E1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734F3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B2847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B4B7809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6E8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DF34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9B46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0.41-1.48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B425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DCD4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9721C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BA16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749FD2C7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8AAA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81AD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A973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0.98-1.03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76B5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09EE1DC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F9639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6E5AD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8D4EB97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612F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2F63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277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0.95-1.04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0385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8BDD38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68697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A2AD0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6280346E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ED7F8" w14:textId="77777777" w:rsidR="008507BE" w:rsidRDefault="00000000">
            <w:pPr>
              <w:widowControl/>
              <w:jc w:val="left"/>
              <w:textAlignment w:val="bottom"/>
              <w:rPr>
                <w:rFonts w:ascii="Arial" w:hAnsi="Arial" w:cs="Arial"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041C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82C5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0.93-1.41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AA0B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1C3480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AEB79D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C6ED0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3068DCE7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48B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*CKMB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A456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982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0.75-1.11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ABCD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D1ACE6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6C565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3A735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C349E0D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F583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*CRP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82F1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2670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0.88-1.42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77F2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0.363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63F4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881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2AE4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69F9474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044D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LDL-C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DF06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D7D4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1.00-1.16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B29E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2CC4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497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1.01-1.17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41DF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</w:tr>
      <w:tr w:rsidR="008507BE" w14:paraId="530315B2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F17A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B68F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8D6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0.97-1.01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539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BFB203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0FDAD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4A289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68E3B5C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316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Beta-blocker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C07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F67B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0.55-10.4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B23F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98F629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C62CF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B8186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64ED2F6E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7F48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ACEI/ARB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C395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123E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0.66-3.37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A8E6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2362EE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B24F2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94437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7F32890D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16AD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Heart rate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BEEA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F59F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AC4F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A4279E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4BE57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AEEFC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3A160901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0B90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Killip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EEF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E30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0.67-10.85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E820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DD01121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2DE1C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3A568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05C6DF4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4394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Mutivessel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A21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6822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0.88-3.37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C455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C403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9624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991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DFDAE8C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313B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Thrombus Aspiration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1B4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1.43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8D9B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0.59-3.48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5612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CF1E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A0C5B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8D12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8DB8804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E0CB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LCX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E33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B457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0.77-3.84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BE9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FC6CC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A5F3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2C7E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873B8F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C39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RCA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646C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6644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0.24-1.21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31C1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8B4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3C0D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9CBB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  <w:p w14:paraId="56C96D5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4F2D419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B647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IMH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B3FA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E558C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1.10-4.08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CDC0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303A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0F7C6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1.01-3.87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243C6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</w:tr>
      <w:tr w:rsidR="008507BE" w14:paraId="45F23250" w14:textId="77777777">
        <w:trPr>
          <w:trHeight w:hRule="exact" w:val="2364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39E42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*Variables were first transformed to their natural logarithm (ln) values for comparability. Abbreviations: CMR, cardiac magnetic resonance; IMH, intramyocardial 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hemorrhage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; MACEs, major adverse cardiovascular events; SBP, systolic blood pressure; DBP, diastolic blood pressure; IRA, infarction related artery; LAD, left anterior descending; LCX, left circumflex; RCA, right coronary artery; ACEI/ARB, angiotensin-converting enzyme inhibitors/angiotensin receptor blockers; 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cardiac troponin T; CKMB, creatine kinase-MB; CRP, C-reactive protein; LDL-C, low-density lipoprotein cholesterol;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SCr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serum creatinine; LVEF, left ventricular ejection fraction;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caIMR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, coronary angiography-derived index of microcirculatory resistance.</w:t>
            </w:r>
          </w:p>
        </w:tc>
      </w:tr>
    </w:tbl>
    <w:p w14:paraId="7780FCDA" w14:textId="77777777" w:rsidR="008507BE" w:rsidRDefault="008507BE">
      <w:pPr>
        <w:rPr>
          <w:rFonts w:ascii="Arial" w:hAnsi="Arial" w:cs="Arial"/>
        </w:rPr>
      </w:pPr>
    </w:p>
    <w:p w14:paraId="2A713693" w14:textId="77777777" w:rsidR="008507BE" w:rsidRDefault="008507BE">
      <w:pPr>
        <w:rPr>
          <w:rFonts w:ascii="Arial" w:hAnsi="Arial" w:cs="Arial"/>
        </w:rPr>
      </w:pPr>
    </w:p>
    <w:p w14:paraId="54477726" w14:textId="77777777" w:rsidR="008507BE" w:rsidRDefault="008507BE">
      <w:pPr>
        <w:rPr>
          <w:rFonts w:ascii="Arial" w:hAnsi="Arial" w:cs="Arial"/>
        </w:rPr>
      </w:pPr>
    </w:p>
    <w:p w14:paraId="54B2CD29" w14:textId="77777777" w:rsidR="008507BE" w:rsidRDefault="008507BE">
      <w:pPr>
        <w:rPr>
          <w:rFonts w:ascii="Arial" w:hAnsi="Arial" w:cs="Arial"/>
        </w:rPr>
      </w:pPr>
    </w:p>
    <w:p w14:paraId="6A758E5C" w14:textId="77777777" w:rsidR="008507BE" w:rsidRDefault="008507BE">
      <w:pPr>
        <w:rPr>
          <w:rFonts w:ascii="Arial" w:hAnsi="Arial" w:cs="Arial"/>
        </w:rPr>
      </w:pPr>
    </w:p>
    <w:p w14:paraId="3AE351EA" w14:textId="77777777" w:rsidR="008507BE" w:rsidRDefault="008507BE">
      <w:pPr>
        <w:rPr>
          <w:rFonts w:ascii="Arial" w:hAnsi="Arial" w:cs="Arial"/>
        </w:rPr>
      </w:pPr>
    </w:p>
    <w:p w14:paraId="3DCA4677" w14:textId="77777777" w:rsidR="008507BE" w:rsidRDefault="00000000">
      <w:pPr>
        <w:tabs>
          <w:tab w:val="left" w:pos="3038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FE0F83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4A5C49F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3674CBC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39BB2840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5C04029B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20E4C89B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3F0A30D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41ABDACD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78F5C35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753A46B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2ED75F2F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76B5E6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D113E1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69885D7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2F77496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E4872E1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C6BCF8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F04FA7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D0A205F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tbl>
      <w:tblPr>
        <w:tblpPr w:leftFromText="180" w:rightFromText="180" w:vertAnchor="page" w:horzAnchor="page" w:tblpX="301" w:tblpY="2030"/>
        <w:tblW w:w="11199" w:type="dxa"/>
        <w:tblLayout w:type="fixed"/>
        <w:tblLook w:val="04A0" w:firstRow="1" w:lastRow="0" w:firstColumn="1" w:lastColumn="0" w:noHBand="0" w:noVBand="1"/>
      </w:tblPr>
      <w:tblGrid>
        <w:gridCol w:w="3846"/>
        <w:gridCol w:w="901"/>
        <w:gridCol w:w="1602"/>
        <w:gridCol w:w="1277"/>
        <w:gridCol w:w="1305"/>
        <w:gridCol w:w="1275"/>
        <w:gridCol w:w="993"/>
      </w:tblGrid>
      <w:tr w:rsidR="008507BE" w14:paraId="19C6918F" w14:textId="77777777">
        <w:trPr>
          <w:trHeight w:hRule="exact" w:val="338"/>
        </w:trPr>
        <w:tc>
          <w:tcPr>
            <w:tcW w:w="11199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88E4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kern w:val="0"/>
                <w:sz w:val="20"/>
                <w:szCs w:val="20"/>
              </w:rPr>
              <w:t>Table S4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Association Between the CMR-IMH and In-Hospital HF: Univariate and Multivariate Logistic Regression Analysis IMH and MACE: Univariate and Multivariate Logistic Regression Analysis</w:t>
            </w:r>
          </w:p>
        </w:tc>
      </w:tr>
      <w:tr w:rsidR="008507BE" w14:paraId="474FEB40" w14:textId="77777777">
        <w:trPr>
          <w:trHeight w:hRule="exact" w:val="338"/>
        </w:trPr>
        <w:tc>
          <w:tcPr>
            <w:tcW w:w="38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AE00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017EE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Univariate Logistic Regression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6D4DD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Multivariate Logistic Regression</w:t>
            </w:r>
          </w:p>
        </w:tc>
      </w:tr>
      <w:tr w:rsidR="008507BE" w14:paraId="2B45E1E2" w14:textId="77777777">
        <w:trPr>
          <w:trHeight w:hRule="exact" w:val="338"/>
        </w:trPr>
        <w:tc>
          <w:tcPr>
            <w:tcW w:w="38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0CE4A" w14:textId="77777777" w:rsidR="008507BE" w:rsidRDefault="008507BE">
            <w:pPr>
              <w:pStyle w:val="TableCaption"/>
              <w:rPr>
                <w:rFonts w:ascii="Arial" w:eastAsia="宋体" w:hAnsi="Arial" w:cs="Arial"/>
                <w:i w:val="0"/>
                <w:iCs/>
                <w:lang w:eastAsia="zh-C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F6D72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7FC8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0BF2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03419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F9388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FB06F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8507BE" w14:paraId="3183E079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538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C0CE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7CFD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1.01-1.05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11E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87E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9A3D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1.02-1.07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F7EE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7BE" w14:paraId="20F9B92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74E2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4A5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F3F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0.78-1.97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61A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371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A2FE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230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6A7DD382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408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E8C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94E6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12C1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2755F6C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DA8FB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C9603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3E1BF9A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809C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DBP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BF22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6B54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0.96-1.03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5A4E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D444DFF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70F0D3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D3A98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C775899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4A846" w14:textId="77777777" w:rsidR="008507BE" w:rsidRDefault="00000000">
            <w:pPr>
              <w:widowControl/>
              <w:jc w:val="left"/>
              <w:textAlignment w:val="bottom"/>
              <w:rPr>
                <w:rFonts w:ascii="Arial" w:hAnsi="Arial" w:cs="Arial"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</w:t>
            </w: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858E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756B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1.35-2.03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7225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D5EB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56A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1.25-2.27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49CF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8507BE" w14:paraId="72B86CAF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B28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*CKMB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3FA2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1.30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06FA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1.11-1.53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735A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20A0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89DD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0.67-1.13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2A87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0.290</w:t>
            </w:r>
          </w:p>
        </w:tc>
      </w:tr>
      <w:tr w:rsidR="008507BE" w14:paraId="5C880FE1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E682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*CRP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DFC9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F88E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0.93-1.31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3657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8BA36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C68A2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6DF7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29D0F89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60C4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LDL-C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2861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003E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1.02-1.35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2174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2A86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1.08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1D9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1.01-1.17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FE1F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</w:tr>
      <w:tr w:rsidR="008507BE" w14:paraId="5EF6EA8B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9BAD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162D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95D1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63CA4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5F3112E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AF1203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53051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52392E7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0B05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Beta-blocker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9A4E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7E6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0.53-2.64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5DD4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2426DEE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425CA0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E820A5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18F265C1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518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ACEI/ARB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BF6F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E3C9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0.68-2.03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5FE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4513E6F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90D85E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C955ED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0BF78190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64BF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Heart rate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C4A8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4A93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0.99-1.00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59F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14:paraId="1884B21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B1409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080D6A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72862BA8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2341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Killip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90A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EF32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1.01-15.78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3ACF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1CC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C16D2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0.93-19.6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42FA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0.063</w:t>
            </w:r>
          </w:p>
        </w:tc>
      </w:tr>
      <w:tr w:rsidR="008507BE" w14:paraId="7F133315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5B92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Mutivessel</w:t>
            </w:r>
            <w:proofErr w:type="spell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Disease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BEC7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AB9D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0.65-1.66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9351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A89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1736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52B8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B258AB3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BAF7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Thrombus Aspiration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6D4A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9BB0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0.79-3.09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CEA3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C2DFD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D1689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62E27" w14:textId="77777777" w:rsidR="008507BE" w:rsidRDefault="008507BE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8507BE" w14:paraId="2D2D93AA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6CAA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LCX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F38F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1B54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0.31-1.21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52A9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F674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9DDC5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0.34-1.62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D936C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0.460</w:t>
            </w:r>
          </w:p>
        </w:tc>
      </w:tr>
      <w:tr w:rsidR="008507BE" w14:paraId="347D7586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6BD4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LAD vs RCA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8CC98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DE810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0.26-0.78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AFF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75DD6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7C31E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0.23-0.81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30C9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8507BE" w14:paraId="75D6C1DA" w14:textId="77777777">
        <w:trPr>
          <w:trHeight w:hRule="exact" w:val="340"/>
        </w:trPr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25BB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iCs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IMH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563521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11A2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2.15-6.07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59BB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4A3BB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8A49BA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1.53-4.95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3B23B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8507BE" w14:paraId="5482F38A" w14:textId="77777777">
        <w:trPr>
          <w:trHeight w:hRule="exact" w:val="1938"/>
        </w:trPr>
        <w:tc>
          <w:tcPr>
            <w:tcW w:w="11199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4AD7D13D" w14:textId="77777777" w:rsidR="008507BE" w:rsidRDefault="00000000">
            <w:pPr>
              <w:widowControl/>
              <w:jc w:val="left"/>
              <w:textAlignment w:val="bottom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*Variables were first transformed to their natural logarithm (ln) values for comparability. Abbreviations: IMH, intramyocardial hemorrhage; HF, heart failure; SBP, systolic blood pressure; DBP, diastolic blood pressure; IRA, infarction related artery; LAD, left anterior descending; LCX, left circumflex; RCA, right coronary artery; ACEI/ARB, angiotensin-converting enzyme inhibitors/angiotensin receptor blockers; 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cTnT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cardiac troponin T; CKMB, creatine kinase-MB; CRP, C-reactive protein; LDL-C, low-density lipoprotein cholesterol;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SCr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 xml:space="preserve">, serum creatinine; LVEF, left ventricular ejection fraction; </w:t>
            </w:r>
            <w:proofErr w:type="spellStart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caIMR</w:t>
            </w:r>
            <w:proofErr w:type="spellEnd"/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, coronary angiography-derived index of microcirculatory resistance.</w:t>
            </w:r>
          </w:p>
        </w:tc>
      </w:tr>
    </w:tbl>
    <w:p w14:paraId="3EC5E1EE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48793769" w14:textId="77777777" w:rsidR="008507BE" w:rsidRDefault="008507BE">
      <w:pPr>
        <w:tabs>
          <w:tab w:val="left" w:pos="3038"/>
        </w:tabs>
        <w:jc w:val="left"/>
        <w:rPr>
          <w:rFonts w:hint="eastAsia"/>
        </w:rPr>
      </w:pPr>
    </w:p>
    <w:p w14:paraId="6D4F89B7" w14:textId="77777777" w:rsidR="008507BE" w:rsidRDefault="008507BE">
      <w:pPr>
        <w:tabs>
          <w:tab w:val="left" w:pos="3038"/>
        </w:tabs>
        <w:jc w:val="left"/>
        <w:rPr>
          <w:rFonts w:hint="eastAsia"/>
        </w:rPr>
      </w:pPr>
    </w:p>
    <w:p w14:paraId="1B5983A0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B89FC00" wp14:editId="67955128">
            <wp:simplePos x="0" y="0"/>
            <wp:positionH relativeFrom="column">
              <wp:posOffset>-28575</wp:posOffset>
            </wp:positionH>
            <wp:positionV relativeFrom="paragraph">
              <wp:posOffset>232410</wp:posOffset>
            </wp:positionV>
            <wp:extent cx="5057775" cy="4133850"/>
            <wp:effectExtent l="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1B42CD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34DE9CB9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5B2F2E69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3C145DBE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745D1591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321149D2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5C49D7BA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17E5DDA1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687421E8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4A45B8DE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6FD1F297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645471CE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169EDBDB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6765293D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</w:p>
    <w:p w14:paraId="2EEBEA58" w14:textId="77777777" w:rsidR="004176FB" w:rsidRDefault="004176FB" w:rsidP="004176FB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  <w:r w:rsidRPr="000A1B19">
        <w:rPr>
          <w:rFonts w:ascii="Arial" w:hAnsi="Arial" w:cs="Arial" w:hint="eastAsia"/>
          <w:b/>
          <w:bCs/>
        </w:rPr>
        <w:t>Figure S</w:t>
      </w:r>
      <w:r>
        <w:rPr>
          <w:rFonts w:ascii="Arial" w:hAnsi="Arial" w:cs="Arial" w:hint="eastAsia"/>
          <w:b/>
          <w:bCs/>
        </w:rPr>
        <w:t>1</w:t>
      </w:r>
      <w:r w:rsidRPr="000A1B19">
        <w:rPr>
          <w:rFonts w:ascii="Arial" w:hAnsi="Arial" w:cs="Arial" w:hint="eastAsia"/>
        </w:rPr>
        <w:t xml:space="preserve">. Restricted cubic spline analysis of the nonlinear relationship between </w:t>
      </w:r>
      <w:proofErr w:type="spellStart"/>
      <w:r w:rsidRPr="000A1B19">
        <w:rPr>
          <w:rFonts w:ascii="Arial" w:hAnsi="Arial" w:cs="Arial" w:hint="eastAsia"/>
        </w:rPr>
        <w:t>caIMR</w:t>
      </w:r>
      <w:proofErr w:type="spellEnd"/>
      <w:r w:rsidRPr="000A1B19">
        <w:rPr>
          <w:rFonts w:ascii="Arial" w:hAnsi="Arial" w:cs="Arial" w:hint="eastAsia"/>
        </w:rPr>
        <w:t xml:space="preserve"> and IMH risk</w:t>
      </w:r>
      <w:r>
        <w:rPr>
          <w:rFonts w:ascii="Arial" w:hAnsi="Arial" w:cs="Arial" w:hint="eastAsia"/>
        </w:rPr>
        <w:t xml:space="preserve">. </w:t>
      </w:r>
      <w:r w:rsidRPr="000A1B19">
        <w:rPr>
          <w:rFonts w:ascii="Arial" w:hAnsi="Arial" w:cs="Arial" w:hint="eastAsia"/>
        </w:rPr>
        <w:t xml:space="preserve">The solid line represents the odds ratio (OR) estimates, with shaded area indicating 95% confidence intervals. The dashed vertical line marks the </w:t>
      </w:r>
      <w:r>
        <w:rPr>
          <w:rFonts w:ascii="Arial" w:hAnsi="Arial" w:cs="Arial" w:hint="eastAsia"/>
        </w:rPr>
        <w:t>37.63</w:t>
      </w:r>
      <w:r w:rsidRPr="000A1B19">
        <w:rPr>
          <w:rFonts w:ascii="Arial" w:hAnsi="Arial" w:cs="Arial" w:hint="eastAsia"/>
        </w:rPr>
        <w:t xml:space="preserve"> U threshold, showing significantly steeper risk escalation beyond this inflection point. The dotted horizontal line indicates the reference level (OR=1 at </w:t>
      </w:r>
      <w:proofErr w:type="spellStart"/>
      <w:r w:rsidRPr="000A1B19">
        <w:rPr>
          <w:rFonts w:ascii="Arial" w:hAnsi="Arial" w:cs="Arial" w:hint="eastAsia"/>
        </w:rPr>
        <w:t>caIMR</w:t>
      </w:r>
      <w:proofErr w:type="spellEnd"/>
      <w:r w:rsidRPr="000A1B19">
        <w:rPr>
          <w:rFonts w:ascii="Arial" w:hAnsi="Arial" w:cs="Arial" w:hint="eastAsia"/>
        </w:rPr>
        <w:t xml:space="preserve">=37.63 U, the optimal statistical cutoff). </w:t>
      </w:r>
    </w:p>
    <w:p w14:paraId="1F6311C4" w14:textId="77777777" w:rsidR="008507BE" w:rsidRDefault="008507BE">
      <w:pPr>
        <w:tabs>
          <w:tab w:val="left" w:pos="3038"/>
        </w:tabs>
        <w:jc w:val="left"/>
        <w:rPr>
          <w:rFonts w:hint="eastAsia"/>
        </w:rPr>
      </w:pPr>
    </w:p>
    <w:p w14:paraId="40D013DC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763DC261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367C7FC3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2A114C39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1B22DE11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6213808B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60E77DA6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53ABFA3F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73BC7BE0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2B31EFA0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028CFCF5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6B590C31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71C016AD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47791A07" w14:textId="77777777" w:rsid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6A5D073D" w14:textId="77777777" w:rsidR="004176FB" w:rsidRPr="004176FB" w:rsidRDefault="004176FB">
      <w:pPr>
        <w:tabs>
          <w:tab w:val="left" w:pos="3038"/>
        </w:tabs>
        <w:jc w:val="left"/>
        <w:rPr>
          <w:rFonts w:hint="eastAsia"/>
        </w:rPr>
      </w:pPr>
    </w:p>
    <w:p w14:paraId="36AD4F6A" w14:textId="77777777" w:rsidR="008507BE" w:rsidRDefault="00000000">
      <w:pPr>
        <w:tabs>
          <w:tab w:val="left" w:pos="3038"/>
        </w:tabs>
        <w:jc w:val="left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A7FEDE" wp14:editId="38E9434C">
            <wp:simplePos x="0" y="0"/>
            <wp:positionH relativeFrom="column">
              <wp:posOffset>3105150</wp:posOffset>
            </wp:positionH>
            <wp:positionV relativeFrom="paragraph">
              <wp:posOffset>42545</wp:posOffset>
            </wp:positionV>
            <wp:extent cx="2661285" cy="1995805"/>
            <wp:effectExtent l="0" t="0" r="5715" b="444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noProof/>
        </w:rPr>
        <w:drawing>
          <wp:inline distT="0" distB="0" distL="114300" distR="114300" wp14:anchorId="67C77A5F" wp14:editId="6AAE7E74">
            <wp:extent cx="2720975" cy="2047240"/>
            <wp:effectExtent l="0" t="0" r="31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B</w:t>
      </w:r>
    </w:p>
    <w:p w14:paraId="31CC6CBA" w14:textId="2357AF9E" w:rsidR="008507BE" w:rsidRDefault="00000000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Figure S</w:t>
      </w:r>
      <w:r w:rsidR="004176FB">
        <w:rPr>
          <w:rFonts w:ascii="Arial" w:hAnsi="Arial" w:cs="Arial" w:hint="eastAsia"/>
          <w:b/>
          <w:bCs/>
        </w:rPr>
        <w:t>2</w:t>
      </w:r>
      <w:r>
        <w:rPr>
          <w:rFonts w:ascii="Arial" w:hAnsi="Arial" w:cs="Arial" w:hint="eastAsia"/>
        </w:rPr>
        <w:t xml:space="preserve">. Nomogram application example: A. Low-risk </w:t>
      </w:r>
      <w:proofErr w:type="spellStart"/>
      <w:proofErr w:type="gramStart"/>
      <w:r>
        <w:rPr>
          <w:rFonts w:ascii="Arial" w:hAnsi="Arial" w:cs="Arial" w:hint="eastAsia"/>
        </w:rPr>
        <w:t>case.Schematic</w:t>
      </w:r>
      <w:proofErr w:type="spellEnd"/>
      <w:proofErr w:type="gramEnd"/>
      <w:r>
        <w:rPr>
          <w:rFonts w:ascii="Arial" w:hAnsi="Arial" w:cs="Arial" w:hint="eastAsia"/>
        </w:rPr>
        <w:t xml:space="preserve"> demonstration of the nomogram's clinical implementation in a patient with preserved LVEF (54%) and </w:t>
      </w:r>
      <w:proofErr w:type="spellStart"/>
      <w:r>
        <w:rPr>
          <w:rFonts w:ascii="Arial" w:hAnsi="Arial" w:cs="Arial" w:hint="eastAsia"/>
        </w:rPr>
        <w:t>caIMR</w:t>
      </w:r>
      <w:proofErr w:type="spellEnd"/>
      <w:r>
        <w:rPr>
          <w:rFonts w:ascii="Arial" w:hAnsi="Arial" w:cs="Arial" w:hint="eastAsia"/>
        </w:rPr>
        <w:t xml:space="preserve">&lt;40. B. High-risk case. Clinical application of the nomogram in a patient with reduced LVEF (31%) and </w:t>
      </w:r>
      <w:proofErr w:type="spellStart"/>
      <w:r>
        <w:rPr>
          <w:rFonts w:ascii="Arial" w:hAnsi="Arial" w:cs="Arial" w:hint="eastAsia"/>
        </w:rPr>
        <w:t>caIMR</w:t>
      </w:r>
      <w:proofErr w:type="spellEnd"/>
      <w:r>
        <w:rPr>
          <w:rFonts w:ascii="Arial" w:hAnsi="Arial" w:cs="Arial" w:hint="eastAsia"/>
        </w:rPr>
        <w:t>≥</w:t>
      </w:r>
      <w:r>
        <w:rPr>
          <w:rFonts w:ascii="Arial" w:hAnsi="Arial" w:cs="Arial" w:hint="eastAsia"/>
        </w:rPr>
        <w:t xml:space="preserve">40. The stepwise process: (1) Plotting LVEF value on the corresponding axis, (2) Plotting </w:t>
      </w:r>
      <w:proofErr w:type="spellStart"/>
      <w:r>
        <w:rPr>
          <w:rFonts w:ascii="Arial" w:hAnsi="Arial" w:cs="Arial" w:hint="eastAsia"/>
        </w:rPr>
        <w:t>caIMR</w:t>
      </w:r>
      <w:proofErr w:type="spellEnd"/>
      <w:r>
        <w:rPr>
          <w:rFonts w:ascii="Arial" w:hAnsi="Arial" w:cs="Arial" w:hint="eastAsia"/>
        </w:rPr>
        <w:t xml:space="preserve"> value, (3) Summing the derived points, and (4) Projecting the total score to obtain the predicted IMH risk probability (8.3%).</w:t>
      </w:r>
    </w:p>
    <w:p w14:paraId="0A73DF89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A533495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0514F93F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0AA9372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7AE740AC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4A8F289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306D228D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65D3383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73206A4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3D99E688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542DC6D9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7B324BB2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538ED5D6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29AE5B6B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20F5E832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14D99537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7A3E2AA8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3DF75A67" w14:textId="77777777" w:rsidR="008507BE" w:rsidRDefault="008507BE">
      <w:pPr>
        <w:tabs>
          <w:tab w:val="left" w:pos="3038"/>
        </w:tabs>
        <w:jc w:val="left"/>
        <w:rPr>
          <w:rFonts w:ascii="Arial" w:hAnsi="Arial" w:cs="Arial"/>
        </w:rPr>
      </w:pPr>
    </w:p>
    <w:p w14:paraId="5554067F" w14:textId="77777777" w:rsidR="008507BE" w:rsidRDefault="00000000">
      <w:pPr>
        <w:tabs>
          <w:tab w:val="left" w:pos="3038"/>
        </w:tabs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3361037" wp14:editId="0C18F349">
            <wp:extent cx="3171825" cy="3202940"/>
            <wp:effectExtent l="0" t="0" r="0" b="0"/>
            <wp:docPr id="11840667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6676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6151" cy="32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A1141" w14:textId="559EE8CD" w:rsidR="008507BE" w:rsidRDefault="00000000">
      <w:pPr>
        <w:tabs>
          <w:tab w:val="left" w:pos="3038"/>
        </w:tabs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Figure S</w:t>
      </w:r>
      <w:r w:rsidR="00D77DE8"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</w:rPr>
        <w:t>. Comparing different risk models based on CMR-IMH (red) and nomogram-derived IMH Risk score (blue) on the predictive accuracy of MACE using the ROC curves. AUC indicates an area under the curve. CMR, cardiac magnetic resonance; IMH, intramyocardial hemorrhage; MACE, major adverse cardiovascular events.</w:t>
      </w:r>
    </w:p>
    <w:p w14:paraId="32C4994B" w14:textId="77777777" w:rsidR="008507BE" w:rsidRDefault="00000000">
      <w:pPr>
        <w:tabs>
          <w:tab w:val="left" w:pos="3038"/>
        </w:tabs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43A012D" wp14:editId="304BE408">
            <wp:extent cx="2835910" cy="2857500"/>
            <wp:effectExtent l="0" t="0" r="254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1167" cy="287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ABF0" w14:textId="308C9FCC" w:rsidR="008507BE" w:rsidRDefault="00000000">
      <w:pPr>
        <w:tabs>
          <w:tab w:val="left" w:pos="3038"/>
        </w:tabs>
        <w:spacing w:line="360" w:lineRule="auto"/>
        <w:jc w:val="left"/>
        <w:rPr>
          <w:rFonts w:ascii="Arial" w:hAnsi="Arial" w:cs="Arial" w:hint="eastAsia"/>
        </w:rPr>
      </w:pPr>
      <w:r>
        <w:rPr>
          <w:rFonts w:ascii="Arial" w:hAnsi="Arial" w:cs="Arial" w:hint="eastAsia"/>
          <w:b/>
          <w:bCs/>
        </w:rPr>
        <w:t>Figure S</w:t>
      </w:r>
      <w:r w:rsidR="00D77DE8">
        <w:rPr>
          <w:rFonts w:ascii="Arial" w:hAnsi="Arial" w:cs="Arial" w:hint="eastAsia"/>
          <w:b/>
          <w:bCs/>
        </w:rPr>
        <w:t>4</w:t>
      </w:r>
      <w:r>
        <w:rPr>
          <w:rFonts w:ascii="Arial" w:hAnsi="Arial" w:cs="Arial" w:hint="eastAsia"/>
        </w:rPr>
        <w:t>. Comparing different risk models based on CMR-IMH (red) and nomogram-derived IMH Risk score (blue) on the predictive accuracy of in-hospital HF using the ROC curves. AUC indicates an area under the curve. HF, heart failure; IMH, intramyocardial hemorrhage.</w:t>
      </w:r>
    </w:p>
    <w:sectPr w:rsidR="0085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28ED" w14:textId="77777777" w:rsidR="003800AB" w:rsidRDefault="003800AB" w:rsidP="000A1B19">
      <w:pPr>
        <w:rPr>
          <w:rFonts w:hint="eastAsia"/>
        </w:rPr>
      </w:pPr>
      <w:r>
        <w:separator/>
      </w:r>
    </w:p>
  </w:endnote>
  <w:endnote w:type="continuationSeparator" w:id="0">
    <w:p w14:paraId="7F0C3C2F" w14:textId="77777777" w:rsidR="003800AB" w:rsidRDefault="003800AB" w:rsidP="000A1B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85BD9" w14:textId="77777777" w:rsidR="003800AB" w:rsidRDefault="003800AB" w:rsidP="000A1B19">
      <w:pPr>
        <w:rPr>
          <w:rFonts w:hint="eastAsia"/>
        </w:rPr>
      </w:pPr>
      <w:r>
        <w:separator/>
      </w:r>
    </w:p>
  </w:footnote>
  <w:footnote w:type="continuationSeparator" w:id="0">
    <w:p w14:paraId="0D99726C" w14:textId="77777777" w:rsidR="003800AB" w:rsidRDefault="003800AB" w:rsidP="000A1B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F7B"/>
    <w:rsid w:val="000126CA"/>
    <w:rsid w:val="000304D3"/>
    <w:rsid w:val="00037B75"/>
    <w:rsid w:val="000530BC"/>
    <w:rsid w:val="000557AC"/>
    <w:rsid w:val="00056B9A"/>
    <w:rsid w:val="00057DED"/>
    <w:rsid w:val="000601D6"/>
    <w:rsid w:val="0007295E"/>
    <w:rsid w:val="00076927"/>
    <w:rsid w:val="00092DB8"/>
    <w:rsid w:val="00095B31"/>
    <w:rsid w:val="000A1B19"/>
    <w:rsid w:val="000A5DEE"/>
    <w:rsid w:val="000B056F"/>
    <w:rsid w:val="000D18A2"/>
    <w:rsid w:val="000E616A"/>
    <w:rsid w:val="001034AE"/>
    <w:rsid w:val="00121018"/>
    <w:rsid w:val="0018348A"/>
    <w:rsid w:val="001D6D7F"/>
    <w:rsid w:val="001F463D"/>
    <w:rsid w:val="001F7A68"/>
    <w:rsid w:val="0021132E"/>
    <w:rsid w:val="002225A3"/>
    <w:rsid w:val="00286F11"/>
    <w:rsid w:val="002A2ADA"/>
    <w:rsid w:val="002A3201"/>
    <w:rsid w:val="002C78BD"/>
    <w:rsid w:val="002D6339"/>
    <w:rsid w:val="002E3D0C"/>
    <w:rsid w:val="002E6E3A"/>
    <w:rsid w:val="00333E66"/>
    <w:rsid w:val="00337385"/>
    <w:rsid w:val="00345C1D"/>
    <w:rsid w:val="003800AB"/>
    <w:rsid w:val="003C5B27"/>
    <w:rsid w:val="003D68A2"/>
    <w:rsid w:val="003F309D"/>
    <w:rsid w:val="004176FB"/>
    <w:rsid w:val="0043226F"/>
    <w:rsid w:val="004335CF"/>
    <w:rsid w:val="00453518"/>
    <w:rsid w:val="00481281"/>
    <w:rsid w:val="004B231B"/>
    <w:rsid w:val="005435AD"/>
    <w:rsid w:val="005604B4"/>
    <w:rsid w:val="005A0F4F"/>
    <w:rsid w:val="005B009D"/>
    <w:rsid w:val="005B3A27"/>
    <w:rsid w:val="005B5282"/>
    <w:rsid w:val="005C47AB"/>
    <w:rsid w:val="005E4C9F"/>
    <w:rsid w:val="005F3771"/>
    <w:rsid w:val="00604B77"/>
    <w:rsid w:val="00623916"/>
    <w:rsid w:val="0062660E"/>
    <w:rsid w:val="0063314D"/>
    <w:rsid w:val="00636DE5"/>
    <w:rsid w:val="006757A6"/>
    <w:rsid w:val="006848D1"/>
    <w:rsid w:val="00685AF9"/>
    <w:rsid w:val="0068614B"/>
    <w:rsid w:val="006A1E30"/>
    <w:rsid w:val="006D6D16"/>
    <w:rsid w:val="00717D28"/>
    <w:rsid w:val="00721680"/>
    <w:rsid w:val="00740003"/>
    <w:rsid w:val="0077348C"/>
    <w:rsid w:val="00777854"/>
    <w:rsid w:val="007906A0"/>
    <w:rsid w:val="007A3973"/>
    <w:rsid w:val="007D0979"/>
    <w:rsid w:val="007D531E"/>
    <w:rsid w:val="007E56E1"/>
    <w:rsid w:val="008158AC"/>
    <w:rsid w:val="0082154E"/>
    <w:rsid w:val="00825E21"/>
    <w:rsid w:val="008352A8"/>
    <w:rsid w:val="008507BE"/>
    <w:rsid w:val="00871408"/>
    <w:rsid w:val="008B2431"/>
    <w:rsid w:val="008B3A38"/>
    <w:rsid w:val="008D417E"/>
    <w:rsid w:val="00903DCC"/>
    <w:rsid w:val="00984226"/>
    <w:rsid w:val="009C0690"/>
    <w:rsid w:val="00A04CA0"/>
    <w:rsid w:val="00A36D4D"/>
    <w:rsid w:val="00A7508A"/>
    <w:rsid w:val="00B1754C"/>
    <w:rsid w:val="00B4760C"/>
    <w:rsid w:val="00B92036"/>
    <w:rsid w:val="00BF3B51"/>
    <w:rsid w:val="00C75090"/>
    <w:rsid w:val="00C77285"/>
    <w:rsid w:val="00C77B9D"/>
    <w:rsid w:val="00C977D1"/>
    <w:rsid w:val="00D06EE8"/>
    <w:rsid w:val="00D77DE8"/>
    <w:rsid w:val="00D96FB1"/>
    <w:rsid w:val="00DA49EA"/>
    <w:rsid w:val="00DB5461"/>
    <w:rsid w:val="00E51EF3"/>
    <w:rsid w:val="00E65BDE"/>
    <w:rsid w:val="00E96038"/>
    <w:rsid w:val="00EA6407"/>
    <w:rsid w:val="00F148CE"/>
    <w:rsid w:val="00F25211"/>
    <w:rsid w:val="00F36DF0"/>
    <w:rsid w:val="00F53F7B"/>
    <w:rsid w:val="00F62119"/>
    <w:rsid w:val="00F85433"/>
    <w:rsid w:val="00FB1B5C"/>
    <w:rsid w:val="05257DE5"/>
    <w:rsid w:val="0ABF0394"/>
    <w:rsid w:val="0B633105"/>
    <w:rsid w:val="0DBF50EA"/>
    <w:rsid w:val="11460DD0"/>
    <w:rsid w:val="1D964667"/>
    <w:rsid w:val="204D78A9"/>
    <w:rsid w:val="2F4A5096"/>
    <w:rsid w:val="325154C6"/>
    <w:rsid w:val="352769B2"/>
    <w:rsid w:val="41287D39"/>
    <w:rsid w:val="42100EF9"/>
    <w:rsid w:val="51053BF3"/>
    <w:rsid w:val="580F7106"/>
    <w:rsid w:val="5A380B96"/>
    <w:rsid w:val="5B1F11DD"/>
    <w:rsid w:val="5BAA7871"/>
    <w:rsid w:val="721101F2"/>
    <w:rsid w:val="78C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46B93D"/>
  <w15:docId w15:val="{2992315B-F339-4139-A59A-D46FE2A5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table" w:customStyle="1" w:styleId="ae">
    <w:name w:val="三线表"/>
    <w:basedOn w:val="a1"/>
    <w:qFormat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TableCaption">
    <w:name w:val="Table Caption"/>
    <w:basedOn w:val="a3"/>
    <w:qFormat/>
    <w:pPr>
      <w:keepNext/>
      <w:widowControl/>
      <w:spacing w:after="120"/>
      <w:jc w:val="left"/>
    </w:pPr>
    <w:rPr>
      <w:rFonts w:asciiTheme="minorHAnsi" w:eastAsiaTheme="minorEastAsia" w:hAnsiTheme="minorHAnsi" w:cstheme="minorBidi"/>
      <w:i/>
      <w:kern w:val="0"/>
      <w:sz w:val="24"/>
      <w:szCs w:val="24"/>
      <w:lang w:eastAsia="en-US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Courier New" w:hAnsi="Courier New" w:cs="Courier New"/>
      <w:sz w:val="20"/>
      <w:szCs w:val="20"/>
      <w14:ligatures w14:val="none"/>
    </w:rPr>
  </w:style>
  <w:style w:type="character" w:customStyle="1" w:styleId="a7">
    <w:name w:val="页眉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1202</Words>
  <Characters>7121</Characters>
  <Application>Microsoft Office Word</Application>
  <DocSecurity>0</DocSecurity>
  <Lines>215</Lines>
  <Paragraphs>102</Paragraphs>
  <ScaleCrop>false</ScaleCrop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德扬 席</dc:creator>
  <cp:lastModifiedBy>Yuan Lu</cp:lastModifiedBy>
  <cp:revision>9</cp:revision>
  <dcterms:created xsi:type="dcterms:W3CDTF">2025-06-26T14:29:00Z</dcterms:created>
  <dcterms:modified xsi:type="dcterms:W3CDTF">2025-06-26T15:29:00Z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eyJoZGlkIjoiYjQ4NmE5MTY3N2NmODJhNDUzYTI3OWMzOGRmNzhjYWQiLCJ1c2VySWQiOiI0MDkwODk5NzYifQ==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CD984710EF8B4202AB70A6ECDBFE698C_12</vt:lpwstr>
  </property>
</Properties>
</file>