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654" w:rsidRDefault="001A4654" w:rsidP="001A4654">
      <w:pPr>
        <w:spacing w:after="0" w:line="360" w:lineRule="auto"/>
        <w:rPr>
          <w:rFonts w:cs="Times New Roman"/>
          <w:b/>
          <w:bCs/>
          <w:szCs w:val="24"/>
        </w:rPr>
      </w:pPr>
      <w:r>
        <w:rPr>
          <w:rFonts w:cs="Times New Roman"/>
          <w:b/>
          <w:bCs/>
          <w:szCs w:val="24"/>
        </w:rPr>
        <w:t xml:space="preserve">Supplementary Appendix </w:t>
      </w:r>
    </w:p>
    <w:p w:rsidR="001A4654" w:rsidRDefault="001A4654" w:rsidP="001A4654">
      <w:pPr>
        <w:spacing w:after="0" w:line="360" w:lineRule="auto"/>
        <w:rPr>
          <w:rFonts w:cs="Times New Roman"/>
          <w:b/>
          <w:bCs/>
          <w:szCs w:val="24"/>
        </w:rPr>
      </w:pPr>
      <w:r>
        <w:rPr>
          <w:rFonts w:cs="Times New Roman"/>
          <w:b/>
          <w:bCs/>
          <w:szCs w:val="24"/>
        </w:rPr>
        <w:t>Supplemental Methods</w:t>
      </w:r>
    </w:p>
    <w:p w:rsidR="001A4654" w:rsidRDefault="001A4654" w:rsidP="001A4654">
      <w:pPr>
        <w:spacing w:after="0" w:line="360" w:lineRule="auto"/>
        <w:rPr>
          <w:rFonts w:cs="Times New Roman"/>
          <w:szCs w:val="24"/>
        </w:rPr>
      </w:pPr>
      <w:r>
        <w:rPr>
          <w:rFonts w:cs="Times New Roman"/>
          <w:szCs w:val="24"/>
        </w:rPr>
        <w:t xml:space="preserve">Up-titration of </w:t>
      </w:r>
      <w:proofErr w:type="spellStart"/>
      <w:r>
        <w:rPr>
          <w:rFonts w:cs="Times New Roman"/>
          <w:szCs w:val="24"/>
        </w:rPr>
        <w:t>ACEi</w:t>
      </w:r>
      <w:proofErr w:type="spellEnd"/>
      <w:r>
        <w:rPr>
          <w:rFonts w:cs="Times New Roman"/>
          <w:szCs w:val="24"/>
        </w:rPr>
        <w:t xml:space="preserve">/ARB and beta blockers in the clinics </w:t>
      </w:r>
      <w:proofErr w:type="gramStart"/>
      <w:r>
        <w:rPr>
          <w:rFonts w:cs="Times New Roman"/>
          <w:szCs w:val="24"/>
        </w:rPr>
        <w:t>were</w:t>
      </w:r>
      <w:proofErr w:type="gramEnd"/>
      <w:r>
        <w:rPr>
          <w:rFonts w:cs="Times New Roman"/>
          <w:szCs w:val="24"/>
        </w:rPr>
        <w:t xml:space="preserve"> undertaken as follows. Titration was attempted from the first clinic appointment. Patients were followed up until their care could be handed over to their primary care </w:t>
      </w:r>
      <w:proofErr w:type="gramStart"/>
      <w:r>
        <w:rPr>
          <w:rFonts w:cs="Times New Roman"/>
          <w:szCs w:val="24"/>
        </w:rPr>
        <w:t>physician,</w:t>
      </w:r>
      <w:proofErr w:type="gramEnd"/>
      <w:r>
        <w:rPr>
          <w:rFonts w:cs="Times New Roman"/>
          <w:szCs w:val="24"/>
        </w:rPr>
        <w:t xml:space="preserve"> however, in many cases they had ongoing engagement with the specialist team, and in many other cases the clinic visits stopped due to other comorbidities, change in health, or patient preference. This is consistent with the results being from a real-life specialist public service. </w:t>
      </w:r>
      <w:proofErr w:type="spellStart"/>
      <w:r>
        <w:rPr>
          <w:rFonts w:cs="Times New Roman"/>
          <w:szCs w:val="24"/>
        </w:rPr>
        <w:t>ACEi</w:t>
      </w:r>
      <w:proofErr w:type="spellEnd"/>
      <w:r>
        <w:rPr>
          <w:rFonts w:cs="Times New Roman"/>
          <w:szCs w:val="24"/>
        </w:rPr>
        <w:t xml:space="preserve">/ARB and beta blockers were titrated individually. The order of up-titration was expected to have reflected guideline recommendations at the time; for example, to </w:t>
      </w:r>
      <w:proofErr w:type="gramStart"/>
      <w:r>
        <w:rPr>
          <w:rFonts w:cs="Times New Roman"/>
          <w:szCs w:val="24"/>
        </w:rPr>
        <w:t>titrate</w:t>
      </w:r>
      <w:proofErr w:type="gramEnd"/>
      <w:r>
        <w:rPr>
          <w:rFonts w:cs="Times New Roman"/>
          <w:szCs w:val="24"/>
        </w:rPr>
        <w:t xml:space="preserve"> the beta-blockers first in case of ischemia, arrhythmias or other co-indication, and to titrate </w:t>
      </w:r>
      <w:proofErr w:type="spellStart"/>
      <w:r>
        <w:rPr>
          <w:rFonts w:cs="Times New Roman"/>
          <w:szCs w:val="24"/>
        </w:rPr>
        <w:t>ACEi</w:t>
      </w:r>
      <w:proofErr w:type="spellEnd"/>
      <w:r>
        <w:rPr>
          <w:rFonts w:cs="Times New Roman"/>
          <w:szCs w:val="24"/>
        </w:rPr>
        <w:t xml:space="preserve">/ARB in case of fluid overload. Otherwise order of up-titration was at the discretion of the treating clinician and patient preference. Data on the order of up-titration of </w:t>
      </w:r>
      <w:proofErr w:type="spellStart"/>
      <w:r>
        <w:rPr>
          <w:rFonts w:cs="Times New Roman"/>
          <w:szCs w:val="24"/>
        </w:rPr>
        <w:t>ACEi</w:t>
      </w:r>
      <w:proofErr w:type="spellEnd"/>
      <w:r>
        <w:rPr>
          <w:rFonts w:cs="Times New Roman"/>
          <w:szCs w:val="24"/>
        </w:rPr>
        <w:t xml:space="preserve">/ARB versus beta blockers were not available for our study. Similarly, in case of hypotension the expected preference would have been to reduce the dose of diuretics or other </w:t>
      </w:r>
      <w:proofErr w:type="spellStart"/>
      <w:r>
        <w:rPr>
          <w:rFonts w:cs="Times New Roman"/>
          <w:szCs w:val="24"/>
        </w:rPr>
        <w:t>antihypertensives</w:t>
      </w:r>
      <w:proofErr w:type="spellEnd"/>
      <w:r>
        <w:rPr>
          <w:rFonts w:cs="Times New Roman"/>
          <w:szCs w:val="24"/>
        </w:rPr>
        <w:t xml:space="preserve"> (such as calcium channel blockers) before adjusting the dose of </w:t>
      </w:r>
      <w:proofErr w:type="spellStart"/>
      <w:r>
        <w:rPr>
          <w:rFonts w:cs="Times New Roman"/>
          <w:szCs w:val="24"/>
        </w:rPr>
        <w:t>ACEi</w:t>
      </w:r>
      <w:proofErr w:type="spellEnd"/>
      <w:r>
        <w:rPr>
          <w:rFonts w:cs="Times New Roman"/>
          <w:szCs w:val="24"/>
        </w:rPr>
        <w:t xml:space="preserve">/ARB or beta blockers. Renal impairment was defined if the treating clinician had documented that they had renal impairment. As per the guideline recommendations the decision regarding whether the </w:t>
      </w:r>
      <w:proofErr w:type="spellStart"/>
      <w:r>
        <w:rPr>
          <w:rFonts w:cs="Times New Roman"/>
          <w:szCs w:val="24"/>
        </w:rPr>
        <w:t>ACEi</w:t>
      </w:r>
      <w:proofErr w:type="spellEnd"/>
      <w:r>
        <w:rPr>
          <w:rFonts w:cs="Times New Roman"/>
          <w:szCs w:val="24"/>
        </w:rPr>
        <w:t>/ARB should be stopped with deterioration of renal function was based on clinician and patient preference, and the baseline renal function and degree of deterioration with dose escalation.</w:t>
      </w:r>
    </w:p>
    <w:p w:rsidR="001A4654" w:rsidRDefault="001A4654" w:rsidP="001A4654">
      <w:pPr>
        <w:spacing w:after="160" w:line="256" w:lineRule="auto"/>
        <w:jc w:val="left"/>
        <w:rPr>
          <w:rFonts w:cs="Times New Roman"/>
          <w:b/>
          <w:bCs/>
          <w:szCs w:val="24"/>
        </w:rPr>
      </w:pPr>
      <w:r>
        <w:rPr>
          <w:rFonts w:cs="Times New Roman"/>
          <w:b/>
          <w:bCs/>
          <w:szCs w:val="24"/>
        </w:rPr>
        <w:br w:type="page"/>
      </w:r>
    </w:p>
    <w:p w:rsidR="001A4654" w:rsidRDefault="001A4654" w:rsidP="001A4654">
      <w:pPr>
        <w:spacing w:after="0" w:line="360" w:lineRule="auto"/>
        <w:rPr>
          <w:rFonts w:cs="Times New Roman"/>
          <w:szCs w:val="24"/>
        </w:rPr>
      </w:pPr>
      <w:proofErr w:type="gramStart"/>
      <w:r>
        <w:rPr>
          <w:rFonts w:cs="Times New Roman"/>
          <w:b/>
          <w:bCs/>
          <w:szCs w:val="24"/>
        </w:rPr>
        <w:lastRenderedPageBreak/>
        <w:t>Supplementary Table 1</w:t>
      </w:r>
      <w:r>
        <w:rPr>
          <w:rFonts w:cs="Times New Roman"/>
          <w:szCs w:val="24"/>
        </w:rPr>
        <w:t>.</w:t>
      </w:r>
      <w:proofErr w:type="gramEnd"/>
      <w:r>
        <w:rPr>
          <w:rFonts w:cs="Times New Roman"/>
          <w:szCs w:val="24"/>
        </w:rPr>
        <w:t xml:space="preserve"> Initial and target doses of </w:t>
      </w:r>
      <w:proofErr w:type="spellStart"/>
      <w:r>
        <w:rPr>
          <w:rFonts w:cs="Times New Roman"/>
          <w:szCs w:val="24"/>
        </w:rPr>
        <w:t>ACEi</w:t>
      </w:r>
      <w:proofErr w:type="spellEnd"/>
      <w:r>
        <w:rPr>
          <w:rFonts w:cs="Times New Roman"/>
          <w:szCs w:val="24"/>
        </w:rPr>
        <w:t>, ARB, and beta-blockers.</w:t>
      </w:r>
    </w:p>
    <w:tbl>
      <w:tblPr>
        <w:tblStyle w:val="TableGrid"/>
        <w:tblW w:w="0" w:type="auto"/>
        <w:tblInd w:w="0" w:type="dxa"/>
        <w:tblLook w:val="04A0" w:firstRow="1" w:lastRow="0" w:firstColumn="1" w:lastColumn="0" w:noHBand="0" w:noVBand="1"/>
      </w:tblPr>
      <w:tblGrid>
        <w:gridCol w:w="3005"/>
        <w:gridCol w:w="3005"/>
        <w:gridCol w:w="3006"/>
      </w:tblGrid>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b/>
                <w:bCs/>
                <w:sz w:val="22"/>
              </w:rPr>
            </w:pPr>
            <w:r>
              <w:rPr>
                <w:rFonts w:cs="Times New Roman"/>
                <w:b/>
                <w:bCs/>
                <w:sz w:val="22"/>
              </w:rPr>
              <w:t>Medication</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b/>
                <w:bCs/>
                <w:sz w:val="22"/>
              </w:rPr>
            </w:pPr>
            <w:r>
              <w:rPr>
                <w:rFonts w:cs="Times New Roman"/>
                <w:b/>
                <w:bCs/>
                <w:sz w:val="22"/>
              </w:rPr>
              <w:t>Initial dose</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b/>
                <w:bCs/>
                <w:sz w:val="22"/>
              </w:rPr>
            </w:pPr>
            <w:r>
              <w:rPr>
                <w:rFonts w:cs="Times New Roman"/>
                <w:b/>
                <w:bCs/>
                <w:sz w:val="22"/>
              </w:rPr>
              <w:t>Target dose</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cs="Times New Roman"/>
                <w:sz w:val="22"/>
              </w:rPr>
              <w:t>Angiotensin Converting Enzyme inhibitor</w:t>
            </w:r>
          </w:p>
        </w:tc>
        <w:tc>
          <w:tcPr>
            <w:tcW w:w="3005"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c>
          <w:tcPr>
            <w:tcW w:w="3006"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 xml:space="preserve">Captopril </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6.25mg three times per day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50mg three times per day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Enalapril</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10-20mg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Lisinopril</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20-40mg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 xml:space="preserve">Ramipril </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twice a day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Trandolapril</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Perindopril arginine salt</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5mg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 xml:space="preserve">Perindopril </w:t>
            </w:r>
            <w:proofErr w:type="spellStart"/>
            <w:r>
              <w:rPr>
                <w:rFonts w:eastAsia="Times New Roman" w:cs="Times New Roman"/>
                <w:sz w:val="22"/>
              </w:rPr>
              <w:t>erbumine</w:t>
            </w:r>
            <w:proofErr w:type="spellEnd"/>
            <w:r>
              <w:rPr>
                <w:rFonts w:eastAsia="Times New Roman" w:cs="Times New Roman"/>
                <w:sz w:val="22"/>
              </w:rPr>
              <w:t xml:space="preserve"> salt</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Fosinopril</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10-40mg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cs="Times New Roman"/>
                <w:sz w:val="22"/>
              </w:rPr>
              <w:t>Angiotensin Receptor Blocker</w:t>
            </w:r>
          </w:p>
        </w:tc>
        <w:tc>
          <w:tcPr>
            <w:tcW w:w="3005"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c>
          <w:tcPr>
            <w:tcW w:w="3006"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Candesartan</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32mg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Valsartan</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40mg twice a day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160mg twice a day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Losartan</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50mg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Telmisartan</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40mg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80mg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Eprosartan</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400mg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600mg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Irbesartan</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75mg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300mg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cs="Times New Roman"/>
                <w:sz w:val="22"/>
              </w:rPr>
              <w:t>Beta-blocker</w:t>
            </w:r>
          </w:p>
        </w:tc>
        <w:tc>
          <w:tcPr>
            <w:tcW w:w="3005"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c>
          <w:tcPr>
            <w:tcW w:w="3006" w:type="dxa"/>
            <w:tcBorders>
              <w:top w:val="single" w:sz="4" w:space="0" w:color="auto"/>
              <w:left w:val="single" w:sz="4" w:space="0" w:color="auto"/>
              <w:bottom w:val="single" w:sz="4" w:space="0" w:color="auto"/>
              <w:right w:val="single" w:sz="4" w:space="0" w:color="auto"/>
            </w:tcBorders>
          </w:tcPr>
          <w:p w:rsidR="001A4654" w:rsidRDefault="001A4654">
            <w:pPr>
              <w:spacing w:line="480" w:lineRule="auto"/>
              <w:jc w:val="left"/>
              <w:rPr>
                <w:rFonts w:cs="Times New Roman"/>
                <w:sz w:val="22"/>
              </w:rPr>
            </w:pP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Bisoprolol</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 xml:space="preserve">Carvedilol </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3.125mg twice a day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twice a day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Metoprolol succinate (CR/XL)</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23.75mg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190mg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Metoprolol</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12.5mg twice a day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100mg twice a day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proofErr w:type="spellStart"/>
            <w:r>
              <w:rPr>
                <w:rFonts w:eastAsia="Times New Roman" w:cs="Times New Roman"/>
                <w:sz w:val="22"/>
              </w:rPr>
              <w:t>Nebivolol</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10mg daily</w:t>
            </w:r>
          </w:p>
        </w:tc>
      </w:tr>
      <w:tr w:rsidR="001A4654" w:rsidTr="001A4654">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lastRenderedPageBreak/>
              <w:t>Atenolol</w:t>
            </w:r>
          </w:p>
        </w:tc>
        <w:tc>
          <w:tcPr>
            <w:tcW w:w="3005"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25mg daily</w:t>
            </w:r>
          </w:p>
        </w:tc>
        <w:tc>
          <w:tcPr>
            <w:tcW w:w="3006"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jc w:val="left"/>
              <w:rPr>
                <w:rFonts w:cs="Times New Roman"/>
                <w:sz w:val="22"/>
              </w:rPr>
            </w:pPr>
            <w:r>
              <w:rPr>
                <w:rFonts w:eastAsia="Times New Roman" w:cs="Times New Roman"/>
                <w:sz w:val="22"/>
              </w:rPr>
              <w:t>100mg daily</w:t>
            </w:r>
          </w:p>
        </w:tc>
      </w:tr>
    </w:tbl>
    <w:p w:rsidR="001A4654" w:rsidRDefault="001A4654" w:rsidP="001A4654">
      <w:pPr>
        <w:spacing w:line="276" w:lineRule="auto"/>
        <w:jc w:val="left"/>
        <w:rPr>
          <w:rFonts w:cs="Times New Roman"/>
          <w:szCs w:val="24"/>
        </w:rPr>
      </w:pPr>
      <w:proofErr w:type="gramStart"/>
      <w:r>
        <w:rPr>
          <w:rFonts w:cs="Times New Roman"/>
          <w:b/>
          <w:bCs/>
          <w:szCs w:val="24"/>
        </w:rPr>
        <w:t>Supplementary Table 2</w:t>
      </w:r>
      <w:r>
        <w:rPr>
          <w:rFonts w:cs="Times New Roman"/>
          <w:szCs w:val="24"/>
        </w:rPr>
        <w:t>.</w:t>
      </w:r>
      <w:proofErr w:type="gramEnd"/>
      <w:r>
        <w:rPr>
          <w:rFonts w:cs="Times New Roman"/>
          <w:szCs w:val="24"/>
        </w:rPr>
        <w:t xml:space="preserve"> Multivariable Cox regression model of predictors of mortality, complete cases only.</w:t>
      </w:r>
    </w:p>
    <w:tbl>
      <w:tblPr>
        <w:tblStyle w:val="TableGrid"/>
        <w:tblW w:w="0" w:type="auto"/>
        <w:tblInd w:w="0" w:type="dxa"/>
        <w:tblLook w:val="04A0" w:firstRow="1" w:lastRow="0" w:firstColumn="1" w:lastColumn="0" w:noHBand="0" w:noVBand="1"/>
      </w:tblPr>
      <w:tblGrid>
        <w:gridCol w:w="4957"/>
        <w:gridCol w:w="1559"/>
        <w:gridCol w:w="1417"/>
        <w:gridCol w:w="1083"/>
      </w:tblGrid>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after="200" w:line="360" w:lineRule="auto"/>
              <w:rPr>
                <w:rFonts w:cs="Times New Roman"/>
                <w:b/>
                <w:bCs/>
                <w:sz w:val="22"/>
              </w:rPr>
            </w:pPr>
            <w:r>
              <w:rPr>
                <w:rFonts w:cs="Times New Roman"/>
                <w:b/>
                <w:bCs/>
                <w:sz w:val="22"/>
              </w:rPr>
              <w:t>Variable</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after="200" w:line="360" w:lineRule="auto"/>
              <w:rPr>
                <w:rFonts w:cs="Times New Roman"/>
                <w:b/>
                <w:bCs/>
                <w:sz w:val="22"/>
              </w:rPr>
            </w:pPr>
            <w:r>
              <w:rPr>
                <w:rFonts w:cs="Times New Roman"/>
                <w:b/>
                <w:bCs/>
                <w:sz w:val="22"/>
              </w:rPr>
              <w:t>Hazard Ratio</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after="200" w:line="360" w:lineRule="auto"/>
              <w:rPr>
                <w:rFonts w:cs="Times New Roman"/>
                <w:b/>
                <w:bCs/>
                <w:sz w:val="22"/>
              </w:rPr>
            </w:pPr>
            <w:r>
              <w:rPr>
                <w:rFonts w:cs="Times New Roman"/>
                <w:b/>
                <w:bCs/>
                <w:sz w:val="22"/>
              </w:rPr>
              <w:t>95% CI</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after="200" w:line="360" w:lineRule="auto"/>
              <w:rPr>
                <w:rFonts w:cs="Times New Roman"/>
                <w:b/>
                <w:bCs/>
                <w:sz w:val="22"/>
              </w:rPr>
            </w:pPr>
            <w:r>
              <w:rPr>
                <w:rFonts w:cs="Times New Roman"/>
                <w:b/>
                <w:bCs/>
                <w:sz w:val="22"/>
              </w:rPr>
              <w:t>p-value*</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Percentage of maximum ACE inhibitor or ARB dose (increase from 50% to 100%)</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0.77</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0.65 – 0.91</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0.00236</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Percentage of maximum Beta-blockers dose</w:t>
            </w:r>
          </w:p>
          <w:p w:rsidR="001A4654" w:rsidRDefault="001A4654">
            <w:pPr>
              <w:spacing w:line="480" w:lineRule="auto"/>
              <w:rPr>
                <w:rFonts w:cs="Times New Roman"/>
                <w:sz w:val="22"/>
              </w:rPr>
            </w:pPr>
            <w:r>
              <w:rPr>
                <w:rFonts w:cs="Times New Roman"/>
                <w:sz w:val="22"/>
              </w:rPr>
              <w:t>(</w:t>
            </w:r>
            <w:proofErr w:type="gramStart"/>
            <w:r>
              <w:rPr>
                <w:rFonts w:cs="Times New Roman"/>
                <w:sz w:val="22"/>
              </w:rPr>
              <w:t>increase</w:t>
            </w:r>
            <w:proofErr w:type="gramEnd"/>
            <w:r>
              <w:rPr>
                <w:rFonts w:cs="Times New Roman"/>
                <w:sz w:val="22"/>
              </w:rPr>
              <w:t xml:space="preserve"> from 50% to 100%)</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0.78</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0.65 – 0.94</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0.00963</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Age (increase of 10 years from referent 60 years)</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1.56</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1.35 – 1.80</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&lt;.00001</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Weight at the first appointment</w:t>
            </w:r>
          </w:p>
          <w:p w:rsidR="001A4654" w:rsidRDefault="001A4654">
            <w:pPr>
              <w:spacing w:line="480" w:lineRule="auto"/>
              <w:rPr>
                <w:rFonts w:cs="Times New Roman"/>
                <w:sz w:val="22"/>
              </w:rPr>
            </w:pPr>
            <w:r>
              <w:rPr>
                <w:rFonts w:cs="Times New Roman"/>
                <w:sz w:val="22"/>
              </w:rPr>
              <w:t>(increase of 10 kg from referent 60 kg)</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1.047</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0.98 – 1.12</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0.194</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Last recorded diastolic blood pressure</w:t>
            </w:r>
          </w:p>
          <w:p w:rsidR="001A4654" w:rsidRDefault="001A4654">
            <w:pPr>
              <w:spacing w:line="480" w:lineRule="auto"/>
              <w:rPr>
                <w:rFonts w:cs="Times New Roman"/>
                <w:sz w:val="22"/>
              </w:rPr>
            </w:pPr>
            <w:r>
              <w:rPr>
                <w:rFonts w:cs="Times New Roman"/>
                <w:sz w:val="22"/>
              </w:rPr>
              <w:t>(increase of 10 mmHg from referent 80 mm Hg)</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1.13</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0.98 – 1.30</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0.102</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Last recorded systolic blood pressure</w:t>
            </w:r>
          </w:p>
          <w:p w:rsidR="001A4654" w:rsidRDefault="001A4654">
            <w:pPr>
              <w:spacing w:line="480" w:lineRule="auto"/>
              <w:rPr>
                <w:rFonts w:cs="Times New Roman"/>
                <w:sz w:val="22"/>
              </w:rPr>
            </w:pPr>
            <w:r>
              <w:rPr>
                <w:rFonts w:cs="Times New Roman"/>
                <w:sz w:val="22"/>
              </w:rPr>
              <w:t>(increase of 20 mmHg from referent 90 mm Hg)</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0.40</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0.29 – 0.56</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&lt;.00001</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Last recorded systolic blood pressure</w:t>
            </w:r>
          </w:p>
          <w:p w:rsidR="001A4654" w:rsidRDefault="001A4654">
            <w:pPr>
              <w:spacing w:line="480" w:lineRule="auto"/>
              <w:rPr>
                <w:rFonts w:cs="Times New Roman"/>
                <w:sz w:val="22"/>
              </w:rPr>
            </w:pPr>
            <w:r>
              <w:rPr>
                <w:rFonts w:cs="Times New Roman"/>
                <w:sz w:val="22"/>
              </w:rPr>
              <w:t>(increase of 20 mmHg from referent 110 mm Hg)</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0.88</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0.65 – 1.19</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&lt;.00001</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Last recorded systolic blood pressure</w:t>
            </w:r>
          </w:p>
          <w:p w:rsidR="001A4654" w:rsidRDefault="001A4654">
            <w:pPr>
              <w:spacing w:line="480" w:lineRule="auto"/>
              <w:rPr>
                <w:rFonts w:cs="Times New Roman"/>
                <w:sz w:val="22"/>
              </w:rPr>
            </w:pPr>
            <w:r>
              <w:rPr>
                <w:rFonts w:cs="Times New Roman"/>
                <w:sz w:val="22"/>
              </w:rPr>
              <w:t>(increase of 20 mmHg from referent 130 mm Hg)</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1.013</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0.80 – 1.29</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&lt;.00001</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Atrial Fibrillation (presence versus absence)</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1.19</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0.91 – 1.54</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0.200</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Chronic Renal Failure (presence versus absence)</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1.42</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1.098 – 1.84</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0.00754</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Peripheral Vascular Disease (presence versus absence)</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1.77</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1.26 – 2.49</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0.00112</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Clinic Type (multidisciplinary ambulatory specialist clinic versus cardiology heart failure clinic)</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0.73</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0.56 – 0.95</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0.0177</w:t>
            </w:r>
          </w:p>
        </w:tc>
      </w:tr>
      <w:tr w:rsidR="001A4654" w:rsidTr="001A4654">
        <w:tc>
          <w:tcPr>
            <w:tcW w:w="495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lastRenderedPageBreak/>
              <w:t>Ischemic Heart Disease (presence versus absence)</w:t>
            </w:r>
          </w:p>
        </w:tc>
        <w:tc>
          <w:tcPr>
            <w:tcW w:w="1559"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1.086</w:t>
            </w:r>
          </w:p>
        </w:tc>
        <w:tc>
          <w:tcPr>
            <w:tcW w:w="1417"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0.83 – 1.42</w:t>
            </w:r>
          </w:p>
        </w:tc>
        <w:tc>
          <w:tcPr>
            <w:tcW w:w="1083" w:type="dxa"/>
            <w:tcBorders>
              <w:top w:val="single" w:sz="4" w:space="0" w:color="auto"/>
              <w:left w:val="single" w:sz="4" w:space="0" w:color="auto"/>
              <w:bottom w:val="single" w:sz="4" w:space="0" w:color="auto"/>
              <w:right w:val="single" w:sz="4" w:space="0" w:color="auto"/>
            </w:tcBorders>
            <w:hideMark/>
          </w:tcPr>
          <w:p w:rsidR="001A4654" w:rsidRDefault="001A4654">
            <w:pPr>
              <w:spacing w:line="480" w:lineRule="auto"/>
              <w:rPr>
                <w:rFonts w:cs="Times New Roman"/>
                <w:sz w:val="22"/>
              </w:rPr>
            </w:pPr>
            <w:r>
              <w:rPr>
                <w:rFonts w:cs="Times New Roman"/>
                <w:sz w:val="22"/>
              </w:rPr>
              <w:t>0.543</w:t>
            </w:r>
          </w:p>
        </w:tc>
      </w:tr>
    </w:tbl>
    <w:p w:rsidR="001A4654" w:rsidRDefault="001A4654" w:rsidP="001A4654">
      <w:pPr>
        <w:spacing w:after="0" w:line="360" w:lineRule="auto"/>
        <w:rPr>
          <w:rFonts w:cs="Times New Roman"/>
          <w:sz w:val="22"/>
        </w:rPr>
      </w:pPr>
      <w:r>
        <w:rPr>
          <w:rFonts w:cs="Times New Roman"/>
          <w:sz w:val="22"/>
        </w:rPr>
        <w:t>CI: confidence interval.</w:t>
      </w:r>
    </w:p>
    <w:p w:rsidR="001A4654" w:rsidRDefault="001A4654" w:rsidP="001A4654">
      <w:pPr>
        <w:spacing w:line="276" w:lineRule="auto"/>
        <w:jc w:val="left"/>
        <w:rPr>
          <w:rFonts w:cs="Times New Roman"/>
          <w:szCs w:val="24"/>
        </w:rPr>
      </w:pPr>
      <w:r>
        <w:rPr>
          <w:rFonts w:cs="Times New Roman"/>
          <w:szCs w:val="24"/>
        </w:rPr>
        <w:br w:type="page"/>
      </w:r>
    </w:p>
    <w:p w:rsidR="001A4654" w:rsidRDefault="001A4654" w:rsidP="001A4654">
      <w:pPr>
        <w:spacing w:after="0" w:line="360" w:lineRule="auto"/>
        <w:rPr>
          <w:rFonts w:cs="Times New Roman"/>
          <w:szCs w:val="24"/>
        </w:rPr>
      </w:pPr>
      <w:proofErr w:type="gramStart"/>
      <w:r>
        <w:rPr>
          <w:rFonts w:cs="Times New Roman"/>
          <w:b/>
          <w:bCs/>
          <w:szCs w:val="24"/>
        </w:rPr>
        <w:lastRenderedPageBreak/>
        <w:t>Supplementary Figure 1</w:t>
      </w:r>
      <w:r>
        <w:rPr>
          <w:rFonts w:cs="Times New Roman"/>
          <w:szCs w:val="24"/>
        </w:rPr>
        <w:t>.</w:t>
      </w:r>
      <w:proofErr w:type="gramEnd"/>
      <w:r>
        <w:rPr>
          <w:rFonts w:cs="Times New Roman"/>
          <w:szCs w:val="24"/>
        </w:rPr>
        <w:t xml:space="preserve"> Trace lines for the three multiply imputed variables (weight, systolic blood pressure, and diastolic blood pressure).</w:t>
      </w:r>
    </w:p>
    <w:p w:rsidR="001A4654" w:rsidRDefault="001A4654" w:rsidP="001A4654">
      <w:pPr>
        <w:spacing w:line="276" w:lineRule="auto"/>
        <w:jc w:val="left"/>
        <w:rPr>
          <w:rFonts w:cs="Times New Roman"/>
          <w:szCs w:val="24"/>
        </w:rPr>
      </w:pPr>
      <w:r>
        <w:rPr>
          <w:noProof/>
          <w:lang w:val="en-US"/>
        </w:rPr>
        <w:drawing>
          <wp:inline distT="0" distB="0" distL="0" distR="0">
            <wp:extent cx="5732145" cy="41351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b="1456"/>
                    <a:stretch>
                      <a:fillRect/>
                    </a:stretch>
                  </pic:blipFill>
                  <pic:spPr bwMode="auto">
                    <a:xfrm>
                      <a:off x="0" y="0"/>
                      <a:ext cx="5732145" cy="4135120"/>
                    </a:xfrm>
                    <a:prstGeom prst="rect">
                      <a:avLst/>
                    </a:prstGeom>
                    <a:noFill/>
                    <a:ln>
                      <a:noFill/>
                    </a:ln>
                  </pic:spPr>
                </pic:pic>
              </a:graphicData>
            </a:graphic>
          </wp:inline>
        </w:drawing>
      </w:r>
    </w:p>
    <w:p w:rsidR="001A4654" w:rsidRDefault="001A4654" w:rsidP="001A4654">
      <w:pPr>
        <w:spacing w:line="276" w:lineRule="auto"/>
        <w:jc w:val="left"/>
        <w:rPr>
          <w:rFonts w:cs="Times New Roman"/>
          <w:szCs w:val="24"/>
        </w:rPr>
      </w:pPr>
      <w:r>
        <w:rPr>
          <w:rFonts w:cs="Times New Roman"/>
          <w:szCs w:val="24"/>
        </w:rPr>
        <w:br w:type="page"/>
      </w:r>
    </w:p>
    <w:p w:rsidR="001A4654" w:rsidRDefault="001A4654" w:rsidP="001A4654">
      <w:pPr>
        <w:spacing w:after="0" w:line="360" w:lineRule="auto"/>
        <w:rPr>
          <w:rFonts w:cs="Times New Roman"/>
          <w:szCs w:val="24"/>
        </w:rPr>
      </w:pPr>
      <w:proofErr w:type="gramStart"/>
      <w:r>
        <w:rPr>
          <w:rFonts w:cs="Times New Roman"/>
          <w:b/>
          <w:bCs/>
          <w:szCs w:val="24"/>
        </w:rPr>
        <w:lastRenderedPageBreak/>
        <w:t>Supplementary Figure 2</w:t>
      </w:r>
      <w:r>
        <w:rPr>
          <w:rFonts w:cs="Times New Roman"/>
          <w:szCs w:val="24"/>
        </w:rPr>
        <w:t>.</w:t>
      </w:r>
      <w:proofErr w:type="gramEnd"/>
      <w:r>
        <w:rPr>
          <w:rFonts w:cs="Times New Roman"/>
          <w:szCs w:val="24"/>
        </w:rPr>
        <w:t xml:space="preserve"> Multivariable Cox regression model of predictors of mortality, complete cases only.</w:t>
      </w:r>
    </w:p>
    <w:p w:rsidR="001A4654" w:rsidRDefault="001A4654" w:rsidP="001A4654">
      <w:pPr>
        <w:spacing w:after="0" w:line="360" w:lineRule="auto"/>
        <w:rPr>
          <w:rFonts w:cs="Times New Roman"/>
          <w:szCs w:val="24"/>
        </w:rPr>
      </w:pPr>
      <w:r>
        <w:rPr>
          <w:noProof/>
          <w:lang w:val="en-US"/>
        </w:rPr>
        <w:drawing>
          <wp:inline distT="0" distB="0" distL="0" distR="0">
            <wp:extent cx="5725160" cy="506984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t="4651"/>
                    <a:stretch>
                      <a:fillRect/>
                    </a:stretch>
                  </pic:blipFill>
                  <pic:spPr bwMode="auto">
                    <a:xfrm>
                      <a:off x="0" y="0"/>
                      <a:ext cx="5725160" cy="5069840"/>
                    </a:xfrm>
                    <a:prstGeom prst="rect">
                      <a:avLst/>
                    </a:prstGeom>
                    <a:noFill/>
                    <a:ln>
                      <a:noFill/>
                    </a:ln>
                  </pic:spPr>
                </pic:pic>
              </a:graphicData>
            </a:graphic>
          </wp:inline>
        </w:drawing>
      </w:r>
    </w:p>
    <w:p w:rsidR="00814A65" w:rsidRDefault="00814A65">
      <w:bookmarkStart w:id="0" w:name="_GoBack"/>
      <w:bookmarkEnd w:id="0"/>
    </w:p>
    <w:sectPr w:rsidR="00814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54"/>
    <w:rsid w:val="001A4654"/>
    <w:rsid w:val="0081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654"/>
    <w:pPr>
      <w:spacing w:line="240" w:lineRule="auto"/>
      <w:jc w:val="both"/>
    </w:pPr>
    <w:rPr>
      <w:rFonts w:ascii="Times New Roman" w:hAnsi="Times New Roman"/>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4654"/>
    <w:pPr>
      <w:spacing w:after="0" w:line="240" w:lineRule="auto"/>
    </w:pPr>
    <w:rPr>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46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654"/>
    <w:rPr>
      <w:rFonts w:ascii="Tahoma"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654"/>
    <w:pPr>
      <w:spacing w:line="240" w:lineRule="auto"/>
      <w:jc w:val="both"/>
    </w:pPr>
    <w:rPr>
      <w:rFonts w:ascii="Times New Roman" w:hAnsi="Times New Roman"/>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4654"/>
    <w:pPr>
      <w:spacing w:after="0" w:line="240" w:lineRule="auto"/>
    </w:pPr>
    <w:rPr>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46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654"/>
    <w:rPr>
      <w:rFonts w:ascii="Tahoma"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8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Nezzie Sabate</dc:creator>
  <cp:lastModifiedBy>Nezzie Sabate</cp:lastModifiedBy>
  <cp:revision>1</cp:revision>
  <dcterms:created xsi:type="dcterms:W3CDTF">2025-08-19T10:29:00Z</dcterms:created>
  <dcterms:modified xsi:type="dcterms:W3CDTF">2025-08-19T10:30:00Z</dcterms:modified>
</cp:coreProperties>
</file>