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Table</w:t>
      </w:r>
      <w:r>
        <w:rPr>
          <w:rFonts w:hint="eastAsia" w:ascii="Times New Roman" w:hAnsi="Times New Roman" w:cs="Times New Roman"/>
          <w:b/>
          <w:sz w:val="24"/>
          <w:szCs w:val="24"/>
        </w:rPr>
        <w:t xml:space="preserve"> S2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hint="eastAsia" w:ascii="Times New Roman" w:hAnsi="Times New Roman" w:cs="Times New Roman"/>
          <w:b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</w:rPr>
        <w:t xml:space="preserve">After multiple imputation multivariate logistic regression analyses of UHR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hint="eastAsia" w:ascii="Times New Roman" w:hAnsi="Times New Roman" w:cs="Times New Roman"/>
          <w:sz w:val="24"/>
          <w:szCs w:val="24"/>
        </w:rPr>
        <w:t>readmission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risk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hint="eastAsia"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atients with congestive Heart Failure.</w:t>
      </w:r>
    </w:p>
    <w:tbl>
      <w:tblPr>
        <w:tblStyle w:val="4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6"/>
        <w:gridCol w:w="1886"/>
        <w:gridCol w:w="930"/>
        <w:gridCol w:w="1826"/>
        <w:gridCol w:w="930"/>
        <w:gridCol w:w="1826"/>
        <w:gridCol w:w="930"/>
        <w:gridCol w:w="1826"/>
        <w:gridCol w:w="930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56" w:type="dxa"/>
            <w:vMerge w:val="restart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Outcomes</w:t>
            </w:r>
          </w:p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6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Crude mode</w:t>
            </w:r>
          </w:p>
        </w:tc>
        <w:tc>
          <w:tcPr>
            <w:tcW w:w="930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56" w:type="dxa"/>
            <w:gridSpan w:val="2"/>
            <w:tcBorders>
              <w:bottom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Model1</w:t>
            </w:r>
          </w:p>
        </w:tc>
        <w:tc>
          <w:tcPr>
            <w:tcW w:w="2756" w:type="dxa"/>
            <w:gridSpan w:val="2"/>
            <w:tcBorders>
              <w:bottom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Model2</w:t>
            </w:r>
          </w:p>
        </w:tc>
        <w:tc>
          <w:tcPr>
            <w:tcW w:w="0" w:type="auto"/>
            <w:gridSpan w:val="2"/>
            <w:tcBorders>
              <w:bottom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Model3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56" w:type="dxa"/>
            <w:vMerge w:val="continue"/>
            <w:tcBorders>
              <w:bottom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6" w:type="dxa"/>
            <w:tcBorders>
              <w:bottom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 (95%CI)</w:t>
            </w:r>
          </w:p>
        </w:tc>
        <w:tc>
          <w:tcPr>
            <w:tcW w:w="930" w:type="dxa"/>
            <w:tcBorders>
              <w:bottom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 value</w:t>
            </w:r>
          </w:p>
        </w:tc>
        <w:tc>
          <w:tcPr>
            <w:tcW w:w="1826" w:type="dxa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 (95%CI)</w:t>
            </w:r>
          </w:p>
        </w:tc>
        <w:tc>
          <w:tcPr>
            <w:tcW w:w="930" w:type="dxa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 value</w:t>
            </w:r>
          </w:p>
        </w:tc>
        <w:tc>
          <w:tcPr>
            <w:tcW w:w="1826" w:type="dxa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 (95%CI)</w:t>
            </w:r>
          </w:p>
        </w:tc>
        <w:tc>
          <w:tcPr>
            <w:tcW w:w="0" w:type="auto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 value</w:t>
            </w:r>
          </w:p>
        </w:tc>
        <w:tc>
          <w:tcPr>
            <w:tcW w:w="1826" w:type="dxa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 (95%CI)</w:t>
            </w:r>
          </w:p>
        </w:tc>
        <w:tc>
          <w:tcPr>
            <w:tcW w:w="930" w:type="dxa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 value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740" w:type="dxa"/>
            <w:gridSpan w:val="9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</w:rPr>
              <w:t>28-day readmission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 xml:space="preserve"> risk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5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Log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UHR</w:t>
            </w:r>
          </w:p>
        </w:tc>
        <w:tc>
          <w:tcPr>
            <w:tcW w:w="188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4.05 (2.18~7.5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4.57 (2.41~8.66)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3.91 (2.03~7.52)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3.99 (1.85~8.59)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5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Q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(&lt;2.28)</w:t>
            </w:r>
          </w:p>
        </w:tc>
        <w:tc>
          <w:tcPr>
            <w:tcW w:w="188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1(Ref)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1(Ref)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1(Ref)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1(Ref)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5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Q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(2.2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-2.4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8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1.59 (0.91~2.75)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0.101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1.57 (0.9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~2.74)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0.108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1.47 (0.84~2.57)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0.175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(0.85~2.66)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0.163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5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Q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(2.43-2.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60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8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1.29 (0.73~2.28)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0.385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1.3 (0.73~2.31)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0.382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1.12 (0.62~2.02)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0.701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1.13 (0.61~2.09)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0.704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5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Q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(&gt;2.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60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8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2.74 (1.65~4.56)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2.86 (1.7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~4.82)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2.51 (1.47~4.26)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2.44 (1.36~4.39)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0.003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5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 for trend</w:t>
            </w:r>
          </w:p>
        </w:tc>
        <w:tc>
          <w:tcPr>
            <w:tcW w:w="188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0.006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54" w:type="dxa"/>
            <w:gridSpan w:val="6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 xml:space="preserve">                                     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</w:rPr>
              <w:t>3-month readmission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 xml:space="preserve"> risk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5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Log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UHR</w:t>
            </w:r>
          </w:p>
        </w:tc>
        <w:tc>
          <w:tcPr>
            <w:tcW w:w="188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2.18 (1.44~3.29)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2.32 (1.52~3.55)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1.94 (1.26~3)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0.003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1.79 (1.08~2.97)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0.024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5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Q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(&lt;2.2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8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1(Ref)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1(Ref)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1(Ref)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1(Ref)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5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Q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(2.2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-2.4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8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1.16 (0.86~1.57)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0.316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1.17 (0.87~1.59)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0.295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1.11 (0.82~1.5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0.516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1.07 (0.78~1.45)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0.691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65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Q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(2.43-2.59)</w:t>
            </w:r>
          </w:p>
        </w:tc>
        <w:tc>
          <w:tcPr>
            <w:tcW w:w="188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1.12 (0.83~1.51)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0.456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1.14 (0.84~1.55)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0.392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1.05 (0.77~1.43)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0.751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0.97 (0.7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~1.35)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0.876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65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Q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(&gt;2.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60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8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1.77 (1.33~2.35)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1.83 (1.37~2.46)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1.63 (1.21~2.21)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1.47 (1.06~2.06)</w:t>
            </w:r>
          </w:p>
        </w:tc>
        <w:tc>
          <w:tcPr>
            <w:tcW w:w="93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0.022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5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 for trend</w:t>
            </w:r>
          </w:p>
        </w:tc>
        <w:tc>
          <w:tcPr>
            <w:tcW w:w="188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0.002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0.034</w:t>
            </w:r>
          </w:p>
        </w:tc>
      </w:tr>
    </w:tbl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Crude model was adjusted for none 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Model 1 was adjusted for age and gender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Model 2 was adjusted for model 1+ (</w:t>
      </w:r>
      <w:r>
        <w:rPr>
          <w:rFonts w:hint="eastAsia" w:ascii="Times New Roman" w:hAnsi="Times New Roman" w:cs="Times New Roman"/>
          <w:szCs w:val="21"/>
        </w:rPr>
        <w:t>body mass index, NYHA cardiac function classification, diabetes, chronic kidney disease</w:t>
      </w:r>
      <w:r>
        <w:rPr>
          <w:rFonts w:ascii="Times New Roman" w:hAnsi="Times New Roman" w:cs="Times New Roman"/>
          <w:szCs w:val="21"/>
        </w:rPr>
        <w:t>).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Model 3 was adjusted for model 1+</w:t>
      </w:r>
      <w:r>
        <w:rPr>
          <w:rFonts w:hint="eastAsia"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model 2+ (</w:t>
      </w:r>
      <w:r>
        <w:rPr>
          <w:rFonts w:hint="eastAsia" w:ascii="Times New Roman" w:hAnsi="Times New Roman" w:cs="Times New Roman"/>
          <w:szCs w:val="21"/>
        </w:rPr>
        <w:t xml:space="preserve">brain natriuretic peptide, left ventricular ejection fraction, </w:t>
      </w:r>
      <w:r>
        <w:rPr>
          <w:rFonts w:hint="eastAsia" w:ascii="Times New Roman" w:hAnsi="Times New Roman" w:cs="Times New Roman"/>
          <w:szCs w:val="21"/>
          <w:lang w:val="en-US" w:eastAsia="zh-CN"/>
        </w:rPr>
        <w:t>a</w:t>
      </w:r>
      <w:r>
        <w:rPr>
          <w:rFonts w:hint="eastAsia" w:ascii="Times New Roman" w:hAnsi="Times New Roman" w:cs="Times New Roman"/>
          <w:szCs w:val="21"/>
        </w:rPr>
        <w:t xml:space="preserve">lanine aminotransferase, </w:t>
      </w:r>
      <w:r>
        <w:rPr>
          <w:rFonts w:hint="eastAsia" w:ascii="Times New Roman" w:hAnsi="Times New Roman" w:cs="Times New Roman"/>
          <w:szCs w:val="21"/>
          <w:lang w:val="en-US" w:eastAsia="zh-CN"/>
        </w:rPr>
        <w:t>a</w:t>
      </w:r>
      <w:r>
        <w:rPr>
          <w:rFonts w:hint="eastAsia" w:ascii="Times New Roman" w:hAnsi="Times New Roman" w:cs="Times New Roman"/>
          <w:szCs w:val="21"/>
        </w:rPr>
        <w:t xml:space="preserve">spartate transaminase, creatinine, estimated glomerular filtration rate, </w:t>
      </w:r>
      <w:r>
        <w:rPr>
          <w:rFonts w:hint="eastAsia" w:ascii="Times New Roman" w:hAnsi="Times New Roman" w:cs="Times New Roman"/>
          <w:szCs w:val="21"/>
          <w:lang w:val="en-US" w:eastAsia="zh-CN"/>
        </w:rPr>
        <w:t>l</w:t>
      </w:r>
      <w:r>
        <w:rPr>
          <w:rFonts w:hint="eastAsia" w:ascii="Times New Roman" w:hAnsi="Times New Roman" w:cs="Times New Roman"/>
          <w:szCs w:val="21"/>
        </w:rPr>
        <w:t xml:space="preserve">ow-density lipoprotein cholesterol, </w:t>
      </w:r>
      <w:r>
        <w:rPr>
          <w:rFonts w:hint="eastAsia" w:ascii="Times New Roman" w:hAnsi="Times New Roman" w:cs="Times New Roman"/>
          <w:szCs w:val="21"/>
          <w:lang w:val="en-US" w:eastAsia="zh-CN"/>
        </w:rPr>
        <w:t>t</w:t>
      </w:r>
      <w:r>
        <w:rPr>
          <w:rFonts w:hint="eastAsia" w:ascii="Times New Roman" w:hAnsi="Times New Roman" w:cs="Times New Roman"/>
          <w:szCs w:val="21"/>
        </w:rPr>
        <w:t xml:space="preserve">riglyceride, angiotensin-converting enzyme inhibitor/angiotensin receptor blocker, </w:t>
      </w:r>
      <w:r>
        <w:rPr>
          <w:rFonts w:ascii="Times New Roman" w:hAnsi="Times New Roman" w:cs="Times New Roman"/>
          <w:szCs w:val="21"/>
        </w:rPr>
        <w:t>Spironolactone</w:t>
      </w:r>
      <w:r>
        <w:rPr>
          <w:rFonts w:hint="eastAsia" w:ascii="Times New Roman" w:hAnsi="Times New Roman" w:cs="Times New Roman"/>
          <w:szCs w:val="21"/>
        </w:rPr>
        <w:t>,</w:t>
      </w:r>
      <w:r>
        <w:rPr>
          <w:rFonts w:hint="eastAsia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Statins</w:t>
      </w:r>
      <w:r>
        <w:rPr>
          <w:rFonts w:ascii="Times New Roman" w:hAnsi="Times New Roman" w:cs="Times New Roman"/>
          <w:szCs w:val="21"/>
        </w:rPr>
        <w:t>).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>UHR Uric acid-to-high-density lipoprotein cholesterol ratio.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NiYWYzZDMyNzNhMzM2ZGIyYmE1ODNmNTYzZmFkZDcifQ=="/>
  </w:docVars>
  <w:rsids>
    <w:rsidRoot w:val="004136FA"/>
    <w:rsid w:val="00086EA8"/>
    <w:rsid w:val="000B2D42"/>
    <w:rsid w:val="000E18D0"/>
    <w:rsid w:val="000E2245"/>
    <w:rsid w:val="001066F9"/>
    <w:rsid w:val="00136284"/>
    <w:rsid w:val="00161680"/>
    <w:rsid w:val="00172170"/>
    <w:rsid w:val="001851B8"/>
    <w:rsid w:val="001A1FE5"/>
    <w:rsid w:val="001B4E2D"/>
    <w:rsid w:val="001C78AE"/>
    <w:rsid w:val="001D3378"/>
    <w:rsid w:val="001F7BF5"/>
    <w:rsid w:val="002037D9"/>
    <w:rsid w:val="00211FE2"/>
    <w:rsid w:val="00221C1D"/>
    <w:rsid w:val="00247848"/>
    <w:rsid w:val="002703F8"/>
    <w:rsid w:val="002758FB"/>
    <w:rsid w:val="0028750C"/>
    <w:rsid w:val="002908B6"/>
    <w:rsid w:val="002C7DF8"/>
    <w:rsid w:val="002E276B"/>
    <w:rsid w:val="002E6440"/>
    <w:rsid w:val="002F6D6D"/>
    <w:rsid w:val="003276FE"/>
    <w:rsid w:val="00352845"/>
    <w:rsid w:val="00390791"/>
    <w:rsid w:val="003A5816"/>
    <w:rsid w:val="0040610E"/>
    <w:rsid w:val="00407E5B"/>
    <w:rsid w:val="004136FA"/>
    <w:rsid w:val="00445C4E"/>
    <w:rsid w:val="0047792A"/>
    <w:rsid w:val="00492EC9"/>
    <w:rsid w:val="004D4A08"/>
    <w:rsid w:val="004D663D"/>
    <w:rsid w:val="004F0C6D"/>
    <w:rsid w:val="00547A26"/>
    <w:rsid w:val="005632F5"/>
    <w:rsid w:val="0056355A"/>
    <w:rsid w:val="00567175"/>
    <w:rsid w:val="00574090"/>
    <w:rsid w:val="00583476"/>
    <w:rsid w:val="00586F05"/>
    <w:rsid w:val="005A0A26"/>
    <w:rsid w:val="005B294A"/>
    <w:rsid w:val="005B2B27"/>
    <w:rsid w:val="005B6692"/>
    <w:rsid w:val="005B7B00"/>
    <w:rsid w:val="005C3A53"/>
    <w:rsid w:val="005F368C"/>
    <w:rsid w:val="00613B11"/>
    <w:rsid w:val="00620DDD"/>
    <w:rsid w:val="00621DF1"/>
    <w:rsid w:val="00633D18"/>
    <w:rsid w:val="00656BB3"/>
    <w:rsid w:val="006A08F1"/>
    <w:rsid w:val="006B411C"/>
    <w:rsid w:val="006B6269"/>
    <w:rsid w:val="006C01B7"/>
    <w:rsid w:val="006C0E38"/>
    <w:rsid w:val="0074150B"/>
    <w:rsid w:val="00742E40"/>
    <w:rsid w:val="007864E5"/>
    <w:rsid w:val="00787182"/>
    <w:rsid w:val="00795B18"/>
    <w:rsid w:val="007A2C64"/>
    <w:rsid w:val="007A45DC"/>
    <w:rsid w:val="00860B64"/>
    <w:rsid w:val="00866055"/>
    <w:rsid w:val="008C1A79"/>
    <w:rsid w:val="009061DF"/>
    <w:rsid w:val="009350AD"/>
    <w:rsid w:val="00953CEB"/>
    <w:rsid w:val="00971EA5"/>
    <w:rsid w:val="00977FAD"/>
    <w:rsid w:val="00994E3B"/>
    <w:rsid w:val="009A6E01"/>
    <w:rsid w:val="009C7A1F"/>
    <w:rsid w:val="009E031E"/>
    <w:rsid w:val="009F6BAD"/>
    <w:rsid w:val="00A01C3B"/>
    <w:rsid w:val="00A45A30"/>
    <w:rsid w:val="00A813D3"/>
    <w:rsid w:val="00AA4645"/>
    <w:rsid w:val="00AE26BE"/>
    <w:rsid w:val="00AF452B"/>
    <w:rsid w:val="00B347C1"/>
    <w:rsid w:val="00B37E9B"/>
    <w:rsid w:val="00B47E3D"/>
    <w:rsid w:val="00B633AD"/>
    <w:rsid w:val="00C45E2F"/>
    <w:rsid w:val="00C65808"/>
    <w:rsid w:val="00C7580E"/>
    <w:rsid w:val="00D677E2"/>
    <w:rsid w:val="00DD5851"/>
    <w:rsid w:val="00DD6110"/>
    <w:rsid w:val="00DE2DBA"/>
    <w:rsid w:val="00DE43CF"/>
    <w:rsid w:val="00E22A03"/>
    <w:rsid w:val="00E675A3"/>
    <w:rsid w:val="00E7753E"/>
    <w:rsid w:val="00E847C0"/>
    <w:rsid w:val="00E9264A"/>
    <w:rsid w:val="00E9329C"/>
    <w:rsid w:val="00EC66B5"/>
    <w:rsid w:val="00F27511"/>
    <w:rsid w:val="00F369DA"/>
    <w:rsid w:val="00F64468"/>
    <w:rsid w:val="00F64DB3"/>
    <w:rsid w:val="00F665C2"/>
    <w:rsid w:val="00FF27B3"/>
    <w:rsid w:val="09622C8A"/>
    <w:rsid w:val="0B8E420A"/>
    <w:rsid w:val="0D35493D"/>
    <w:rsid w:val="130D010A"/>
    <w:rsid w:val="14496F20"/>
    <w:rsid w:val="187D188E"/>
    <w:rsid w:val="22462CF1"/>
    <w:rsid w:val="240115C5"/>
    <w:rsid w:val="2B27595E"/>
    <w:rsid w:val="30823B2A"/>
    <w:rsid w:val="39F552D0"/>
    <w:rsid w:val="3BAC115C"/>
    <w:rsid w:val="3C236125"/>
    <w:rsid w:val="3C6F136A"/>
    <w:rsid w:val="3DA2751D"/>
    <w:rsid w:val="42100EF9"/>
    <w:rsid w:val="49B77EAC"/>
    <w:rsid w:val="4B6D116B"/>
    <w:rsid w:val="4D810EFD"/>
    <w:rsid w:val="4EF37BD9"/>
    <w:rsid w:val="52A82A88"/>
    <w:rsid w:val="54BC6CBF"/>
    <w:rsid w:val="573E331C"/>
    <w:rsid w:val="59123351"/>
    <w:rsid w:val="5BFB631F"/>
    <w:rsid w:val="5E1216FE"/>
    <w:rsid w:val="5EDB5F93"/>
    <w:rsid w:val="657038D9"/>
    <w:rsid w:val="76397D18"/>
    <w:rsid w:val="788C05D2"/>
    <w:rsid w:val="7AA716F4"/>
    <w:rsid w:val="7D2A4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kern w:val="2"/>
      <w:sz w:val="18"/>
      <w:szCs w:val="18"/>
      <w14:ligatures w14:val="standardContextual"/>
    </w:rPr>
  </w:style>
  <w:style w:type="character" w:customStyle="1" w:styleId="7">
    <w:name w:val="页脚 字符"/>
    <w:basedOn w:val="5"/>
    <w:link w:val="2"/>
    <w:qFormat/>
    <w:uiPriority w:val="99"/>
    <w:rPr>
      <w:kern w:val="2"/>
      <w:sz w:val="18"/>
      <w:szCs w:val="18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8FC844-86D4-423B-AD4F-DCFE4C6719D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249</Words>
  <Characters>1663</Characters>
  <Lines>14</Lines>
  <Paragraphs>4</Paragraphs>
  <TotalTime>295</TotalTime>
  <ScaleCrop>false</ScaleCrop>
  <LinksUpToDate>false</LinksUpToDate>
  <CharactersWithSpaces>1845</CharactersWithSpaces>
  <Application>WPS Office_11.1.0.12173_F1E327BC-269C-435d-A152-05C5408002CA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2024-04-13T07:04:00Z</dcterms:created>
  <dc:creator>Lenovo</dc:creator>
  <cp:lastModifiedBy>guole</cp:lastModifiedBy>
  <dcterms:modified xsi:type="dcterms:W3CDTF">2025-08-17T06:46:26Z</dcterms:modified>
  <cp:revision>75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2052-11.1.0.12173</vt:lpwstr>
  </property>
  <property fmtid="{D5CDD505-2E9C-101B-9397-08002B2CF9AE}" pid="3" name="ICV">
    <vt:lpwstr>2C5E55A9A9954D2DBAD9C10AB1E3F0C9_12</vt:lpwstr>
  </property>
</Properties>
</file>