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6E599" w14:textId="5E2C5B65" w:rsidR="006261A1" w:rsidRPr="00BE636E" w:rsidRDefault="006261A1" w:rsidP="00AD203D">
      <w:pPr>
        <w:pStyle w:val="MDPI18keywords"/>
        <w:spacing w:before="0" w:line="480" w:lineRule="auto"/>
        <w:ind w:left="0"/>
        <w:rPr>
          <w:rFonts w:ascii="Times New Roman" w:hAnsi="Times New Roman"/>
          <w:b/>
          <w:bCs/>
          <w:sz w:val="28"/>
          <w:szCs w:val="24"/>
          <w:shd w:val="clear" w:color="auto" w:fill="FFFFFF"/>
          <w:lang w:val="en-GB"/>
        </w:rPr>
      </w:pPr>
      <w:bookmarkStart w:id="0" w:name="_GoBack"/>
      <w:bookmarkEnd w:id="0"/>
      <w:r w:rsidRPr="00BE636E">
        <w:rPr>
          <w:rFonts w:ascii="Times New Roman" w:hAnsi="Times New Roman"/>
          <w:b/>
          <w:bCs/>
          <w:sz w:val="28"/>
          <w:szCs w:val="24"/>
          <w:shd w:val="clear" w:color="auto" w:fill="FFFFFF"/>
          <w:lang w:val="en-GB"/>
        </w:rPr>
        <w:t>Supplementary material 2</w:t>
      </w:r>
      <w:r w:rsidR="00BE636E" w:rsidRPr="00BE636E">
        <w:rPr>
          <w:rFonts w:ascii="Times New Roman" w:hAnsi="Times New Roman"/>
          <w:b/>
          <w:bCs/>
          <w:sz w:val="28"/>
          <w:szCs w:val="24"/>
          <w:shd w:val="clear" w:color="auto" w:fill="FFFFFF"/>
          <w:lang w:val="en-GB"/>
        </w:rPr>
        <w:t>: Methods.</w:t>
      </w:r>
    </w:p>
    <w:p w14:paraId="6E62EBD5" w14:textId="77777777" w:rsidR="000D2AA1" w:rsidRPr="00AD203D" w:rsidRDefault="000D2AA1" w:rsidP="00AD203D">
      <w:pPr>
        <w:spacing w:line="480" w:lineRule="auto"/>
        <w:rPr>
          <w:rFonts w:ascii="Times New Roman" w:hAnsi="Times New Roman" w:cs="Times New Roman"/>
          <w:sz w:val="24"/>
          <w:szCs w:val="24"/>
          <w:lang w:val="en-GB" w:eastAsia="de-DE" w:bidi="en-US"/>
        </w:rPr>
      </w:pPr>
    </w:p>
    <w:p w14:paraId="63FE2EA2" w14:textId="77777777" w:rsidR="006261A1" w:rsidRPr="00AD203D" w:rsidRDefault="006261A1" w:rsidP="00AD203D">
      <w:pPr>
        <w:spacing w:after="0" w:line="480" w:lineRule="auto"/>
        <w:jc w:val="both"/>
        <w:rPr>
          <w:rFonts w:ascii="Times New Roman" w:hAnsi="Times New Roman" w:cs="Times New Roman"/>
          <w:sz w:val="24"/>
          <w:szCs w:val="24"/>
        </w:rPr>
      </w:pPr>
      <w:r w:rsidRPr="00AD203D">
        <w:rPr>
          <w:rFonts w:ascii="Times New Roman" w:eastAsia="Times New Roman" w:hAnsi="Times New Roman" w:cs="Times New Roman"/>
          <w:b/>
          <w:bCs/>
          <w:color w:val="000000" w:themeColor="text1"/>
          <w:sz w:val="24"/>
          <w:szCs w:val="24"/>
        </w:rPr>
        <w:t>Methods</w:t>
      </w:r>
      <w:r w:rsidRPr="00AD203D">
        <w:rPr>
          <w:rFonts w:ascii="Times New Roman" w:hAnsi="Times New Roman" w:cs="Times New Roman"/>
          <w:b/>
          <w:sz w:val="24"/>
          <w:szCs w:val="24"/>
        </w:rPr>
        <w:t xml:space="preserve"> of c</w:t>
      </w:r>
      <w:r w:rsidRPr="00AD203D">
        <w:rPr>
          <w:rFonts w:ascii="Times New Roman" w:eastAsia="Times New Roman" w:hAnsi="Times New Roman" w:cs="Times New Roman"/>
          <w:b/>
          <w:bCs/>
          <w:color w:val="000000" w:themeColor="text1"/>
          <w:sz w:val="24"/>
          <w:szCs w:val="24"/>
        </w:rPr>
        <w:t>linical evaluation</w:t>
      </w:r>
    </w:p>
    <w:p w14:paraId="5A7FBE2D" w14:textId="77777777" w:rsidR="00554951" w:rsidRDefault="006261A1" w:rsidP="61DC57B0">
      <w:pPr>
        <w:spacing w:after="0" w:line="480" w:lineRule="auto"/>
        <w:jc w:val="both"/>
        <w:rPr>
          <w:rFonts w:ascii="Times New Roman" w:eastAsia="Times New Roman" w:hAnsi="Times New Roman" w:cs="Times New Roman"/>
          <w:sz w:val="24"/>
          <w:szCs w:val="24"/>
        </w:rPr>
      </w:pPr>
      <w:r w:rsidRPr="61DC57B0">
        <w:rPr>
          <w:rFonts w:ascii="Times New Roman" w:eastAsia="Times New Roman" w:hAnsi="Times New Roman" w:cs="Times New Roman"/>
          <w:color w:val="000000" w:themeColor="text1"/>
          <w:sz w:val="24"/>
          <w:szCs w:val="24"/>
        </w:rPr>
        <w:t xml:space="preserve">Symptomatic patients were considered patients who experienced syncope </w:t>
      </w:r>
      <w:r w:rsidRPr="61DC57B0">
        <w:rPr>
          <w:rFonts w:ascii="Times New Roman" w:eastAsia="Times New Roman" w:hAnsi="Times New Roman" w:cs="Times New Roman"/>
          <w:sz w:val="24"/>
          <w:szCs w:val="24"/>
        </w:rPr>
        <w:t xml:space="preserve">or near syncope (presyncope) during </w:t>
      </w:r>
      <w:r w:rsidR="004D4FD4" w:rsidRPr="61DC57B0">
        <w:rPr>
          <w:rFonts w:ascii="Times New Roman" w:eastAsia="Times New Roman" w:hAnsi="Times New Roman" w:cs="Times New Roman"/>
          <w:sz w:val="24"/>
          <w:szCs w:val="24"/>
        </w:rPr>
        <w:t xml:space="preserve">an </w:t>
      </w:r>
      <w:r w:rsidRPr="61DC57B0">
        <w:rPr>
          <w:rFonts w:ascii="Times New Roman" w:eastAsia="Times New Roman" w:hAnsi="Times New Roman" w:cs="Times New Roman"/>
          <w:sz w:val="24"/>
          <w:szCs w:val="24"/>
        </w:rPr>
        <w:t xml:space="preserve">arrhythmia episode, provoked by </w:t>
      </w:r>
      <w:r w:rsidR="004D4FD4" w:rsidRPr="61DC57B0">
        <w:rPr>
          <w:rFonts w:ascii="Times New Roman" w:eastAsia="Times New Roman" w:hAnsi="Times New Roman" w:cs="Times New Roman"/>
          <w:sz w:val="24"/>
          <w:szCs w:val="24"/>
        </w:rPr>
        <w:t xml:space="preserve">the </w:t>
      </w:r>
      <w:r w:rsidRPr="61DC57B0">
        <w:rPr>
          <w:rFonts w:ascii="Times New Roman" w:eastAsia="Times New Roman" w:hAnsi="Times New Roman" w:cs="Times New Roman"/>
          <w:sz w:val="24"/>
          <w:szCs w:val="24"/>
        </w:rPr>
        <w:t xml:space="preserve">genotype-specific trigger. </w:t>
      </w:r>
    </w:p>
    <w:p w14:paraId="23395301" w14:textId="667A37D5" w:rsidR="00554951" w:rsidRDefault="006261A1" w:rsidP="61DC57B0">
      <w:pPr>
        <w:spacing w:after="0" w:line="480" w:lineRule="auto"/>
        <w:jc w:val="both"/>
        <w:rPr>
          <w:rFonts w:ascii="Times New Roman" w:eastAsia="Times New Roman" w:hAnsi="Times New Roman" w:cs="Times New Roman"/>
          <w:color w:val="000000" w:themeColor="text1"/>
          <w:sz w:val="24"/>
          <w:szCs w:val="24"/>
        </w:rPr>
      </w:pPr>
      <w:r w:rsidRPr="61DC57B0">
        <w:rPr>
          <w:rFonts w:ascii="Times New Roman" w:eastAsia="Times New Roman" w:hAnsi="Times New Roman" w:cs="Times New Roman"/>
          <w:sz w:val="24"/>
          <w:szCs w:val="24"/>
          <w:lang w:val="en-GB"/>
        </w:rPr>
        <w:t xml:space="preserve">A 12-lead </w:t>
      </w:r>
      <w:r w:rsidR="006A7CEB" w:rsidRPr="61DC57B0">
        <w:rPr>
          <w:rFonts w:ascii="Times New Roman" w:eastAsia="Times New Roman" w:hAnsi="Times New Roman" w:cs="Times New Roman"/>
          <w:sz w:val="24"/>
          <w:szCs w:val="24"/>
          <w:lang w:val="en-GB"/>
        </w:rPr>
        <w:t>electrocardiogram (</w:t>
      </w:r>
      <w:r w:rsidRPr="61DC57B0">
        <w:rPr>
          <w:rFonts w:ascii="Times New Roman" w:eastAsia="Times New Roman" w:hAnsi="Times New Roman" w:cs="Times New Roman"/>
          <w:sz w:val="24"/>
          <w:szCs w:val="24"/>
          <w:lang w:val="en-GB"/>
        </w:rPr>
        <w:t>ECG</w:t>
      </w:r>
      <w:r w:rsidR="006A7CEB" w:rsidRPr="61DC57B0">
        <w:rPr>
          <w:rFonts w:ascii="Times New Roman" w:eastAsia="Times New Roman" w:hAnsi="Times New Roman" w:cs="Times New Roman"/>
          <w:sz w:val="24"/>
          <w:szCs w:val="24"/>
          <w:lang w:val="en-GB"/>
        </w:rPr>
        <w:t>)</w:t>
      </w:r>
      <w:r w:rsidRPr="61DC57B0">
        <w:rPr>
          <w:rFonts w:ascii="Times New Roman" w:eastAsia="Times New Roman" w:hAnsi="Times New Roman" w:cs="Times New Roman"/>
          <w:sz w:val="24"/>
          <w:szCs w:val="24"/>
          <w:lang w:val="en-GB"/>
        </w:rPr>
        <w:t xml:space="preserve"> at a speed of 25 mm/s was recorded for each individual at </w:t>
      </w:r>
      <w:r w:rsidR="008A4D2D" w:rsidRPr="61DC57B0">
        <w:rPr>
          <w:rFonts w:ascii="Times New Roman" w:eastAsia="Times New Roman" w:hAnsi="Times New Roman" w:cs="Times New Roman"/>
          <w:sz w:val="24"/>
          <w:szCs w:val="24"/>
          <w:lang w:val="en-GB"/>
        </w:rPr>
        <w:t xml:space="preserve">a </w:t>
      </w:r>
      <w:r w:rsidRPr="61DC57B0">
        <w:rPr>
          <w:rFonts w:ascii="Times New Roman" w:eastAsia="Times New Roman" w:hAnsi="Times New Roman" w:cs="Times New Roman"/>
          <w:sz w:val="24"/>
          <w:szCs w:val="24"/>
          <w:lang w:val="en-GB"/>
        </w:rPr>
        <w:t xml:space="preserve">rest supine position and moving briskly to </w:t>
      </w:r>
      <w:r w:rsidR="004D4FD4" w:rsidRPr="61DC57B0">
        <w:rPr>
          <w:rFonts w:ascii="Times New Roman" w:eastAsia="Times New Roman" w:hAnsi="Times New Roman" w:cs="Times New Roman"/>
          <w:sz w:val="24"/>
          <w:szCs w:val="24"/>
          <w:lang w:val="en-GB"/>
        </w:rPr>
        <w:t xml:space="preserve">an </w:t>
      </w:r>
      <w:r w:rsidRPr="61DC57B0">
        <w:rPr>
          <w:rFonts w:ascii="Times New Roman" w:eastAsia="Times New Roman" w:hAnsi="Times New Roman" w:cs="Times New Roman"/>
          <w:sz w:val="24"/>
          <w:szCs w:val="24"/>
          <w:lang w:val="en-GB"/>
        </w:rPr>
        <w:t>orthostatic position.</w:t>
      </w:r>
      <w:r w:rsidR="00F63136" w:rsidRPr="00F63136">
        <w:t xml:space="preserve"> </w:t>
      </w:r>
      <w:r w:rsidR="00F63136" w:rsidRPr="00F63136">
        <w:rPr>
          <w:rFonts w:ascii="Times New Roman" w:eastAsia="Times New Roman" w:hAnsi="Times New Roman" w:cs="Times New Roman"/>
          <w:sz w:val="24"/>
          <w:szCs w:val="24"/>
          <w:lang w:val="en-GB"/>
        </w:rPr>
        <w:t>Recordings were obtained using a commercially available multichannel electrocardiograph MAC 20</w:t>
      </w:r>
      <w:r w:rsidR="00F63136">
        <w:rPr>
          <w:rFonts w:ascii="Times New Roman" w:eastAsia="Times New Roman" w:hAnsi="Times New Roman" w:cs="Times New Roman"/>
          <w:sz w:val="24"/>
          <w:szCs w:val="24"/>
          <w:lang w:val="en-GB"/>
        </w:rPr>
        <w:t>00 (GE MEDICAL SYSTEMS, INDIA).</w:t>
      </w:r>
      <w:r w:rsidR="009B69B9">
        <w:rPr>
          <w:rFonts w:ascii="Times New Roman" w:eastAsia="Times New Roman" w:hAnsi="Times New Roman" w:cs="Times New Roman"/>
          <w:sz w:val="24"/>
          <w:szCs w:val="24"/>
          <w:lang w:val="en-GB"/>
        </w:rPr>
        <w:t xml:space="preserve"> </w:t>
      </w:r>
      <w:r w:rsidRPr="61DC57B0">
        <w:rPr>
          <w:rFonts w:ascii="Times New Roman" w:eastAsia="Times New Roman" w:hAnsi="Times New Roman" w:cs="Times New Roman"/>
          <w:sz w:val="24"/>
          <w:szCs w:val="24"/>
          <w:lang w:val="en-GB"/>
        </w:rPr>
        <w:t xml:space="preserve"> The RR-QT couples were measured in lead II. </w:t>
      </w:r>
      <w:r w:rsidR="008A4D2D" w:rsidRPr="61DC57B0">
        <w:rPr>
          <w:rFonts w:ascii="Times New Roman" w:eastAsia="Times New Roman" w:hAnsi="Times New Roman" w:cs="Times New Roman"/>
          <w:sz w:val="24"/>
          <w:szCs w:val="24"/>
          <w:lang w:val="en-GB"/>
        </w:rPr>
        <w:t>The t</w:t>
      </w:r>
      <w:r w:rsidRPr="61DC57B0">
        <w:rPr>
          <w:rFonts w:ascii="Times New Roman" w:eastAsia="Times New Roman" w:hAnsi="Times New Roman" w:cs="Times New Roman"/>
          <w:sz w:val="24"/>
          <w:szCs w:val="24"/>
          <w:lang w:val="en-GB"/>
        </w:rPr>
        <w:t>angent method was used to define the end of</w:t>
      </w:r>
      <w:r w:rsidR="006A7CEB" w:rsidRPr="61DC57B0">
        <w:rPr>
          <w:rFonts w:ascii="Times New Roman" w:eastAsia="Times New Roman" w:hAnsi="Times New Roman" w:cs="Times New Roman"/>
          <w:sz w:val="24"/>
          <w:szCs w:val="24"/>
          <w:lang w:val="en-GB"/>
        </w:rPr>
        <w:t xml:space="preserve"> the </w:t>
      </w:r>
      <w:r w:rsidRPr="61DC57B0">
        <w:rPr>
          <w:rFonts w:ascii="Times New Roman" w:eastAsia="Times New Roman" w:hAnsi="Times New Roman" w:cs="Times New Roman"/>
          <w:sz w:val="24"/>
          <w:szCs w:val="24"/>
          <w:lang w:val="en-GB"/>
        </w:rPr>
        <w:t xml:space="preserve">T wave. Corrected QT values were calculated using </w:t>
      </w:r>
      <w:r w:rsidR="004D4FD4" w:rsidRPr="61DC57B0">
        <w:rPr>
          <w:rFonts w:ascii="Times New Roman" w:eastAsia="Times New Roman" w:hAnsi="Times New Roman" w:cs="Times New Roman"/>
          <w:sz w:val="24"/>
          <w:szCs w:val="24"/>
          <w:lang w:val="en-GB"/>
        </w:rPr>
        <w:t xml:space="preserve">the </w:t>
      </w:r>
      <w:r w:rsidRPr="61DC57B0">
        <w:rPr>
          <w:rFonts w:ascii="Times New Roman" w:eastAsia="Times New Roman" w:hAnsi="Times New Roman" w:cs="Times New Roman"/>
          <w:sz w:val="24"/>
          <w:szCs w:val="24"/>
          <w:lang w:val="en-GB"/>
        </w:rPr>
        <w:t>Bazett formula</w:t>
      </w:r>
      <w:r w:rsidR="000D2AA1" w:rsidRPr="61DC57B0">
        <w:rPr>
          <w:rFonts w:ascii="Times New Roman" w:eastAsia="Times New Roman" w:hAnsi="Times New Roman" w:cs="Times New Roman"/>
          <w:sz w:val="24"/>
          <w:szCs w:val="24"/>
          <w:lang w:val="en-GB"/>
        </w:rPr>
        <w:t xml:space="preserve"> </w:t>
      </w:r>
      <w:r w:rsidRPr="61DC57B0">
        <w:rPr>
          <w:rFonts w:ascii="Times New Roman" w:eastAsia="Times New Roman" w:hAnsi="Times New Roman" w:cs="Times New Roman"/>
          <w:sz w:val="24"/>
          <w:szCs w:val="24"/>
          <w:lang w:val="en-GB"/>
        </w:rPr>
        <w:fldChar w:fldCharType="begin"/>
      </w:r>
      <w:r w:rsidRPr="61DC57B0">
        <w:rPr>
          <w:rFonts w:ascii="Times New Roman" w:eastAsia="Times New Roman" w:hAnsi="Times New Roman" w:cs="Times New Roman"/>
          <w:sz w:val="24"/>
          <w:szCs w:val="24"/>
          <w:lang w:val="en-GB"/>
        </w:rPr>
        <w:instrText xml:space="preserve"> ADDIN ZOTERO_ITEM CSL_CITATION {"citationID":"59jvD9Do","properties":{"formattedCitation":"[1]","plainCitation":"[1]","noteIndex":0},"citationItems":[{"id":459,"uris":["http://zotero.org/users/10535646/items/SGWG33B6"],"itemData":{"id":459,"type":"article-journal","container-title":"Annals of Noninvasive Electrocardiology","DOI":"10.1111/j.1542-474X.1997.tb00325.x","ISSN":"1542-474X","issue":"2","language":"en","note":"_eprint: https://onlinelibrary.wiley.com/doi/pdf/10.1111/j.1542-474X.1997.tb00325.x","page":"177-194","source":"Wiley Online Library","title":"An Analysis of the Time-Relations of Electrocardiograms.","volume":"2","author":[{"family":"Bazett","given":"H. C."}],"issued":{"date-parts":[["1997"]]}}}],"schema":"https://github.com/citation-style-language/schema/raw/master/csl-citation.json"} </w:instrText>
      </w:r>
      <w:r w:rsidRPr="61DC57B0">
        <w:rPr>
          <w:rFonts w:ascii="Times New Roman" w:eastAsia="Times New Roman" w:hAnsi="Times New Roman" w:cs="Times New Roman"/>
          <w:sz w:val="24"/>
          <w:szCs w:val="24"/>
          <w:lang w:val="en-GB"/>
        </w:rPr>
        <w:fldChar w:fldCharType="separate"/>
      </w:r>
      <w:r w:rsidR="00B4435E" w:rsidRPr="61DC57B0">
        <w:rPr>
          <w:rFonts w:ascii="Times New Roman" w:hAnsi="Times New Roman" w:cs="Times New Roman"/>
          <w:sz w:val="24"/>
          <w:szCs w:val="24"/>
        </w:rPr>
        <w:t>[1]</w:t>
      </w:r>
      <w:r w:rsidRPr="61DC57B0">
        <w:rPr>
          <w:rFonts w:ascii="Times New Roman" w:eastAsia="Times New Roman" w:hAnsi="Times New Roman" w:cs="Times New Roman"/>
          <w:sz w:val="24"/>
          <w:szCs w:val="24"/>
          <w:lang w:val="en-GB"/>
        </w:rPr>
        <w:fldChar w:fldCharType="end"/>
      </w:r>
      <w:r w:rsidRPr="61DC57B0">
        <w:rPr>
          <w:rFonts w:ascii="Times New Roman" w:eastAsia="Times New Roman" w:hAnsi="Times New Roman" w:cs="Times New Roman"/>
          <w:sz w:val="24"/>
          <w:szCs w:val="24"/>
          <w:lang w:val="en-GB"/>
        </w:rPr>
        <w:t xml:space="preserve">. </w:t>
      </w:r>
      <w:r w:rsidR="00E40381">
        <w:rPr>
          <w:rFonts w:ascii="Times New Roman" w:eastAsia="Times New Roman" w:hAnsi="Times New Roman" w:cs="Times New Roman"/>
          <w:color w:val="212121"/>
          <w:sz w:val="24"/>
          <w:szCs w:val="24"/>
        </w:rPr>
        <w:t>A resting QTc interval of  ≥</w:t>
      </w:r>
      <w:r w:rsidRPr="61DC57B0">
        <w:rPr>
          <w:rFonts w:ascii="Times New Roman" w:eastAsia="Times New Roman" w:hAnsi="Times New Roman" w:cs="Times New Roman"/>
          <w:color w:val="212121"/>
          <w:sz w:val="24"/>
          <w:szCs w:val="24"/>
        </w:rPr>
        <w:t xml:space="preserve">450 ms in males or ≥ 460 ms in females </w:t>
      </w:r>
      <w:r w:rsidR="004D4FD4" w:rsidRPr="61DC57B0">
        <w:rPr>
          <w:rFonts w:ascii="Times New Roman" w:eastAsia="Times New Roman" w:hAnsi="Times New Roman" w:cs="Times New Roman"/>
          <w:color w:val="212121"/>
          <w:sz w:val="24"/>
          <w:szCs w:val="24"/>
        </w:rPr>
        <w:t>without</w:t>
      </w:r>
      <w:r w:rsidRPr="61DC57B0">
        <w:rPr>
          <w:rFonts w:ascii="Times New Roman" w:eastAsia="Times New Roman" w:hAnsi="Times New Roman" w:cs="Times New Roman"/>
          <w:color w:val="212121"/>
          <w:sz w:val="24"/>
          <w:szCs w:val="24"/>
        </w:rPr>
        <w:t xml:space="preserve"> any factors affecting the QTc interval duration </w:t>
      </w:r>
      <w:r w:rsidR="004D4FD4" w:rsidRPr="61DC57B0">
        <w:rPr>
          <w:rFonts w:ascii="Times New Roman" w:eastAsia="Times New Roman" w:hAnsi="Times New Roman" w:cs="Times New Roman"/>
          <w:color w:val="212121"/>
          <w:sz w:val="24"/>
          <w:szCs w:val="24"/>
        </w:rPr>
        <w:t>was considered</w:t>
      </w:r>
      <w:r w:rsidRPr="61DC57B0">
        <w:rPr>
          <w:rFonts w:ascii="Times New Roman" w:eastAsia="Times New Roman" w:hAnsi="Times New Roman" w:cs="Times New Roman"/>
          <w:color w:val="212121"/>
          <w:sz w:val="24"/>
          <w:szCs w:val="24"/>
        </w:rPr>
        <w:t xml:space="preserve"> </w:t>
      </w:r>
      <w:r w:rsidR="003671FD" w:rsidRPr="61DC57B0">
        <w:rPr>
          <w:rFonts w:ascii="Times New Roman" w:eastAsia="Times New Roman" w:hAnsi="Times New Roman" w:cs="Times New Roman"/>
          <w:color w:val="212121"/>
          <w:sz w:val="24"/>
          <w:szCs w:val="24"/>
        </w:rPr>
        <w:t xml:space="preserve">as </w:t>
      </w:r>
      <w:r w:rsidRPr="61DC57B0">
        <w:rPr>
          <w:rFonts w:ascii="Times New Roman" w:eastAsia="Times New Roman" w:hAnsi="Times New Roman" w:cs="Times New Roman"/>
          <w:color w:val="212121"/>
          <w:sz w:val="24"/>
          <w:szCs w:val="24"/>
        </w:rPr>
        <w:t>QTc interval prolongation</w:t>
      </w:r>
      <w:r w:rsidR="00BE636E" w:rsidRPr="61DC57B0">
        <w:rPr>
          <w:rFonts w:ascii="Times New Roman" w:eastAsia="Times New Roman" w:hAnsi="Times New Roman" w:cs="Times New Roman"/>
          <w:color w:val="212121"/>
          <w:sz w:val="24"/>
          <w:szCs w:val="24"/>
        </w:rPr>
        <w:t xml:space="preserve"> </w:t>
      </w:r>
      <w:r w:rsidRPr="61DC57B0">
        <w:rPr>
          <w:rFonts w:ascii="Times New Roman" w:eastAsia="Times New Roman" w:hAnsi="Times New Roman" w:cs="Times New Roman"/>
          <w:color w:val="212121"/>
          <w:sz w:val="24"/>
          <w:szCs w:val="24"/>
        </w:rPr>
        <w:fldChar w:fldCharType="begin"/>
      </w:r>
      <w:r w:rsidRPr="61DC57B0">
        <w:rPr>
          <w:rFonts w:ascii="Times New Roman" w:eastAsia="Times New Roman" w:hAnsi="Times New Roman" w:cs="Times New Roman"/>
          <w:color w:val="212121"/>
          <w:sz w:val="24"/>
          <w:szCs w:val="24"/>
        </w:rPr>
        <w:instrText xml:space="preserve"> ADDIN ZOTERO_ITEM CSL_CITATION {"citationID":"p9e3hl8N","properties":{"formattedCitation":"[2]","plainCitation":"[2]","noteIndex":0},"citationItems":[{"id":55,"uris":["http://zotero.org/users/10535646/items/XDGFXMWN"],"itemData":{"id":55,"type":"article-journal","abstract":"Congenital long QT syndrome (LQTS) encompasses a group of heritable conditions that are associated with cardiac repolarization dysfunction. Since its initial description in 1957, our understanding of LQTS has increased dramatically. The prevalence of LQTS is estimated to be </w:instrText>
      </w:r>
      <w:r w:rsidRPr="61DC57B0">
        <w:rPr>
          <w:rFonts w:ascii="Cambria Math" w:eastAsia="Times New Roman" w:hAnsi="Cambria Math" w:cs="Cambria Math"/>
          <w:color w:val="212121"/>
          <w:sz w:val="24"/>
          <w:szCs w:val="24"/>
        </w:rPr>
        <w:instrText>∼</w:instrText>
      </w:r>
      <w:r w:rsidRPr="61DC57B0">
        <w:rPr>
          <w:rFonts w:ascii="Times New Roman" w:eastAsia="Times New Roman" w:hAnsi="Times New Roman" w:cs="Times New Roman"/>
          <w:color w:val="212121"/>
          <w:sz w:val="24"/>
          <w:szCs w:val="24"/>
        </w:rPr>
        <w:instrText xml:space="preserve">1:2,000, with a slight female predominance. The diagnosis of LQTS is based on clinical, electrocardiogram, and genetic factors. Risk stratification of patients with LQTS aims to identify those who are at increased risk of cardiac arrest or sudden cardiac death. Factors including age, sex, QTc interval, and genetic background all contribute to current risk stratification paradigms. The management of LQTS involves conservative measures such as the avoidance of QT-prolonging drugs, pharmacologic measures with nonselective β-blockers, and interventional approaches such as device therapy or left cardiac sympathetic denervation. In general, most forms of exercise are considered safe in adequately treated patients, and implantable cardioverter-defibrillator therapy is reserved for those at the highest risk. This review summarizes our current understanding of LQTS and provides clinicians with a practical approach to diagnosis and management.","container-title":"JACC. Clinical electrophysiology","DOI":"10.1016/j.jacep.2022.02.017","ISSN":"2405-5018","issue":"5","journalAbbreviation":"JACC Clin Electrophysiol","language":"eng","note":"PMID: 35589186","page":"687-706","source":"PubMed","title":"Congenital Long QT Syndrome","volume":"8","author":[{"family":"Krahn","given":"Andrew D."},{"family":"Laksman","given":"Zachary"},{"family":"Sy","given":"Raymond W."},{"family":"Postema","given":"Pieter G."},{"family":"Ackerman","given":"Michael J."},{"family":"Wilde","given":"Arthur A. M."},{"family":"Han","given":"Hui-Chen"}],"issued":{"date-parts":[["2022",5]]}}}],"schema":"https://github.com/citation-style-language/schema/raw/master/csl-citation.json"} </w:instrText>
      </w:r>
      <w:r w:rsidRPr="61DC57B0">
        <w:rPr>
          <w:rFonts w:ascii="Times New Roman" w:eastAsia="Times New Roman" w:hAnsi="Times New Roman" w:cs="Times New Roman"/>
          <w:color w:val="212121"/>
          <w:sz w:val="24"/>
          <w:szCs w:val="24"/>
        </w:rPr>
        <w:fldChar w:fldCharType="separate"/>
      </w:r>
      <w:r w:rsidR="008A4D2D" w:rsidRPr="61DC57B0">
        <w:rPr>
          <w:rFonts w:ascii="Times New Roman" w:hAnsi="Times New Roman" w:cs="Times New Roman"/>
          <w:sz w:val="24"/>
          <w:szCs w:val="24"/>
        </w:rPr>
        <w:t>[2]</w:t>
      </w:r>
      <w:r w:rsidRPr="61DC57B0">
        <w:rPr>
          <w:rFonts w:ascii="Times New Roman" w:eastAsia="Times New Roman" w:hAnsi="Times New Roman" w:cs="Times New Roman"/>
          <w:color w:val="212121"/>
          <w:sz w:val="24"/>
          <w:szCs w:val="24"/>
        </w:rPr>
        <w:fldChar w:fldCharType="end"/>
      </w:r>
      <w:r w:rsidRPr="61DC57B0">
        <w:rPr>
          <w:rFonts w:ascii="Times New Roman" w:eastAsia="Times New Roman" w:hAnsi="Times New Roman" w:cs="Times New Roman"/>
          <w:color w:val="212121"/>
          <w:sz w:val="24"/>
          <w:szCs w:val="24"/>
        </w:rPr>
        <w:t xml:space="preserve">. An electrocardiographically manifesting (penetrant) LQTS phenotype was defined as </w:t>
      </w:r>
      <w:r w:rsidR="004D4FD4" w:rsidRPr="61DC57B0">
        <w:rPr>
          <w:rFonts w:ascii="Times New Roman" w:eastAsia="Times New Roman" w:hAnsi="Times New Roman" w:cs="Times New Roman"/>
          <w:color w:val="212121"/>
          <w:sz w:val="24"/>
          <w:szCs w:val="24"/>
        </w:rPr>
        <w:t xml:space="preserve">a </w:t>
      </w:r>
      <w:r w:rsidRPr="61DC57B0">
        <w:rPr>
          <w:rFonts w:ascii="Times New Roman" w:eastAsia="Times New Roman" w:hAnsi="Times New Roman" w:cs="Times New Roman"/>
          <w:color w:val="212121"/>
          <w:sz w:val="24"/>
          <w:szCs w:val="24"/>
        </w:rPr>
        <w:t>QT</w:t>
      </w:r>
      <w:r w:rsidR="00E40381">
        <w:rPr>
          <w:rFonts w:ascii="Times New Roman" w:eastAsia="Times New Roman" w:hAnsi="Times New Roman" w:cs="Times New Roman"/>
          <w:color w:val="212121"/>
          <w:sz w:val="24"/>
          <w:szCs w:val="24"/>
        </w:rPr>
        <w:t>c value on the presenting ECG &gt;</w:t>
      </w:r>
      <w:r w:rsidRPr="61DC57B0">
        <w:rPr>
          <w:rFonts w:ascii="Times New Roman" w:eastAsia="Times New Roman" w:hAnsi="Times New Roman" w:cs="Times New Roman"/>
          <w:color w:val="212121"/>
          <w:sz w:val="24"/>
          <w:szCs w:val="24"/>
        </w:rPr>
        <w:t xml:space="preserve">460 ms </w:t>
      </w:r>
      <w:r w:rsidRPr="61DC57B0">
        <w:rPr>
          <w:rFonts w:ascii="Times New Roman" w:eastAsia="Times New Roman" w:hAnsi="Times New Roman" w:cs="Times New Roman"/>
          <w:color w:val="212121"/>
          <w:sz w:val="24"/>
          <w:szCs w:val="24"/>
        </w:rPr>
        <w:fldChar w:fldCharType="begin"/>
      </w:r>
      <w:r w:rsidRPr="61DC57B0">
        <w:rPr>
          <w:rFonts w:ascii="Times New Roman" w:eastAsia="Times New Roman" w:hAnsi="Times New Roman" w:cs="Times New Roman"/>
          <w:color w:val="212121"/>
          <w:sz w:val="24"/>
          <w:szCs w:val="24"/>
        </w:rPr>
        <w:instrText xml:space="preserve"> ADDIN ZOTERO_ITEM CSL_CITATION {"citationID":"y06hHXrv","properties":{"formattedCitation":"[3]","plainCitation":"[3]","noteIndex":0},"citationItems":[{"id":197,"uris":["http://zotero.org/users/10535646/items/SRBXBLVN"],"itemData":{"id":197,"type":"article-journal","abstract":"BACKGROUND: Insight into type 5 long QT syndrome (LQT5) has been limited to case reports and small family series. Improved understanding of the clinical phenotype and genetic features associated with rare KCNE1 variants implicated in LQT5 was sought through an international multicenter collaboration.\nMETHODS: Patients with either presumed autosomal dominant LQT5 (N = 229) or the recessive Type 2 Jervell and Lange-Nielsen syndrome (N = 19) were enrolled from 22 genetic arrhythmia clinics and 4 registries from 9 countries. KCNE1 variants were evaluated for ECG penetrance (defined as QTc &gt;460 ms on presenting ECG) and genotype-phenotype segregation. Multivariable Cox regression was used to compare the associations between clinical and genetic variables with a composite primary outcome of definite arrhythmic events, including appropriate implantable cardioverter-defibrillator shocks, aborted cardiac arrest, and sudden cardiac death.\nRESULTS: A total of 32 distinct KCNE1 rare variants were identified in 89 probands and 140 genotype positive family members with presumed LQT5 and an additional 19 Type 2 Jervell and Lange-Nielsen syndrome patients. Among presumed LQT5 patients, the mean QTc on presenting ECG was significantly longer in probands (476.9±38.6 ms) compared with genotype positive family members (441.8±30.9 ms, P&lt;0.001). ECG penetrance for heterozygous genotype positive family members was 20.7% (29/140). A definite arrhythmic event was experienced in 16.9% (15/89) of heterozygous probands in comparison with 1.4% (2/140) of family members (adjusted hazard ratio [HR] 11.6 [95% CI, 2.6-52.2]; P=0.001). Event incidence did not differ significantly for Type 2 Jervell and Lange-Nielsen syndrome patients relative to the overall heterozygous cohort (10.5% [2/19]; HR 1.7 [95% CI, 0.3-10.8], P=0.590). The cumulative prevalence of the 32 KCNE1 variants in the Genome Aggregation Database, which is a human database of exome and genome sequencing data from now over 140 000 individuals, was 238-fold greater than the anticipated prevalence of all LQT5 combined (0.238% vs 0.001%).\nCONCLUSIONS: The present study suggests that putative/confirmed loss-of-function KCNE1 variants predispose to QT prolongation, however, the low ECG penetrance observed suggests they do not manifest clinically in the majority of individuals, aligning with the mild phenotype observed for Type 2 Jervell and Lange-Nielsen syndrome patients.","container-title":"Circulation","DOI":"10.1161/CIRCULATIONAHA.119.043114","ISSN":"1524-4539","issue":"6","journalAbbreviation":"Circulation","language":"eng","note":"PMID: 31941373\nPMCID: PMC7035205","page":"429-439","source":"PubMed","title":"An International Multicenter Evaluation of Type 5 Long QT Syndrome: A Low Penetrant Primary Arrhythmic Condition","title-short":"An International Multicenter Evaluation of Type 5 Long QT Syndrome","volume":"141","author":[{"family":"Roberts","given":"Jason D."},{"family":"Asaki","given":"S. Yukiko"},{"family":"Mazzanti","given":"Andrea"},{"family":"Bos","given":"J. Martijn"},{"family":"Tuleta","given":"Izabela"},{"family":"Muir","given":"Alison R."},{"family":"Crotti","given":"Lia"},{"family":"Krahn","given":"Andrew D."},{"family":"Kutyifa","given":"Valentina"},{"family":"Shoemaker","given":"M. Benjamin"},{"family":"Johnsrude","given":"Christopher L."},{"family":"Aiba","given":"Takeshi"},{"family":"Marcondes","given":"Luciana"},{"family":"Baban","given":"Anwar"},{"family":"Udupa","given":"Sharmila"},{"family":"Dechert","given":"Brynn"},{"family":"Fischbach","given":"Peter"},{"family":"Knight","given":"Linda M."},{"family":"Vittinghoff","given":"Eric"},{"family":"Kukavica","given":"Deni"},{"family":"Stallmeyer","given":"Birgit"},{"family":"Giudicessi","given":"John R."},{"family":"Spazzolini","given":"Carla"},{"family":"Shimamoto","given":"Keiko"},{"family":"Tadros","given":"Rafik"},{"family":"Cadrin-Tourigny","given":"Julia"},{"family":"Duff","given":"Henry J."},{"family":"Simpson","given":"Christopher S."},{"family":"Roston","given":"Thomas M."},{"family":"Wijeyeratne","given":"Yanushi D."},{"family":"El Hajjaji","given":"Imane"},{"family":"Yousif","given":"Maisoon D."},{"family":"Gula","given":"Lorne J."},{"family":"Leong-Sit","given":"Peter"},{"family":"Chavali","given":"Nikhil"},{"family":"Landstrom","given":"Andrew P."},{"family":"Marcus","given":"Gregory M."},{"family":"Dittmann","given":"Sven"},{"family":"Wilde","given":"Arthur A. M."},{"family":"Behr","given":"Elijah R."},{"family":"Tfelt-Hansen","given":"Jacob"},{"family":"Scheinman","given":"Melvin M."},{"family":"Perez","given":"Marco V."},{"family":"Kaski","given":"Juan Pablo"},{"family":"Gow","given":"Robert M."},{"family":"Drago","given":"Fabrizio"},{"family":"Aziz","given":"Peter F."},{"family":"Abrams","given":"Dominic J."},{"family":"Gollob","given":"Michael H."},{"family":"Skinner","given":"Jonathan R."},{"family":"Shimizu","given":"Wataru"},{"family":"Kaufman","given":"Elizabeth S."},{"family":"Roden","given":"Dan M."},{"family":"Zareba","given":"Wojciech"},{"family":"Schwartz","given":"Peter J."},{"family":"Schulze-Bahr","given":"Eric"},{"family":"Etheridge","given":"Susan P."},{"family":"Priori","given":"Silvia G."},{"family":"Ackerman","given":"Michael J."}],"issued":{"date-parts":[["2020",2,11]]}}}],"schema":"https://github.com/citation-style-language/schema/raw/master/csl-citation.json"} </w:instrText>
      </w:r>
      <w:r w:rsidRPr="61DC57B0">
        <w:rPr>
          <w:rFonts w:ascii="Times New Roman" w:eastAsia="Times New Roman" w:hAnsi="Times New Roman" w:cs="Times New Roman"/>
          <w:color w:val="212121"/>
          <w:sz w:val="24"/>
          <w:szCs w:val="24"/>
        </w:rPr>
        <w:fldChar w:fldCharType="separate"/>
      </w:r>
      <w:r w:rsidR="008A4D2D" w:rsidRPr="61DC57B0">
        <w:rPr>
          <w:rFonts w:ascii="Times New Roman" w:hAnsi="Times New Roman" w:cs="Times New Roman"/>
          <w:sz w:val="24"/>
          <w:szCs w:val="24"/>
        </w:rPr>
        <w:t>[3]</w:t>
      </w:r>
      <w:r w:rsidRPr="61DC57B0">
        <w:rPr>
          <w:rFonts w:ascii="Times New Roman" w:eastAsia="Times New Roman" w:hAnsi="Times New Roman" w:cs="Times New Roman"/>
          <w:color w:val="212121"/>
          <w:sz w:val="24"/>
          <w:szCs w:val="24"/>
        </w:rPr>
        <w:fldChar w:fldCharType="end"/>
      </w:r>
      <w:r w:rsidR="000D2AA1" w:rsidRPr="61DC57B0">
        <w:rPr>
          <w:rFonts w:ascii="Times New Roman" w:eastAsia="Times New Roman" w:hAnsi="Times New Roman" w:cs="Times New Roman"/>
          <w:sz w:val="24"/>
          <w:szCs w:val="24"/>
        </w:rPr>
        <w:t>.</w:t>
      </w:r>
      <w:r w:rsidRPr="61DC57B0">
        <w:rPr>
          <w:rFonts w:ascii="Times New Roman" w:eastAsia="Times New Roman" w:hAnsi="Times New Roman" w:cs="Times New Roman"/>
          <w:color w:val="212121"/>
          <w:sz w:val="24"/>
          <w:szCs w:val="24"/>
        </w:rPr>
        <w:t xml:space="preserve"> </w:t>
      </w:r>
      <w:r w:rsidRPr="61DC57B0">
        <w:rPr>
          <w:rFonts w:ascii="Times New Roman" w:eastAsia="Times New Roman" w:hAnsi="Times New Roman" w:cs="Times New Roman"/>
          <w:sz w:val="24"/>
          <w:szCs w:val="24"/>
          <w:lang w:val="lt"/>
        </w:rPr>
        <w:t>Tpe</w:t>
      </w:r>
      <w:r w:rsidR="003671FD" w:rsidRPr="61DC57B0">
        <w:rPr>
          <w:rFonts w:ascii="Times New Roman" w:eastAsia="Times New Roman" w:hAnsi="Times New Roman" w:cs="Times New Roman"/>
          <w:sz w:val="24"/>
          <w:szCs w:val="24"/>
          <w:lang w:val="lt"/>
        </w:rPr>
        <w:t>ak-Tend</w:t>
      </w:r>
      <w:r w:rsidRPr="61DC57B0">
        <w:rPr>
          <w:rFonts w:ascii="Times New Roman" w:eastAsia="Times New Roman" w:hAnsi="Times New Roman" w:cs="Times New Roman"/>
          <w:sz w:val="24"/>
          <w:szCs w:val="24"/>
          <w:lang w:val="lt"/>
        </w:rPr>
        <w:t xml:space="preserve"> was measured in lead V5 as </w:t>
      </w:r>
      <w:r w:rsidR="0001333C" w:rsidRPr="61DC57B0">
        <w:rPr>
          <w:rFonts w:ascii="Times New Roman" w:eastAsia="Times New Roman" w:hAnsi="Times New Roman" w:cs="Times New Roman"/>
          <w:sz w:val="24"/>
          <w:szCs w:val="24"/>
          <w:lang w:val="lt"/>
        </w:rPr>
        <w:t xml:space="preserve">a </w:t>
      </w:r>
      <w:r w:rsidRPr="61DC57B0">
        <w:rPr>
          <w:rFonts w:ascii="Times New Roman" w:eastAsia="Times New Roman" w:hAnsi="Times New Roman" w:cs="Times New Roman"/>
          <w:sz w:val="24"/>
          <w:szCs w:val="24"/>
          <w:lang w:val="lt"/>
        </w:rPr>
        <w:t xml:space="preserve">parameter of transmural dispersion of the LV wall. </w:t>
      </w:r>
      <w:r w:rsidR="004D4FD4" w:rsidRPr="61DC57B0">
        <w:rPr>
          <w:rFonts w:ascii="Times New Roman" w:eastAsia="Times New Roman" w:hAnsi="Times New Roman" w:cs="Times New Roman"/>
          <w:sz w:val="24"/>
          <w:szCs w:val="24"/>
          <w:lang w:val="lt"/>
        </w:rPr>
        <w:t>It</w:t>
      </w:r>
      <w:r w:rsidR="00554951">
        <w:rPr>
          <w:rFonts w:ascii="Times New Roman" w:eastAsia="Times New Roman" w:hAnsi="Times New Roman" w:cs="Times New Roman"/>
          <w:sz w:val="24"/>
          <w:szCs w:val="24"/>
          <w:lang w:val="lt"/>
        </w:rPr>
        <w:t>`</w:t>
      </w:r>
      <w:r w:rsidR="004D4FD4" w:rsidRPr="61DC57B0">
        <w:rPr>
          <w:rFonts w:ascii="Times New Roman" w:eastAsia="Times New Roman" w:hAnsi="Times New Roman" w:cs="Times New Roman"/>
          <w:sz w:val="24"/>
          <w:szCs w:val="24"/>
          <w:lang w:val="lt"/>
        </w:rPr>
        <w:t>s</w:t>
      </w:r>
      <w:r w:rsidRPr="61DC57B0">
        <w:rPr>
          <w:rFonts w:ascii="Times New Roman" w:eastAsia="Times New Roman" w:hAnsi="Times New Roman" w:cs="Times New Roman"/>
          <w:sz w:val="24"/>
          <w:szCs w:val="24"/>
          <w:lang w:val="lt"/>
        </w:rPr>
        <w:t xml:space="preserve"> value &gt;87 ms was set as </w:t>
      </w:r>
      <w:r w:rsidR="0001333C" w:rsidRPr="61DC57B0">
        <w:rPr>
          <w:rFonts w:ascii="Times New Roman" w:eastAsia="Georgia" w:hAnsi="Times New Roman" w:cs="Times New Roman"/>
          <w:color w:val="1F1F1F"/>
          <w:sz w:val="24"/>
          <w:szCs w:val="24"/>
        </w:rPr>
        <w:t>a</w:t>
      </w:r>
      <w:r w:rsidRPr="61DC57B0">
        <w:rPr>
          <w:rFonts w:ascii="Times New Roman" w:eastAsia="Georgia" w:hAnsi="Times New Roman" w:cs="Times New Roman"/>
          <w:color w:val="1F1F1F"/>
          <w:sz w:val="24"/>
          <w:szCs w:val="24"/>
        </w:rPr>
        <w:t xml:space="preserve"> predictor of adverse clinical events in </w:t>
      </w:r>
      <w:r w:rsidRPr="61DC57B0">
        <w:rPr>
          <w:rFonts w:ascii="Times New Roman" w:eastAsia="Times New Roman" w:hAnsi="Times New Roman" w:cs="Times New Roman"/>
          <w:color w:val="1F1F1F"/>
          <w:sz w:val="24"/>
          <w:szCs w:val="24"/>
        </w:rPr>
        <w:t>LQTS patients</w:t>
      </w:r>
      <w:r w:rsidR="000D2AA1" w:rsidRPr="61DC57B0">
        <w:rPr>
          <w:rFonts w:ascii="Times New Roman" w:eastAsia="Times New Roman" w:hAnsi="Times New Roman" w:cs="Times New Roman"/>
          <w:color w:val="1F1F1F"/>
          <w:sz w:val="24"/>
          <w:szCs w:val="24"/>
        </w:rPr>
        <w:t xml:space="preserve"> </w:t>
      </w:r>
      <w:r w:rsidRPr="61DC57B0">
        <w:rPr>
          <w:rFonts w:ascii="Times New Roman" w:eastAsia="Times New Roman" w:hAnsi="Times New Roman" w:cs="Times New Roman"/>
          <w:color w:val="1F1F1F"/>
          <w:sz w:val="24"/>
          <w:szCs w:val="24"/>
        </w:rPr>
        <w:fldChar w:fldCharType="begin"/>
      </w:r>
      <w:r w:rsidRPr="61DC57B0">
        <w:rPr>
          <w:rFonts w:ascii="Times New Roman" w:eastAsia="Times New Roman" w:hAnsi="Times New Roman" w:cs="Times New Roman"/>
          <w:color w:val="1F1F1F"/>
          <w:sz w:val="24"/>
          <w:szCs w:val="24"/>
        </w:rPr>
        <w:instrText xml:space="preserve"> ADDIN ZOTERO_ITEM CSL_CITATION {"citationID":"NR5q80um","properties":{"formattedCitation":"[4]","plainCitation":"[4]","noteIndex":0},"citationItems":[{"id":371,"uris":["http://zotero.org/users/10535646/items/FRIKC672"],"itemData":{"id":371,"type":"article-journal","abstract":"BACKGROUND AND OBJECTIVES: Congenital long QT syndrome (LQTS) predisposes affected individuals to ventricular tachycardia/fibrillation (VF/VF), potentially resulting in sudden cardiac death. The Tpeak-Tend interval and the Tpeak-Tend/QT ratio, electrocardiographic markers of dispersion of ventricular repolarization, were proposed for risk stratification but their predictive values in LQTS have been controversial. A systematic review and meta-analysis was conducted to examine the value of Tpeak-Tend intervals and Tpeak-Tend/QT ratios in predicting arrhythmic and mortality outcomes in congenital LQTS.\nMETHOD: PubMed and Embase databases were searched until 9th May 2017, identifying 199 studies.\nRESULTS: Five studies on long QT syndrome were included in the final meta-analysis. Tpeak-Tend intervals were longer (mean difference [MD]: 13ms, standard error [SE]: 4ms, P=0.002; I2=34%) in congenital LQTS patients with adverse events [syncope, ventricular arrhythmias or sudden cardiac death] compared to LQTS patients without such events. By contrast, Tpeak-Tend/QT ratios were not significantly different between the two groups (MD: 0.02, SE: 0.02, P=0.26; I2=0%).\nCONCLUSION: This meta-analysis showed that Tpeak-Tend interval is significant higher in individuals who are at elevated risk of adverse events in congenital LQTS, offering incremental value for risk stratification.","container-title":"Journal of Electrocardiology","DOI":"10.1016/j.jelectrocard.2018.03.001","ISSN":"1532-8430","issue":"3","journalAbbreviation":"J Electrocardiol","language":"eng","note":"PMID: 29550106","page":"396-401","source":"PubMed","title":"Meta-analysis of Tpeak-Tend and Tpeak-Tend/QT ratio for risk stratification in congenital long QT syndrome","volume":"51","author":[{"family":"Tse","given":"Gary"},{"family":"Gong","given":"Mengqi"},{"family":"Meng","given":"Lei"},{"family":"Wong","given":"Cheuk Wai"},{"family":"Georgopoulos","given":"Stamatis"},{"family":"Bazoukis","given":"George"},{"family":"Wong","given":"Martin C. S."},{"family":"Letsas","given":"Konstantinos P."},{"family":"Vassiliou","given":"Vassilios S."},{"family":"Xia","given":"Yunlong"},{"family":"Baranchuk","given":"Adrian M."},{"family":"Yan","given":"Gan-Xin"},{"family":"Liu","given":"Tong"}],"issued":{"date-parts":[["2018"]]}}}],"schema":"https://github.com/citation-style-language/schema/raw/master/csl-citation.json"} </w:instrText>
      </w:r>
      <w:r w:rsidRPr="61DC57B0">
        <w:rPr>
          <w:rFonts w:ascii="Times New Roman" w:eastAsia="Times New Roman" w:hAnsi="Times New Roman" w:cs="Times New Roman"/>
          <w:color w:val="1F1F1F"/>
          <w:sz w:val="24"/>
          <w:szCs w:val="24"/>
        </w:rPr>
        <w:fldChar w:fldCharType="separate"/>
      </w:r>
      <w:r w:rsidR="008A4D2D" w:rsidRPr="61DC57B0">
        <w:rPr>
          <w:rFonts w:ascii="Times New Roman" w:hAnsi="Times New Roman" w:cs="Times New Roman"/>
          <w:sz w:val="24"/>
          <w:szCs w:val="24"/>
        </w:rPr>
        <w:t>[4]</w:t>
      </w:r>
      <w:r w:rsidRPr="61DC57B0">
        <w:rPr>
          <w:rFonts w:ascii="Times New Roman" w:eastAsia="Times New Roman" w:hAnsi="Times New Roman" w:cs="Times New Roman"/>
          <w:color w:val="1F1F1F"/>
          <w:sz w:val="24"/>
          <w:szCs w:val="24"/>
        </w:rPr>
        <w:fldChar w:fldCharType="end"/>
      </w:r>
      <w:r w:rsidR="0001333C" w:rsidRPr="61DC57B0">
        <w:rPr>
          <w:rFonts w:ascii="Times New Roman" w:eastAsia="Times New Roman" w:hAnsi="Times New Roman" w:cs="Times New Roman"/>
          <w:color w:val="1F1F1F"/>
          <w:sz w:val="24"/>
          <w:szCs w:val="24"/>
        </w:rPr>
        <w:t xml:space="preserve">. </w:t>
      </w:r>
      <w:r w:rsidRPr="61DC57B0">
        <w:rPr>
          <w:rFonts w:ascii="Times New Roman" w:eastAsia="Times New Roman" w:hAnsi="Times New Roman" w:cs="Times New Roman"/>
          <w:color w:val="1F1F1F"/>
          <w:sz w:val="24"/>
          <w:szCs w:val="24"/>
        </w:rPr>
        <w:t>Tpe</w:t>
      </w:r>
      <w:r w:rsidR="003671FD" w:rsidRPr="61DC57B0">
        <w:rPr>
          <w:rFonts w:ascii="Times New Roman" w:eastAsia="Times New Roman" w:hAnsi="Times New Roman" w:cs="Times New Roman"/>
          <w:color w:val="1F1F1F"/>
          <w:sz w:val="24"/>
          <w:szCs w:val="24"/>
        </w:rPr>
        <w:t>ak-Tend</w:t>
      </w:r>
      <w:r w:rsidRPr="61DC57B0">
        <w:rPr>
          <w:rFonts w:ascii="Times New Roman" w:eastAsia="Times New Roman" w:hAnsi="Times New Roman" w:cs="Times New Roman"/>
          <w:color w:val="1F1F1F"/>
          <w:sz w:val="24"/>
          <w:szCs w:val="24"/>
        </w:rPr>
        <w:t>/QT ratio</w:t>
      </w:r>
      <w:r w:rsidR="0001333C" w:rsidRPr="61DC57B0">
        <w:rPr>
          <w:rFonts w:ascii="Times New Roman" w:eastAsia="Times New Roman" w:hAnsi="Times New Roman" w:cs="Times New Roman"/>
          <w:color w:val="1F1F1F"/>
          <w:sz w:val="24"/>
          <w:szCs w:val="24"/>
        </w:rPr>
        <w:t xml:space="preserve"> was calculated</w:t>
      </w:r>
      <w:r w:rsidRPr="61DC57B0">
        <w:rPr>
          <w:rFonts w:ascii="Times New Roman" w:eastAsia="Times New Roman" w:hAnsi="Times New Roman" w:cs="Times New Roman"/>
          <w:color w:val="1F1F1F"/>
          <w:sz w:val="24"/>
          <w:szCs w:val="24"/>
        </w:rPr>
        <w:t xml:space="preserve"> with a known </w:t>
      </w:r>
      <w:r w:rsidR="004548DD" w:rsidRPr="61DC57B0">
        <w:rPr>
          <w:rFonts w:ascii="Times New Roman" w:eastAsia="Times New Roman" w:hAnsi="Times New Roman" w:cs="Times New Roman"/>
          <w:color w:val="1F1F1F"/>
          <w:sz w:val="24"/>
          <w:szCs w:val="24"/>
        </w:rPr>
        <w:t xml:space="preserve">acquired </w:t>
      </w:r>
      <w:r w:rsidR="004D4FD4" w:rsidRPr="61DC57B0">
        <w:rPr>
          <w:rFonts w:ascii="Times New Roman" w:eastAsia="Times New Roman" w:hAnsi="Times New Roman" w:cs="Times New Roman"/>
          <w:color w:val="1F1F1F"/>
          <w:sz w:val="24"/>
          <w:szCs w:val="24"/>
        </w:rPr>
        <w:t xml:space="preserve">LQTS cut-off point </w:t>
      </w:r>
      <w:r w:rsidRPr="61DC57B0">
        <w:rPr>
          <w:rFonts w:ascii="Times New Roman" w:eastAsia="Times New Roman" w:hAnsi="Times New Roman" w:cs="Times New Roman"/>
          <w:color w:val="212121"/>
          <w:sz w:val="24"/>
          <w:szCs w:val="24"/>
        </w:rPr>
        <w:t xml:space="preserve">of 0.28 for </w:t>
      </w:r>
      <w:r w:rsidR="003A2C29" w:rsidRPr="61DC57B0">
        <w:rPr>
          <w:rFonts w:ascii="Times New Roman" w:eastAsia="Times New Roman" w:hAnsi="Times New Roman" w:cs="Times New Roman"/>
          <w:color w:val="212121"/>
          <w:sz w:val="24"/>
          <w:szCs w:val="24"/>
        </w:rPr>
        <w:t xml:space="preserve">Torsades de Pointes </w:t>
      </w:r>
      <w:r w:rsidRPr="61DC57B0">
        <w:rPr>
          <w:rFonts w:ascii="Times New Roman" w:eastAsia="Times New Roman" w:hAnsi="Times New Roman" w:cs="Times New Roman"/>
          <w:color w:val="212121"/>
          <w:sz w:val="24"/>
          <w:szCs w:val="24"/>
        </w:rPr>
        <w:fldChar w:fldCharType="begin"/>
      </w:r>
      <w:r w:rsidRPr="61DC57B0">
        <w:rPr>
          <w:rFonts w:ascii="Times New Roman" w:eastAsia="Times New Roman" w:hAnsi="Times New Roman" w:cs="Times New Roman"/>
          <w:color w:val="212121"/>
          <w:sz w:val="24"/>
          <w:szCs w:val="24"/>
        </w:rPr>
        <w:instrText xml:space="preserve"> ADDIN ZOTERO_ITEM CSL_CITATION {"citationID":"D0uNHCE7","properties":{"formattedCitation":"[5]","plainCitation":"[5]","noteIndex":0},"citationItems":[{"id":395,"uris":["http://zotero.org/users/10535646/items/D9RBBSJN"],"itemData":{"id":395,"type":"article-journal","abstract":"QT dispersion (QTD) on 12-lead ECGs has been proposed as a marker of malignant ventricular tachyarrhythmias, and increased QTD has been reported in long QT syndrome (LQTS). On the other hand, it has been demonstrated that transmural dispersion is associated with ventricular tachyarrhythmias in an experimental model. However, the precise type of QTD or transmural dispersion that contributes most to ventricular tachyarrhythmias in patients with LQTS remains unclear. We evaluated 27 patients with acquired LQTS. These patients were divided into two groups: group A (n =12), patients with polymorphic ventricular tachycardia [torsades de pointes (TdP)], and group B (n =15), patients without TdP. The QT intervals were corrected using Bazett's formula. QTD was measured as the difference between the maximum and the minimum QT intervals, and T wave peak-to-end interval divided by the QT interval (Tpe) in the V5 lead was measured as a new index. Both the corrected QTD (QTDc) and Tpe were significantly larger in group A than in group B. Logistic regression analysis revealed that a reliable predictor for TdP in the QT variables in these patients was not QTDc but Tpe. Cumulative frequency distributions revealed that a Tpe of 0.28 is a good cut-off point for TdP. Tpe did not correlate with the corrected maximum QT interval, whereas the QTDc did correlate with this parameter. In conclusion, Tpe may be the best predictor for TdP in patients with acquired LQTS.","container-title":"Clinical Science (London, England: 1979)","DOI":"10.1042/CS20030010","ISSN":"0143-5221","issue":"6","journalAbbreviation":"Clin Sci (Lond)","language":"eng","note":"PMID: 12857349","page":"671-676","source":"PubMed","title":"T wave peak-to-end interval and QT dispersion in acquired long QT syndrome: a new index for arrhythmogenicity","title-short":"T wave peak-to-end interval and QT dispersion in acquired long QT syndrome","volume":"105","author":[{"family":"Yamaguchi","given":"Masato"},{"family":"Shimizu","given":"Masami"},{"family":"Ino","given":"Hidekazu"},{"family":"Terai","given":"Hidenobu"},{"family":"Uchiyama","given":"Katsuharu"},{"family":"Oe","given":"Kotaro"},{"family":"Mabuchi","given":"Tomohito"},{"family":"Konno","given":"Tetsuo"},{"family":"Kaneda","given":"Tomoya"},{"family":"Mabuchi","given":"Hiroshi"}],"issued":{"date-parts":[["2003",12]]}}}],"schema":"https://github.com/citation-style-language/schema/raw/master/csl-citation.json"} </w:instrText>
      </w:r>
      <w:r w:rsidRPr="61DC57B0">
        <w:rPr>
          <w:rFonts w:ascii="Times New Roman" w:eastAsia="Times New Roman" w:hAnsi="Times New Roman" w:cs="Times New Roman"/>
          <w:color w:val="212121"/>
          <w:sz w:val="24"/>
          <w:szCs w:val="24"/>
        </w:rPr>
        <w:fldChar w:fldCharType="separate"/>
      </w:r>
      <w:r w:rsidR="008A4D2D" w:rsidRPr="61DC57B0">
        <w:rPr>
          <w:rFonts w:ascii="Times New Roman" w:hAnsi="Times New Roman" w:cs="Times New Roman"/>
          <w:sz w:val="24"/>
          <w:szCs w:val="24"/>
        </w:rPr>
        <w:t>[5]</w:t>
      </w:r>
      <w:r w:rsidRPr="61DC57B0">
        <w:rPr>
          <w:rFonts w:ascii="Times New Roman" w:eastAsia="Times New Roman" w:hAnsi="Times New Roman" w:cs="Times New Roman"/>
          <w:color w:val="212121"/>
          <w:sz w:val="24"/>
          <w:szCs w:val="24"/>
        </w:rPr>
        <w:fldChar w:fldCharType="end"/>
      </w:r>
      <w:r w:rsidRPr="61DC57B0">
        <w:rPr>
          <w:rFonts w:ascii="Times New Roman" w:eastAsia="Segoe UI" w:hAnsi="Times New Roman" w:cs="Times New Roman"/>
          <w:color w:val="212121"/>
          <w:sz w:val="24"/>
          <w:szCs w:val="24"/>
        </w:rPr>
        <w:t>.</w:t>
      </w:r>
      <w:r w:rsidRPr="61DC57B0">
        <w:rPr>
          <w:rFonts w:ascii="Times New Roman" w:eastAsia="Times New Roman" w:hAnsi="Times New Roman" w:cs="Times New Roman"/>
          <w:sz w:val="24"/>
          <w:szCs w:val="24"/>
        </w:rPr>
        <w:t xml:space="preserve"> Standing briskly </w:t>
      </w:r>
      <w:r w:rsidRPr="61DC57B0">
        <w:rPr>
          <w:rFonts w:ascii="Times New Roman" w:eastAsia="Times New Roman" w:hAnsi="Times New Roman" w:cs="Times New Roman"/>
          <w:color w:val="000000" w:themeColor="text1"/>
          <w:sz w:val="24"/>
          <w:szCs w:val="24"/>
        </w:rPr>
        <w:t xml:space="preserve">with </w:t>
      </w:r>
      <w:r w:rsidR="0001333C" w:rsidRPr="61DC57B0">
        <w:rPr>
          <w:rFonts w:ascii="Times New Roman" w:eastAsia="Times New Roman" w:hAnsi="Times New Roman" w:cs="Times New Roman"/>
          <w:color w:val="000000" w:themeColor="text1"/>
          <w:sz w:val="24"/>
          <w:szCs w:val="24"/>
        </w:rPr>
        <w:t xml:space="preserve">a </w:t>
      </w:r>
      <w:r w:rsidRPr="61DC57B0">
        <w:rPr>
          <w:rFonts w:ascii="Times New Roman" w:eastAsia="Times New Roman" w:hAnsi="Times New Roman" w:cs="Times New Roman"/>
          <w:color w:val="000000" w:themeColor="text1"/>
          <w:sz w:val="24"/>
          <w:szCs w:val="24"/>
        </w:rPr>
        <w:t xml:space="preserve">20–30 beats/min increase in a person’s sinus </w:t>
      </w:r>
      <w:r w:rsidR="004D4FD4" w:rsidRPr="61DC57B0">
        <w:rPr>
          <w:rFonts w:ascii="Times New Roman" w:eastAsia="Times New Roman" w:hAnsi="Times New Roman" w:cs="Times New Roman"/>
          <w:color w:val="000000" w:themeColor="text1"/>
          <w:sz w:val="24"/>
          <w:szCs w:val="24"/>
        </w:rPr>
        <w:t>rate was</w:t>
      </w:r>
      <w:r w:rsidRPr="61DC57B0">
        <w:rPr>
          <w:rFonts w:ascii="Times New Roman" w:eastAsia="Times New Roman" w:hAnsi="Times New Roman" w:cs="Times New Roman"/>
          <w:color w:val="000000" w:themeColor="text1"/>
          <w:sz w:val="24"/>
          <w:szCs w:val="24"/>
        </w:rPr>
        <w:t xml:space="preserve"> expected to result</w:t>
      </w:r>
      <w:r w:rsidR="004D4FD4" w:rsidRPr="61DC57B0">
        <w:rPr>
          <w:rFonts w:ascii="Times New Roman" w:eastAsia="Times New Roman" w:hAnsi="Times New Roman" w:cs="Times New Roman"/>
          <w:color w:val="000000" w:themeColor="text1"/>
          <w:sz w:val="24"/>
          <w:szCs w:val="24"/>
        </w:rPr>
        <w:t xml:space="preserve"> in</w:t>
      </w:r>
      <w:r w:rsidRPr="61DC57B0">
        <w:rPr>
          <w:rFonts w:ascii="Times New Roman" w:eastAsia="Times New Roman" w:hAnsi="Times New Roman" w:cs="Times New Roman"/>
          <w:color w:val="000000" w:themeColor="text1"/>
          <w:sz w:val="24"/>
          <w:szCs w:val="24"/>
        </w:rPr>
        <w:t xml:space="preserve"> changes in the QTc interval (failure to shorten) </w:t>
      </w:r>
      <w:r w:rsidRPr="61DC57B0">
        <w:rPr>
          <w:rFonts w:ascii="Times New Roman" w:eastAsia="Times New Roman" w:hAnsi="Times New Roman" w:cs="Times New Roman"/>
          <w:color w:val="000000" w:themeColor="text1"/>
          <w:sz w:val="24"/>
          <w:szCs w:val="24"/>
        </w:rPr>
        <w:fldChar w:fldCharType="begin"/>
      </w:r>
      <w:r w:rsidRPr="61DC57B0">
        <w:rPr>
          <w:rFonts w:ascii="Times New Roman" w:eastAsia="Times New Roman" w:hAnsi="Times New Roman" w:cs="Times New Roman"/>
          <w:color w:val="000000" w:themeColor="text1"/>
          <w:sz w:val="24"/>
          <w:szCs w:val="24"/>
        </w:rPr>
        <w:instrText xml:space="preserve"> ADDIN ZOTERO_ITEM CSL_CITATION {"citationID":"9OWKQ6Fe","properties":{"formattedCitation":"[6,7]","plainCitation":"[6,7]","noteIndex":0},"citationItems":[{"id":202,"uris":["http://zotero.org/users/10535646/items/T29U26L6"],"itemData":{"id":202,"type":"article-journal","abstract":"Congenital long QT syndrome (LQTS) is a hereditary cardiac channelopathy with an estimated prevalence of 1 in 2500. A prolonged resting QT interval corrected for heart rate (QTc interval) remains a key diagnostic component; however, the QTc value may be normal in up to 40% of patients with genotype-positive LQTS and borderline in a further 30%. Provocation of QTc prolongation and T-wave changes may be pivotal to unmasking the diagnosis and useful in predicting genotype. LQTS provocation testing involves assessment of repolarization during and after exercise, in response to changes in heart rate or autonomic tone, with patients with LQTS exhibiting a maladaptive repolarization response. We review the utility and strengths and limitations of 4 forms of provocation testing-stand-up test, exercise stress test, epinephrine challenge, and mental stress test-in diagnosing LQTS and provide some practical guidance for performing provocation testing. Ultimately, exercise testing, when feasible, is the most useful form of provocation testing when considering diagnostic sensitivity and specificity.","container-title":"Heart Rhythm","DOI":"10.1016/j.hrthm.2023.07.059","ISSN":"1556-3871","issue":"11","journalAbbreviation":"Heart Rhythm","language":"eng","note":"PMID: 37481219","page":"1570-1582","source":"PubMed","title":"Provocation testing in congenital long QT syndrome: A practical guide","title-short":"Provocation testing in congenital long QT syndrome","volume":"20","author":[{"family":"Abrahams","given":"Timothy"},{"family":"Davies","given":"Brianna"},{"family":"Laksman","given":"Zachary"},{"family":"Sy","given":"Raymond W."},{"family":"Postema","given":"Pieter G."},{"family":"Wilde","given":"Arthur A. M."},{"family":"Krahn","given":"Andrew D."},{"family":"Han","given":"Hui-Chen"}],"issued":{"date-parts":[["2023",11]]}}},{"id":545,"uris":["http://zotero.org/users/10535646/items/EZ8A272P"],"itemData":{"id":545,"type":"article-journal","abstract":"Background An elegant bedside provocation test has been shown to aid the diagnosis of long-QT syndrome (LQTS) in a retrospective cohort by evaluation of QT intervals and T-wave morphology changes resulting from the brief tachycardia provoked by standing. We aimed to prospectively determine the potential diagnostic value of the standing test for LQTS. Methods and Results In adults suspected for LQTS who had a standing test, the QT interval was assessed manually and automated. In addition, T-wave morphology changes were determined. A total of 167 controls and 131 genetically confirmed patients with LQTS were included. A prolonged heart rate-corrected QT interval (QTc) (men ≥430 ms, women ≥450 ms) at baseline before standing yielded a sensitivity of 61% (95% CI, 47-74) in men and 54% (95% CI, 42-66) in women, with a specificity of 90% (95% CI, 80-96) and 89% (95% CI, 81-95), respectively. In both men and women, QTc≥460 ms after standing increased sensitivity (89% [95% CI, 83-94]) but decreased specificity (49% [95% CI, 41-57]). Sensitivity further increased (P&lt;0.01) when a prolonged baseline QTc was accompanied by a QTc≥460 ms after standing in both men (93% [95% CI, 84-98]) and women (90% [95% CI, 81-96]). However, the area under the curve did not improve. T-wave abnormalities after standing did not further increase the sensitivity or the area under the curve significantly. Conclusions Despite earlier retrospective studies, a baseline ECG and the standing test in a prospective evaluation displayed a different diagnostic profile for congenital LQTS but no unequivocal synergism or advantage. This suggests that there is markedly reduced penetrance and incomplete expression in genetically confirmed LQTS with retention of repolarization reserve in response to the brief tachycardia provoked by standing.","container-title":"Journal of the American Heart Association","DOI":"10.1161/JAHA.122.026419","ISSN":"2047-9980","issue":"14","journalAbbreviation":"J Am Heart Assoc","language":"eng","note":"PMID: 37421262\nPMCID: PMC10382089","page":"e026419","source":"PubMed","title":"Diagnostic Accuracy of the Standing Test in Adults Suspected for Congenital Long-QT Syndrome","volume":"12","author":[{"family":"Vink","given":"Arja S."},{"family":"Hermans","given":"Ben J. M."},{"family":"Hooglugt","given":"Jean-Luc Q."},{"family":"Peltenburg","given":"Puck J."},{"family":"Meijborg","given":"Veronique M. F."},{"family":"Hofman","given":"Nynke"},{"family":"Clur","given":"Sally-Ann B."},{"family":"Blom","given":"Nico A."},{"family":"Delhaas","given":"Tammo"},{"family":"Wilde","given":"Arthur A. M."},{"family":"Postema","given":"Pieter G."}],"issued":{"date-parts":[["2023",7,18]]}}}],"schema":"https://github.com/citation-style-language/schema/raw/master/csl-citation.json"} </w:instrText>
      </w:r>
      <w:r w:rsidRPr="61DC57B0">
        <w:rPr>
          <w:rFonts w:ascii="Times New Roman" w:eastAsia="Times New Roman" w:hAnsi="Times New Roman" w:cs="Times New Roman"/>
          <w:color w:val="000000" w:themeColor="text1"/>
          <w:sz w:val="24"/>
          <w:szCs w:val="24"/>
        </w:rPr>
        <w:fldChar w:fldCharType="separate"/>
      </w:r>
      <w:r w:rsidR="008A4D2D" w:rsidRPr="61DC57B0">
        <w:rPr>
          <w:rFonts w:ascii="Times New Roman" w:hAnsi="Times New Roman" w:cs="Times New Roman"/>
          <w:sz w:val="24"/>
          <w:szCs w:val="24"/>
        </w:rPr>
        <w:t>[6,7]</w:t>
      </w:r>
      <w:r w:rsidRPr="61DC57B0">
        <w:rPr>
          <w:rFonts w:ascii="Times New Roman" w:eastAsia="Times New Roman" w:hAnsi="Times New Roman" w:cs="Times New Roman"/>
          <w:color w:val="000000" w:themeColor="text1"/>
          <w:sz w:val="24"/>
          <w:szCs w:val="24"/>
        </w:rPr>
        <w:fldChar w:fldCharType="end"/>
      </w:r>
      <w:r w:rsidRPr="61DC57B0">
        <w:rPr>
          <w:rFonts w:ascii="Times New Roman" w:eastAsia="Times New Roman" w:hAnsi="Times New Roman" w:cs="Times New Roman"/>
          <w:color w:val="000000" w:themeColor="text1"/>
          <w:sz w:val="24"/>
          <w:szCs w:val="24"/>
        </w:rPr>
        <w:t xml:space="preserve">. </w:t>
      </w:r>
    </w:p>
    <w:p w14:paraId="72EC00DE" w14:textId="23CB30DF" w:rsidR="00554951" w:rsidRDefault="00792B3E" w:rsidP="61DC57B0">
      <w:pPr>
        <w:spacing w:after="0" w:line="480" w:lineRule="auto"/>
        <w:jc w:val="both"/>
        <w:rPr>
          <w:sz w:val="24"/>
          <w:szCs w:val="24"/>
        </w:rPr>
      </w:pPr>
      <w:r w:rsidRPr="00792B3E">
        <w:rPr>
          <w:rFonts w:ascii="Times New Roman" w:hAnsi="Times New Roman" w:cs="Times New Roman"/>
          <w:sz w:val="24"/>
          <w:szCs w:val="24"/>
          <w:lang w:val="en-GB"/>
        </w:rPr>
        <w:t xml:space="preserve">All patients underwent a standardized diagnostic exercise stress test (EST) using a cycling ergometer (eBike III) with CardioSoft V6.73 software </w:t>
      </w:r>
      <w:r w:rsidRPr="00792B3E">
        <w:rPr>
          <w:rFonts w:ascii="Times New Roman" w:hAnsi="Times New Roman" w:cs="Times New Roman"/>
          <w:sz w:val="24"/>
          <w:szCs w:val="24"/>
        </w:rPr>
        <w:t xml:space="preserve">(„GE Healthcare“, </w:t>
      </w:r>
      <w:r>
        <w:rPr>
          <w:rFonts w:ascii="Times New Roman" w:hAnsi="Times New Roman" w:cs="Times New Roman"/>
          <w:sz w:val="24"/>
          <w:szCs w:val="24"/>
        </w:rPr>
        <w:t>Horten</w:t>
      </w:r>
      <w:r w:rsidRPr="00792B3E">
        <w:rPr>
          <w:rFonts w:ascii="Times New Roman" w:hAnsi="Times New Roman" w:cs="Times New Roman"/>
          <w:sz w:val="24"/>
          <w:szCs w:val="24"/>
        </w:rPr>
        <w:t>, Norway).</w:t>
      </w:r>
      <w:r w:rsidRPr="00BE6607">
        <w:rPr>
          <w:rFonts w:ascii="Times New Roman" w:hAnsi="Times New Roman" w:cs="Times New Roman"/>
        </w:rPr>
        <w:t xml:space="preserve"> </w:t>
      </w:r>
      <w:r w:rsidR="004D4FD4" w:rsidRPr="61DC57B0">
        <w:rPr>
          <w:rFonts w:ascii="Times New Roman" w:hAnsi="Times New Roman" w:cs="Times New Roman"/>
          <w:sz w:val="24"/>
          <w:szCs w:val="24"/>
        </w:rPr>
        <w:t xml:space="preserve">A </w:t>
      </w:r>
      <w:r w:rsidR="00E93414" w:rsidRPr="61DC57B0">
        <w:rPr>
          <w:rFonts w:ascii="Times New Roman" w:hAnsi="Times New Roman" w:cs="Times New Roman"/>
          <w:sz w:val="24"/>
          <w:szCs w:val="24"/>
        </w:rPr>
        <w:t>12</w:t>
      </w:r>
      <w:r w:rsidR="004D4FD4" w:rsidRPr="61DC57B0">
        <w:rPr>
          <w:rFonts w:ascii="Times New Roman" w:hAnsi="Times New Roman" w:cs="Times New Roman"/>
          <w:sz w:val="24"/>
          <w:szCs w:val="24"/>
        </w:rPr>
        <w:t>-lead</w:t>
      </w:r>
      <w:r w:rsidR="000F6A25" w:rsidRPr="61DC57B0">
        <w:rPr>
          <w:rFonts w:ascii="Times New Roman" w:hAnsi="Times New Roman" w:cs="Times New Roman"/>
          <w:sz w:val="24"/>
          <w:szCs w:val="24"/>
        </w:rPr>
        <w:t xml:space="preserve"> ECG was registered at rest </w:t>
      </w:r>
      <w:r w:rsidR="00BE636E" w:rsidRPr="61DC57B0">
        <w:rPr>
          <w:rFonts w:ascii="Times New Roman" w:hAnsi="Times New Roman" w:cs="Times New Roman"/>
          <w:sz w:val="24"/>
          <w:szCs w:val="24"/>
        </w:rPr>
        <w:t>(</w:t>
      </w:r>
      <w:r w:rsidR="000F6A25" w:rsidRPr="61DC57B0">
        <w:rPr>
          <w:rFonts w:ascii="Times New Roman" w:hAnsi="Times New Roman" w:cs="Times New Roman"/>
          <w:sz w:val="24"/>
          <w:szCs w:val="24"/>
        </w:rPr>
        <w:t>sitting position)</w:t>
      </w:r>
      <w:r w:rsidR="00BE636E" w:rsidRPr="61DC57B0">
        <w:rPr>
          <w:rFonts w:ascii="Times New Roman" w:hAnsi="Times New Roman" w:cs="Times New Roman"/>
          <w:sz w:val="24"/>
          <w:szCs w:val="24"/>
        </w:rPr>
        <w:t>,</w:t>
      </w:r>
      <w:r w:rsidR="000F6A25" w:rsidRPr="61DC57B0">
        <w:rPr>
          <w:rFonts w:ascii="Times New Roman" w:hAnsi="Times New Roman" w:cs="Times New Roman"/>
          <w:sz w:val="24"/>
          <w:szCs w:val="24"/>
        </w:rPr>
        <w:t xml:space="preserve"> during each phase of the exercise (a serial rise in 50 W every 3 min)</w:t>
      </w:r>
      <w:r w:rsidR="004D4FD4" w:rsidRPr="61DC57B0">
        <w:rPr>
          <w:rFonts w:ascii="Times New Roman" w:hAnsi="Times New Roman" w:cs="Times New Roman"/>
          <w:sz w:val="24"/>
          <w:szCs w:val="24"/>
        </w:rPr>
        <w:t xml:space="preserve">, </w:t>
      </w:r>
      <w:r w:rsidR="000F6A25" w:rsidRPr="61DC57B0">
        <w:rPr>
          <w:rFonts w:ascii="Times New Roman" w:hAnsi="Times New Roman" w:cs="Times New Roman"/>
          <w:sz w:val="24"/>
          <w:szCs w:val="24"/>
        </w:rPr>
        <w:t xml:space="preserve">and at </w:t>
      </w:r>
      <w:r w:rsidR="004D4FD4" w:rsidRPr="61DC57B0">
        <w:rPr>
          <w:rFonts w:ascii="Times New Roman" w:hAnsi="Times New Roman" w:cs="Times New Roman"/>
          <w:sz w:val="24"/>
          <w:szCs w:val="24"/>
        </w:rPr>
        <w:t>1-</w:t>
      </w:r>
      <w:r w:rsidR="000F6A25" w:rsidRPr="61DC57B0">
        <w:rPr>
          <w:rFonts w:ascii="Times New Roman" w:hAnsi="Times New Roman" w:cs="Times New Roman"/>
          <w:sz w:val="24"/>
          <w:szCs w:val="24"/>
        </w:rPr>
        <w:t>min</w:t>
      </w:r>
      <w:r w:rsidR="00BE636E" w:rsidRPr="61DC57B0">
        <w:rPr>
          <w:rFonts w:ascii="Times New Roman" w:hAnsi="Times New Roman" w:cs="Times New Roman"/>
          <w:sz w:val="24"/>
          <w:szCs w:val="24"/>
        </w:rPr>
        <w:t>ute</w:t>
      </w:r>
      <w:r w:rsidR="000F6A25" w:rsidRPr="61DC57B0">
        <w:rPr>
          <w:rFonts w:ascii="Times New Roman" w:hAnsi="Times New Roman" w:cs="Times New Roman"/>
          <w:sz w:val="24"/>
          <w:szCs w:val="24"/>
        </w:rPr>
        <w:t xml:space="preserve"> intervals during the 7 min</w:t>
      </w:r>
      <w:r w:rsidR="00BE636E" w:rsidRPr="61DC57B0">
        <w:rPr>
          <w:rFonts w:ascii="Times New Roman" w:hAnsi="Times New Roman" w:cs="Times New Roman"/>
          <w:sz w:val="24"/>
          <w:szCs w:val="24"/>
        </w:rPr>
        <w:t>utes</w:t>
      </w:r>
      <w:r w:rsidR="000F6A25" w:rsidRPr="61DC57B0">
        <w:rPr>
          <w:rFonts w:ascii="Times New Roman" w:hAnsi="Times New Roman" w:cs="Times New Roman"/>
          <w:sz w:val="24"/>
          <w:szCs w:val="24"/>
        </w:rPr>
        <w:t xml:space="preserve"> of the recovery phase.</w:t>
      </w:r>
    </w:p>
    <w:p w14:paraId="294FD831" w14:textId="6E43EAA4" w:rsidR="006261A1" w:rsidRPr="00577337" w:rsidRDefault="00F63136" w:rsidP="00577337">
      <w:pPr>
        <w:spacing w:after="0" w:line="480" w:lineRule="auto"/>
        <w:jc w:val="both"/>
        <w:rPr>
          <w:rFonts w:ascii="Times New Roman" w:hAnsi="Times New Roman" w:cs="Times New Roman"/>
          <w:sz w:val="24"/>
          <w:szCs w:val="24"/>
        </w:rPr>
      </w:pPr>
      <w:r w:rsidRPr="00F63136">
        <w:rPr>
          <w:rFonts w:ascii="Times New Roman" w:eastAsia="Times New Roman" w:hAnsi="Times New Roman" w:cs="Times New Roman"/>
          <w:sz w:val="24"/>
          <w:szCs w:val="24"/>
          <w:lang w:val="en-GB"/>
        </w:rPr>
        <w:lastRenderedPageBreak/>
        <w:t xml:space="preserve">In all patients transthoracic 2-dimensional (2-D) echocardiography was performed </w:t>
      </w:r>
      <w:r>
        <w:rPr>
          <w:rFonts w:ascii="Times New Roman" w:eastAsia="Times New Roman" w:hAnsi="Times New Roman" w:cs="Times New Roman"/>
          <w:sz w:val="24"/>
          <w:szCs w:val="24"/>
          <w:lang w:val="en-GB"/>
        </w:rPr>
        <w:t>by the cardiologist</w:t>
      </w:r>
      <w:r w:rsidRPr="00F63136">
        <w:rPr>
          <w:rFonts w:ascii="Times New Roman" w:eastAsia="Times New Roman" w:hAnsi="Times New Roman" w:cs="Times New Roman"/>
          <w:sz w:val="24"/>
          <w:szCs w:val="24"/>
          <w:lang w:val="en-GB"/>
        </w:rPr>
        <w:t xml:space="preserve"> and images were </w:t>
      </w:r>
      <w:r w:rsidR="00F41790" w:rsidRPr="00F63136">
        <w:rPr>
          <w:rFonts w:ascii="Times New Roman" w:eastAsia="Times New Roman" w:hAnsi="Times New Roman" w:cs="Times New Roman"/>
          <w:sz w:val="24"/>
          <w:szCs w:val="24"/>
          <w:lang w:val="en-GB"/>
        </w:rPr>
        <w:t>acquired</w:t>
      </w:r>
      <w:r w:rsidRPr="00F63136">
        <w:rPr>
          <w:rFonts w:ascii="Times New Roman" w:eastAsia="Times New Roman" w:hAnsi="Times New Roman" w:cs="Times New Roman"/>
          <w:sz w:val="24"/>
          <w:szCs w:val="24"/>
          <w:lang w:val="en-GB"/>
        </w:rPr>
        <w:t xml:space="preserve"> using the Vivid ultrasound system (E95) („G</w:t>
      </w:r>
      <w:r>
        <w:rPr>
          <w:rFonts w:ascii="Times New Roman" w:eastAsia="Times New Roman" w:hAnsi="Times New Roman" w:cs="Times New Roman"/>
          <w:sz w:val="24"/>
          <w:szCs w:val="24"/>
          <w:lang w:val="en-GB"/>
        </w:rPr>
        <w:t xml:space="preserve">E Healthcare“, Horten, Norway). </w:t>
      </w:r>
      <w:r w:rsidRPr="00F63136">
        <w:rPr>
          <w:rFonts w:ascii="Times New Roman" w:eastAsia="Times New Roman" w:hAnsi="Times New Roman" w:cs="Times New Roman"/>
          <w:sz w:val="24"/>
          <w:szCs w:val="24"/>
          <w:lang w:val="en-GB"/>
        </w:rPr>
        <w:t>Images at high frame rates (&gt; 60 frames per second) were used for LV strain analysis with Echo-P</w:t>
      </w:r>
      <w:r w:rsidR="000331F2">
        <w:rPr>
          <w:rFonts w:ascii="Times New Roman" w:eastAsia="Times New Roman" w:hAnsi="Times New Roman" w:cs="Times New Roman"/>
          <w:sz w:val="24"/>
          <w:szCs w:val="24"/>
          <w:lang w:val="en-GB"/>
        </w:rPr>
        <w:t>ac software</w:t>
      </w:r>
      <w:r w:rsidRPr="00F63136">
        <w:rPr>
          <w:rFonts w:ascii="Times New Roman" w:eastAsia="Times New Roman" w:hAnsi="Times New Roman" w:cs="Times New Roman"/>
          <w:sz w:val="24"/>
          <w:szCs w:val="24"/>
          <w:lang w:val="en-GB"/>
        </w:rPr>
        <w:t xml:space="preserve"> (</w:t>
      </w:r>
      <w:r w:rsidR="006C6F7B" w:rsidRPr="006C6F7B">
        <w:rPr>
          <w:rFonts w:ascii="Times New Roman" w:eastAsia="Times New Roman" w:hAnsi="Times New Roman" w:cs="Times New Roman"/>
          <w:sz w:val="24"/>
          <w:szCs w:val="24"/>
          <w:lang w:val="en-GB"/>
        </w:rPr>
        <w:t>EchoPac 112.0.1, GE Medical Systems, Horten, Norway</w:t>
      </w:r>
      <w:r w:rsidR="006C6F7B">
        <w:rPr>
          <w:rFonts w:ascii="Times New Roman" w:eastAsia="Times New Roman" w:hAnsi="Times New Roman" w:cs="Times New Roman"/>
          <w:sz w:val="24"/>
          <w:szCs w:val="24"/>
          <w:lang w:val="en-GB"/>
        </w:rPr>
        <w:t xml:space="preserve">). </w:t>
      </w:r>
      <w:r w:rsidR="006261A1" w:rsidRPr="61DC57B0">
        <w:rPr>
          <w:rFonts w:ascii="Times New Roman" w:eastAsia="Times New Roman" w:hAnsi="Times New Roman" w:cs="Times New Roman"/>
          <w:sz w:val="24"/>
          <w:szCs w:val="24"/>
          <w:lang w:val="en-GB"/>
        </w:rPr>
        <w:t xml:space="preserve">Left ventricular global longitudinal strain was analysed in 3 apical LV-focused views (apical long axis view, </w:t>
      </w:r>
      <w:r w:rsidR="004D4FD4" w:rsidRPr="61DC57B0">
        <w:rPr>
          <w:rFonts w:ascii="Times New Roman" w:eastAsia="Times New Roman" w:hAnsi="Times New Roman" w:cs="Times New Roman"/>
          <w:sz w:val="24"/>
          <w:szCs w:val="24"/>
          <w:lang w:val="en-GB"/>
        </w:rPr>
        <w:t xml:space="preserve">four </w:t>
      </w:r>
      <w:r w:rsidR="006261A1" w:rsidRPr="61DC57B0">
        <w:rPr>
          <w:rFonts w:ascii="Times New Roman" w:eastAsia="Times New Roman" w:hAnsi="Times New Roman" w:cs="Times New Roman"/>
          <w:sz w:val="24"/>
          <w:szCs w:val="24"/>
          <w:lang w:val="en-GB"/>
        </w:rPr>
        <w:t>chamber view</w:t>
      </w:r>
      <w:r w:rsidR="004D4FD4" w:rsidRPr="61DC57B0">
        <w:rPr>
          <w:rFonts w:ascii="Times New Roman" w:eastAsia="Times New Roman" w:hAnsi="Times New Roman" w:cs="Times New Roman"/>
          <w:sz w:val="24"/>
          <w:szCs w:val="24"/>
          <w:lang w:val="en-GB"/>
        </w:rPr>
        <w:t>,</w:t>
      </w:r>
      <w:r w:rsidR="006261A1" w:rsidRPr="61DC57B0">
        <w:rPr>
          <w:rFonts w:ascii="Times New Roman" w:eastAsia="Times New Roman" w:hAnsi="Times New Roman" w:cs="Times New Roman"/>
          <w:sz w:val="24"/>
          <w:szCs w:val="24"/>
          <w:lang w:val="en-GB"/>
        </w:rPr>
        <w:t xml:space="preserve"> and </w:t>
      </w:r>
      <w:r w:rsidR="004D4FD4" w:rsidRPr="61DC57B0">
        <w:rPr>
          <w:rFonts w:ascii="Times New Roman" w:eastAsia="Times New Roman" w:hAnsi="Times New Roman" w:cs="Times New Roman"/>
          <w:sz w:val="24"/>
          <w:szCs w:val="24"/>
          <w:lang w:val="en-GB"/>
        </w:rPr>
        <w:t xml:space="preserve">two </w:t>
      </w:r>
      <w:r w:rsidR="006261A1" w:rsidRPr="61DC57B0">
        <w:rPr>
          <w:rFonts w:ascii="Times New Roman" w:eastAsia="Times New Roman" w:hAnsi="Times New Roman" w:cs="Times New Roman"/>
          <w:sz w:val="24"/>
          <w:szCs w:val="24"/>
          <w:lang w:val="en-GB"/>
        </w:rPr>
        <w:t xml:space="preserve">chamber view) using the two-dimensional strain speckle-tracking application in a standard </w:t>
      </w:r>
      <w:r w:rsidR="006261A1" w:rsidRPr="00554951">
        <w:rPr>
          <w:rFonts w:ascii="Times New Roman" w:eastAsia="Times New Roman" w:hAnsi="Times New Roman" w:cs="Times New Roman"/>
          <w:sz w:val="24"/>
          <w:szCs w:val="24"/>
          <w:lang w:val="en-GB"/>
        </w:rPr>
        <w:t>1</w:t>
      </w:r>
      <w:r w:rsidR="7285E491" w:rsidRPr="00554951">
        <w:rPr>
          <w:rFonts w:ascii="Times New Roman" w:eastAsia="Times New Roman" w:hAnsi="Times New Roman" w:cs="Times New Roman"/>
          <w:sz w:val="24"/>
          <w:szCs w:val="24"/>
          <w:lang w:val="en-GB"/>
        </w:rPr>
        <w:t>7</w:t>
      </w:r>
      <w:r w:rsidR="006261A1" w:rsidRPr="00554951">
        <w:rPr>
          <w:rFonts w:ascii="Times New Roman" w:eastAsia="Times New Roman" w:hAnsi="Times New Roman" w:cs="Times New Roman"/>
          <w:sz w:val="24"/>
          <w:szCs w:val="24"/>
          <w:lang w:val="en-GB"/>
        </w:rPr>
        <w:t>-</w:t>
      </w:r>
      <w:r w:rsidR="006261A1" w:rsidRPr="61DC57B0">
        <w:rPr>
          <w:rFonts w:ascii="Times New Roman" w:eastAsia="Times New Roman" w:hAnsi="Times New Roman" w:cs="Times New Roman"/>
          <w:sz w:val="24"/>
          <w:szCs w:val="24"/>
          <w:lang w:val="en-GB"/>
        </w:rPr>
        <w:t xml:space="preserve">segment model </w:t>
      </w:r>
      <w:r w:rsidR="006261A1" w:rsidRPr="61DC57B0">
        <w:rPr>
          <w:rFonts w:ascii="Times New Roman" w:eastAsia="Times New Roman" w:hAnsi="Times New Roman" w:cs="Times New Roman"/>
          <w:sz w:val="24"/>
          <w:szCs w:val="24"/>
          <w:lang w:val="en-GB"/>
        </w:rPr>
        <w:fldChar w:fldCharType="begin"/>
      </w:r>
      <w:r w:rsidR="006261A1" w:rsidRPr="61DC57B0">
        <w:rPr>
          <w:rFonts w:ascii="Times New Roman" w:eastAsia="Times New Roman" w:hAnsi="Times New Roman" w:cs="Times New Roman"/>
          <w:sz w:val="24"/>
          <w:szCs w:val="24"/>
          <w:lang w:val="en-GB"/>
        </w:rPr>
        <w:instrText xml:space="preserve"> ADDIN ZOTERO_ITEM CSL_CITATION {"citationID":"7FvXlMtk","properties":{"formattedCitation":"[8]","plainCitation":"[8]","noteIndex":0},"citationItems":[{"id":218,"uris":["http://zotero.org/users/10535646/items/6GFMJ72Q"],"itemData":{"id":218,"type":"article-journal","abstract":"Background\nMyocardial deformation by echocardiographic strain imaging is a key measurement in cardiology, providing valuable diagnostic and prognostic information. Reference ranges for strain should be established from large healthy populations with minimal methodologic biases and variability.\nObjectives\nThe aim of this study was to establish echocardiographic reference ranges, including lower normal limits of global strains for all 4 cardiac chambers, by guideline-directed dedicated views from a large healthy population and to evaluate the influence of subject-specific characteristics on strain.\nMethods\nIn total, 1,329 healthy participants from HUNT4Echo, the echocardiographic substudy of the 4th wave of the Trøndelag Health Study, were included. Echocardiographic recordings specific for each chamber were optimized according to current recommendations. Two experienced sonographers recorded all echocardiograms using GE HealthCare Vivid E95 scanners. Analyses were performed by experts using GE HealthCare EchoPAC.\nResults\nThe reference ranges for left ventricular (LV) global longitudinal strain and right ventricular free-wall strain were −24% to −16% and −35% to −17%, respectively. Correspondingly, left atrial (LA) and right atrial (RA) reservoir strains were 17% to 49% and 17% to 59%. All strains showed lower absolute values with higher age, except for LA and RA contractile strains, which were higher. The feasibility for strain was overall good (LV 96%, right ventricular 83%, LA 94%, and RA 87%). All chamber-specific strains were associated with age, and LV strain was associated with sex.\nConclusions\nReference ranges of strain for all cardiac chambers were established based on guideline-directed chamber-specific recordings. Age and sex were the most important factors influencing reference ranges and should be considered when using strain echocardiography.","container-title":"JACC: Cardiovascular Imaging","DOI":"10.1016/j.jcmg.2023.08.011","ISSN":"1936-878X","issue":"12","journalAbbreviation":"JACC: Cardiovascular Imaging","page":"1516-1531","source":"ScienceDirect","title":"Echocardiographic Reference Ranges of Global Longitudinal Strain for All Cardiac Chambers Using Guideline-Directed Dedicated Views","volume":"16","author":[{"family":"Nyberg","given":"John"},{"family":"Jakobsen","given":"Even Olav"},{"family":"Østvik","given":"Andreas"},{"family":"Holte","given":"Espen"},{"family":"Stølen","given":"Stian"},{"family":"Lovstakken","given":"Lasse"},{"family":"Grenne","given":"Bjørnar"},{"family":"Dalen","given":"Havard"}],"issued":{"date-parts":[["2023",12,1]]}}}],"schema":"https://github.com/citation-style-language/schema/raw/master/csl-citation.json"} </w:instrText>
      </w:r>
      <w:r w:rsidR="006261A1" w:rsidRPr="61DC57B0">
        <w:rPr>
          <w:rFonts w:ascii="Times New Roman" w:eastAsia="Times New Roman" w:hAnsi="Times New Roman" w:cs="Times New Roman"/>
          <w:sz w:val="24"/>
          <w:szCs w:val="24"/>
          <w:lang w:val="en-GB"/>
        </w:rPr>
        <w:fldChar w:fldCharType="separate"/>
      </w:r>
      <w:r w:rsidR="008A4D2D" w:rsidRPr="61DC57B0">
        <w:rPr>
          <w:rFonts w:ascii="Times New Roman" w:hAnsi="Times New Roman" w:cs="Times New Roman"/>
          <w:sz w:val="24"/>
          <w:szCs w:val="24"/>
        </w:rPr>
        <w:t>[8]</w:t>
      </w:r>
      <w:r w:rsidR="006261A1" w:rsidRPr="61DC57B0">
        <w:rPr>
          <w:rFonts w:ascii="Times New Roman" w:eastAsia="Times New Roman" w:hAnsi="Times New Roman" w:cs="Times New Roman"/>
          <w:sz w:val="24"/>
          <w:szCs w:val="24"/>
          <w:lang w:val="en-GB"/>
        </w:rPr>
        <w:fldChar w:fldCharType="end"/>
      </w:r>
      <w:r w:rsidR="006261A1" w:rsidRPr="61DC57B0">
        <w:rPr>
          <w:rFonts w:ascii="Times New Roman" w:eastAsia="Times New Roman" w:hAnsi="Times New Roman" w:cs="Times New Roman"/>
          <w:sz w:val="24"/>
          <w:szCs w:val="24"/>
          <w:lang w:val="en-GB"/>
        </w:rPr>
        <w:t>. SD of the 1</w:t>
      </w:r>
      <w:r w:rsidR="00554951">
        <w:rPr>
          <w:rFonts w:ascii="Times New Roman" w:eastAsia="Times New Roman" w:hAnsi="Times New Roman" w:cs="Times New Roman"/>
          <w:sz w:val="24"/>
          <w:szCs w:val="24"/>
          <w:lang w:val="en-GB"/>
        </w:rPr>
        <w:t>7</w:t>
      </w:r>
      <w:r w:rsidR="006261A1" w:rsidRPr="61DC57B0">
        <w:rPr>
          <w:rFonts w:ascii="Times New Roman" w:eastAsia="Times New Roman" w:hAnsi="Times New Roman" w:cs="Times New Roman"/>
          <w:sz w:val="24"/>
          <w:szCs w:val="24"/>
          <w:lang w:val="en-GB"/>
        </w:rPr>
        <w:t xml:space="preserve"> longitudinally measured contraction durations was calculated as </w:t>
      </w:r>
      <w:r w:rsidR="0001333C" w:rsidRPr="61DC57B0">
        <w:rPr>
          <w:rFonts w:ascii="Times New Roman" w:eastAsia="Times New Roman" w:hAnsi="Times New Roman" w:cs="Times New Roman"/>
          <w:sz w:val="24"/>
          <w:szCs w:val="24"/>
          <w:lang w:val="en-GB"/>
        </w:rPr>
        <w:t xml:space="preserve">a </w:t>
      </w:r>
      <w:r w:rsidR="006261A1" w:rsidRPr="61DC57B0">
        <w:rPr>
          <w:rFonts w:ascii="Times New Roman" w:eastAsia="Times New Roman" w:hAnsi="Times New Roman" w:cs="Times New Roman"/>
          <w:sz w:val="24"/>
          <w:szCs w:val="24"/>
          <w:lang w:val="en-GB"/>
        </w:rPr>
        <w:t xml:space="preserve">parameter of </w:t>
      </w:r>
      <w:r w:rsidR="000331F2">
        <w:rPr>
          <w:rFonts w:ascii="Times New Roman" w:eastAsia="Times New Roman" w:hAnsi="Times New Roman" w:cs="Times New Roman"/>
          <w:sz w:val="24"/>
          <w:szCs w:val="24"/>
          <w:lang w:val="en-GB"/>
        </w:rPr>
        <w:t xml:space="preserve">a </w:t>
      </w:r>
      <w:r w:rsidR="006261A1" w:rsidRPr="61DC57B0">
        <w:rPr>
          <w:rFonts w:ascii="Times New Roman" w:eastAsia="Times New Roman" w:hAnsi="Times New Roman" w:cs="Times New Roman"/>
          <w:sz w:val="24"/>
          <w:szCs w:val="24"/>
          <w:lang w:val="en-GB"/>
        </w:rPr>
        <w:t xml:space="preserve">longitudinal mechanical dispersion. </w:t>
      </w:r>
      <w:r w:rsidR="006261A1" w:rsidRPr="00E40381">
        <w:rPr>
          <w:rFonts w:ascii="Times New Roman" w:hAnsi="Times New Roman" w:cs="Times New Roman"/>
          <w:sz w:val="24"/>
          <w:szCs w:val="24"/>
        </w:rPr>
        <w:t xml:space="preserve">Longitudinal mechanical dispersion </w:t>
      </w:r>
      <w:r w:rsidR="00577337" w:rsidRPr="00E40381">
        <w:rPr>
          <w:rFonts w:ascii="Times New Roman" w:hAnsi="Times New Roman" w:cs="Times New Roman"/>
          <w:sz w:val="24"/>
          <w:szCs w:val="24"/>
        </w:rPr>
        <w:t xml:space="preserve">is known to be longer in LQTS patients versus healthy individuals  (36 ± 15 </w:t>
      </w:r>
      <w:r w:rsidR="009B69B9">
        <w:rPr>
          <w:rFonts w:ascii="Times New Roman" w:hAnsi="Times New Roman" w:cs="Times New Roman"/>
          <w:sz w:val="24"/>
          <w:szCs w:val="24"/>
        </w:rPr>
        <w:t>ms vs. 20 ± 7 ms, respectively)</w:t>
      </w:r>
      <w:r w:rsidR="000331F2">
        <w:rPr>
          <w:rFonts w:ascii="Times New Roman" w:hAnsi="Times New Roman" w:cs="Times New Roman"/>
          <w:sz w:val="24"/>
          <w:szCs w:val="24"/>
        </w:rPr>
        <w:t xml:space="preserve"> </w:t>
      </w:r>
      <w:r w:rsidR="006261A1" w:rsidRPr="61DC57B0">
        <w:rPr>
          <w:rFonts w:ascii="Times New Roman" w:hAnsi="Times New Roman" w:cs="Times New Roman"/>
          <w:sz w:val="24"/>
          <w:szCs w:val="24"/>
        </w:rPr>
        <w:fldChar w:fldCharType="begin"/>
      </w:r>
      <w:r w:rsidR="006261A1" w:rsidRPr="61DC57B0">
        <w:rPr>
          <w:rFonts w:ascii="Times New Roman" w:hAnsi="Times New Roman" w:cs="Times New Roman"/>
          <w:sz w:val="24"/>
          <w:szCs w:val="24"/>
        </w:rPr>
        <w:instrText xml:space="preserve"> ADDIN ZOTERO_ITEM CSL_CITATION {"citationID":"a4wrK2QG","properties":{"formattedCitation":"[9]","plainCitation":"[9]","noteIndex":0},"citationItems":[{"id":200,"uris":["http://zotero.org/users/10535646/items/WU7NZZN7"],"itemData":{"id":200,"type":"article-journal","abstract":"BACKGROUND: Long-QT syndrome (LQTS) is characterized by prolonged myocardial action potential duration. The longest action potential duration is reported in the endomyocardium and midmyocardium. Prolonged action potential duration in LQTS may cause prolonged cardiac contraction, which can be assessed by strain echocardiography. We hypothesized that myocardial contraction is most prolonged in subendocardial myofibers in LQTS patients and that inhomogeneous transmural contraction is related to the risk of spontaneous arrhythmia.\nMETHODS AND RESULTS: We included 101 genotyped LQTS mutation carriers and 35 healthy individuals. A history of cardiac arrhythmias was present in 48 mutations carriers, and 53 were asymptomatic. Myocardial contraction duration was assessed by strain echocardiography as time from the ECG Q wave to peak strain in 16 LV segments. Strain was assessed along the longitudinal axis, predominantly representing subendocardial fibers, and along the circumferential axis, representing midmyocardial fibers. Mean contraction duration was longer in LQTS mutation carriers compared with healthy individuals (445 ± 45 versus 390 ± 40 milliseconds; P&lt;0.001) and longer in symptomatic compared with asymptomatic LQTS mutation carriers (460 ± 40 versus 425 ± 45 milliseconds; P&lt;0.001). Contraction duration by longitudinal strain was longer than by circumferential strain in symptomatic LQTS patients (460 ± 45 versus 445±45 milliseconds; P=0.008) but not in asymptomatic patients and healthy individuals, indicating transmural mechanical dispersion. This time difference was present in a majority of LV segments and was most evident in patients with LQT2 and the Jervell and Lange-Nielsen syndrome.\nCONCLUSION: Contraction duration in symptomatic LQTS mutation carriers was longer in the subendocardium than in the midmyocardium, indicating transmural mechanical dispersion, which was not present in asymptomatic and healthy individuals.","container-title":"Circulation","DOI":"10.1161/CIRCULATIONAHA.110.960377","ISSN":"1524-4539","issue":"14","journalAbbreviation":"Circulation","language":"eng","note":"PMID: 20855658","page":"1355-1363","source":"PubMed","title":"Transmural differences in myocardial contraction in long-QT syndrome: mechanical consequences of ion channel dysfunction","title-short":"Transmural differences in myocardial contraction in long-QT syndrome","volume":"122","author":[{"family":"Haugaa","given":"Kristina Hermann"},{"family":"Amlie","given":"Jan P."},{"family":"Berge","given":"Knut Erik"},{"family":"Leren","given":"Trond P."},{"family":"Smiseth","given":"Otto A."},{"family":"Edvardsen","given":"Thor"}],"issued":{"date-parts":[["2010",10,5]]}}}],"schema":"https://github.com/citation-style-language/schema/raw/master/csl-citation.json"} </w:instrText>
      </w:r>
      <w:r w:rsidR="006261A1" w:rsidRPr="61DC57B0">
        <w:rPr>
          <w:rFonts w:ascii="Times New Roman" w:hAnsi="Times New Roman" w:cs="Times New Roman"/>
          <w:sz w:val="24"/>
          <w:szCs w:val="24"/>
        </w:rPr>
        <w:fldChar w:fldCharType="separate"/>
      </w:r>
      <w:r w:rsidR="008A4D2D" w:rsidRPr="61DC57B0">
        <w:rPr>
          <w:rFonts w:ascii="Times New Roman" w:hAnsi="Times New Roman" w:cs="Times New Roman"/>
          <w:sz w:val="24"/>
          <w:szCs w:val="24"/>
        </w:rPr>
        <w:t>[9]</w:t>
      </w:r>
      <w:r w:rsidR="006261A1" w:rsidRPr="61DC57B0">
        <w:rPr>
          <w:rFonts w:ascii="Times New Roman" w:hAnsi="Times New Roman" w:cs="Times New Roman"/>
          <w:sz w:val="24"/>
          <w:szCs w:val="24"/>
        </w:rPr>
        <w:fldChar w:fldCharType="end"/>
      </w:r>
      <w:r w:rsidR="00444065" w:rsidRPr="61DC57B0">
        <w:rPr>
          <w:rFonts w:ascii="Times New Roman" w:hAnsi="Times New Roman" w:cs="Times New Roman"/>
          <w:sz w:val="24"/>
          <w:szCs w:val="24"/>
        </w:rPr>
        <w:t xml:space="preserve">. </w:t>
      </w:r>
      <w:r w:rsidR="004D4FD4" w:rsidRPr="61DC57B0">
        <w:rPr>
          <w:rFonts w:ascii="Times New Roman" w:eastAsia="Times New Roman" w:hAnsi="Times New Roman" w:cs="Times New Roman"/>
          <w:sz w:val="24"/>
          <w:szCs w:val="24"/>
          <w:lang w:val="en-GB"/>
        </w:rPr>
        <w:t xml:space="preserve">An electromechanical </w:t>
      </w:r>
      <w:r w:rsidR="006261A1" w:rsidRPr="61DC57B0">
        <w:rPr>
          <w:rFonts w:ascii="Times New Roman" w:eastAsia="Times New Roman" w:hAnsi="Times New Roman" w:cs="Times New Roman"/>
          <w:sz w:val="24"/>
          <w:szCs w:val="24"/>
          <w:lang w:val="en-GB"/>
        </w:rPr>
        <w:t xml:space="preserve">window was calculated as the difference between the interval from QRS onset to aortic valve closure (midline) in the continuous-wave Doppler images in the apical long-axis view and the QT interval from the ECG for the same beat </w:t>
      </w:r>
      <w:r w:rsidR="006261A1" w:rsidRPr="61DC57B0">
        <w:rPr>
          <w:rFonts w:ascii="Times New Roman" w:eastAsia="Times New Roman" w:hAnsi="Times New Roman" w:cs="Times New Roman"/>
          <w:sz w:val="24"/>
          <w:szCs w:val="24"/>
          <w:lang w:val="en-GB"/>
        </w:rPr>
        <w:fldChar w:fldCharType="begin"/>
      </w:r>
      <w:r w:rsidR="006261A1" w:rsidRPr="61DC57B0">
        <w:rPr>
          <w:rFonts w:ascii="Times New Roman" w:eastAsia="Times New Roman" w:hAnsi="Times New Roman" w:cs="Times New Roman"/>
          <w:sz w:val="24"/>
          <w:szCs w:val="24"/>
          <w:lang w:val="en-GB"/>
        </w:rPr>
        <w:instrText xml:space="preserve"> ADDIN ZOTERO_ITEM CSL_CITATION {"citationID":"QrLXGhrH","properties":{"formattedCitation":"[10]","plainCitation":"[10]","noteIndex":0},"citationItems":[{"id":20,"uris":["http://zotero.org/users/10535646/items/M9WFXTWX"],"itemData":{"id":20,"type":"article-journal","abstract":"BACKGROUND: The ability to identify those patients at the highest phenotypic risk for long QT syndrome (LQTS)-associated life-threatening cardiac events remains suboptimal.\nOBJECTIVES: This study sought to validate the association between electromechanical window (EMW) negativity, as derived from echocardiography, and symptomatic versus asymptomatic status in patients with LQTS.\nMETHODS: We analyzed a cohort of 651 patients with LQTS (age 26 ± 17 years; 60% females; 158 symptomatic; 51% LQTS type 1; 33% LQTS type 2; 11% LQTS type 3; 5% multiple mutations) and 50 healthy controls. EMW was calculated as the difference between the interval from QRS onset to aortic valve closure midline, as derived for continuous-wave Doppler, and the electrocardiogram-derived QT interval for the same beat.\nRESULTS: A negative EMW was found among nearly all patients with LQTS compared to controls, with more profound EMW negativity in patients with symptomatic LQTS compared to those with asymptomatic LQTS (-52 ± 38 ms vs. -18 ± 29 ms; p &lt; 0.0001). Logistic regression identified EMW, heart rate-corrected QT interval (QTc), female sex, and LQTS genotype as univariate predictors of symptomatic status. After multivariate analysis, EMW remained an independent predictor of symptomatic status (odds ratio for each 10-ms decrease in EMW: 1.37; 95% confidence interval: 1.27 to 1.48; p &lt; 0.0001). EMW outperformed QTc in predicting symptomatic patients (area under the curve: 0.78 vs. 0.70; p = 0.01). After training and implementation, EMW correlation from echocardiographic sonographers showed excellent reliability (intraclass correlation coefficient: 0.93; 95% confidence interval: 0.89 to 0.96).\nCONCLUSIONS: In this validation study, patients with a history of LQTS-associated life-threatening cardiac events had a more profoundly negative EMW. EMW outperformed heart rate-corrected QT interval as a predictor of symptomatic status. EMW is now a clinically validated risk factor. In December 2019, our institution's echocardiography clinical practice committee approved use of EMW for patients with LQTS, making it a routinely reported echocardiographic finding.","container-title":"Journal of the American College of Cardiology","DOI":"10.1016/j.jacc.2020.10.024","ISSN":"1558-3597","issue":"24","journalAbbreviation":"J Am Coll Cardiol","language":"eng","note":"PMID: 33303072","page":"2834-2843","source":"PubMed","title":"Echocardiography-Guided Risk Stratification for Long QT Syndrome","volume":"76","author":[{"family":"Sugrue","given":"Alan"},{"family":"Zyl","given":"Martin","non-dropping-particle":"van"},{"family":"Enger","given":"Nick"},{"family":"Mancl","given":"Katie"},{"family":"Eidem","given":"Benjamin W."},{"family":"Oh","given":"Jae K."},{"family":"Bos","given":"J. Martijn"},{"family":"Asirvatham","given":"Samuel J."},{"family":"Ackerman","given":"Michael J."}],"issued":{"date-parts":[["2020",12,15]]}}}],"schema":"https://github.com/citation-style-language/schema/raw/master/csl-citation.json"} </w:instrText>
      </w:r>
      <w:r w:rsidR="006261A1" w:rsidRPr="61DC57B0">
        <w:rPr>
          <w:rFonts w:ascii="Times New Roman" w:eastAsia="Times New Roman" w:hAnsi="Times New Roman" w:cs="Times New Roman"/>
          <w:sz w:val="24"/>
          <w:szCs w:val="24"/>
          <w:lang w:val="en-GB"/>
        </w:rPr>
        <w:fldChar w:fldCharType="separate"/>
      </w:r>
      <w:r w:rsidR="008A4D2D" w:rsidRPr="61DC57B0">
        <w:rPr>
          <w:rFonts w:ascii="Times New Roman" w:hAnsi="Times New Roman" w:cs="Times New Roman"/>
          <w:sz w:val="24"/>
          <w:szCs w:val="24"/>
        </w:rPr>
        <w:t>[10]</w:t>
      </w:r>
      <w:r w:rsidR="006261A1" w:rsidRPr="61DC57B0">
        <w:rPr>
          <w:rFonts w:ascii="Times New Roman" w:eastAsia="Times New Roman" w:hAnsi="Times New Roman" w:cs="Times New Roman"/>
          <w:sz w:val="24"/>
          <w:szCs w:val="24"/>
          <w:lang w:val="en-GB"/>
        </w:rPr>
        <w:fldChar w:fldCharType="end"/>
      </w:r>
      <w:r w:rsidR="006261A1" w:rsidRPr="61DC57B0">
        <w:rPr>
          <w:rFonts w:ascii="Times New Roman" w:eastAsia="Times New Roman" w:hAnsi="Times New Roman" w:cs="Times New Roman"/>
          <w:sz w:val="24"/>
          <w:szCs w:val="24"/>
          <w:lang w:val="en-GB"/>
        </w:rPr>
        <w:t xml:space="preserve">. </w:t>
      </w:r>
      <w:r w:rsidR="006A7CEB" w:rsidRPr="61DC57B0">
        <w:rPr>
          <w:rFonts w:ascii="Times New Roman" w:eastAsia="Times New Roman" w:hAnsi="Times New Roman" w:cs="Times New Roman"/>
          <w:sz w:val="24"/>
          <w:szCs w:val="24"/>
          <w:lang w:val="en-GB"/>
        </w:rPr>
        <w:t>Electromechanical window</w:t>
      </w:r>
      <w:r w:rsidR="00975E05" w:rsidRPr="61DC57B0">
        <w:rPr>
          <w:rFonts w:ascii="Times New Roman" w:eastAsia="Georgia" w:hAnsi="Times New Roman" w:cs="Times New Roman"/>
          <w:color w:val="1F1F1F"/>
          <w:sz w:val="24"/>
          <w:szCs w:val="24"/>
        </w:rPr>
        <w:t xml:space="preserve"> value</w:t>
      </w:r>
      <w:r w:rsidR="006261A1" w:rsidRPr="61DC57B0">
        <w:rPr>
          <w:rFonts w:ascii="Times New Roman" w:eastAsia="Georgia" w:hAnsi="Times New Roman" w:cs="Times New Roman"/>
          <w:color w:val="1F1F1F"/>
          <w:sz w:val="24"/>
          <w:szCs w:val="24"/>
        </w:rPr>
        <w:t xml:space="preserve"> &lt; </w:t>
      </w:r>
      <w:r w:rsidR="0001333C" w:rsidRPr="61DC57B0">
        <w:rPr>
          <w:rFonts w:ascii="Times New Roman" w:eastAsia="Georgia" w:hAnsi="Times New Roman" w:cs="Times New Roman"/>
          <w:color w:val="1F1F1F"/>
          <w:sz w:val="24"/>
          <w:szCs w:val="24"/>
        </w:rPr>
        <w:t>-</w:t>
      </w:r>
      <w:r w:rsidR="006261A1" w:rsidRPr="61DC57B0">
        <w:rPr>
          <w:rFonts w:ascii="Times New Roman" w:eastAsia="Georgia" w:hAnsi="Times New Roman" w:cs="Times New Roman"/>
          <w:color w:val="1F1F1F"/>
          <w:sz w:val="24"/>
          <w:szCs w:val="24"/>
        </w:rPr>
        <w:t>23 ms w</w:t>
      </w:r>
      <w:r w:rsidR="00975E05" w:rsidRPr="61DC57B0">
        <w:rPr>
          <w:rFonts w:ascii="Times New Roman" w:eastAsia="Georgia" w:hAnsi="Times New Roman" w:cs="Times New Roman"/>
          <w:color w:val="1F1F1F"/>
          <w:sz w:val="24"/>
          <w:szCs w:val="24"/>
        </w:rPr>
        <w:t xml:space="preserve">as </w:t>
      </w:r>
      <w:r w:rsidR="006261A1" w:rsidRPr="61DC57B0">
        <w:rPr>
          <w:rFonts w:ascii="Times New Roman" w:eastAsia="Georgia" w:hAnsi="Times New Roman" w:cs="Times New Roman"/>
          <w:color w:val="1F1F1F"/>
          <w:sz w:val="24"/>
          <w:szCs w:val="24"/>
        </w:rPr>
        <w:t>considered abnormal for patients at</w:t>
      </w:r>
      <w:r w:rsidR="00BE636E" w:rsidRPr="61DC57B0">
        <w:rPr>
          <w:rFonts w:ascii="Times New Roman" w:eastAsia="Georgia" w:hAnsi="Times New Roman" w:cs="Times New Roman"/>
          <w:color w:val="1F1F1F"/>
          <w:sz w:val="24"/>
          <w:szCs w:val="24"/>
        </w:rPr>
        <w:t xml:space="preserve"> a</w:t>
      </w:r>
      <w:r w:rsidR="006261A1" w:rsidRPr="61DC57B0">
        <w:rPr>
          <w:rFonts w:ascii="Times New Roman" w:eastAsia="Georgia" w:hAnsi="Times New Roman" w:cs="Times New Roman"/>
          <w:color w:val="1F1F1F"/>
          <w:sz w:val="24"/>
          <w:szCs w:val="24"/>
        </w:rPr>
        <w:t xml:space="preserve"> potential arrhythmia risk </w:t>
      </w:r>
      <w:r w:rsidR="006261A1" w:rsidRPr="61DC57B0">
        <w:rPr>
          <w:rFonts w:ascii="Times New Roman" w:eastAsia="Georgia" w:hAnsi="Times New Roman" w:cs="Times New Roman"/>
          <w:color w:val="1F1F1F"/>
          <w:sz w:val="24"/>
          <w:szCs w:val="24"/>
        </w:rPr>
        <w:fldChar w:fldCharType="begin"/>
      </w:r>
      <w:r w:rsidR="006261A1" w:rsidRPr="61DC57B0">
        <w:rPr>
          <w:rFonts w:ascii="Times New Roman" w:eastAsia="Georgia" w:hAnsi="Times New Roman" w:cs="Times New Roman"/>
          <w:color w:val="1F1F1F"/>
          <w:sz w:val="24"/>
          <w:szCs w:val="24"/>
        </w:rPr>
        <w:instrText xml:space="preserve"> ADDIN ZOTERO_ITEM CSL_CITATION {"citationID":"xGytcF6M","properties":{"formattedCitation":"[11]","plainCitation":"[11]","noteIndex":0},"citationItems":[{"id":415,"uris":["http://zotero.org/users/10535646/items/LTRWRHYS"],"itemData":{"id":415,"type":"article-journal","abstract":"The electromechanical window (EMW) is calculated by subtracting the repolarization duration from a mechanical reference representing contraction duration in the same heartbeat (eg, aortic valve closure during echocardiography with simultaneous electrocardiography). Here, we review the current knowledge on the role of the EMW as an independent parameter for ventricular arrhythmia-risk stratiﬁcation. We (1) provide a standardized approach to echocardiographic EMW assessment, (2) deﬁne relevant cutoff values for both abnormal EMW negativity and positivity, (3) discuss pathophysiological underpinnings of EMW negativity, and (4) outline the potential future role of cardiac electromechanical relations in patients with proarrhythmic conditions.","container-title":"Heart Rhythm","DOI":"10.1016/j.hrthm.2024.06.012","ISSN":"15475271","journalAbbreviation":"Heart Rhythm","language":"en","page":"S154752712402695X","source":"DOI.org (Crossref)","title":"The electromechanical window for arrhythmia-risk assessment","author":[{"family":"Deissler","given":"Peter M."},{"family":"Volders","given":"Paul G.A."},{"family":"Ter Bekke","given":"Rachel M.A."}],"issued":{"date-parts":[["2024",6]]}}}],"schema":"https://github.com/citation-style-language/schema/raw/master/csl-citation.json"} </w:instrText>
      </w:r>
      <w:r w:rsidR="006261A1" w:rsidRPr="61DC57B0">
        <w:rPr>
          <w:rFonts w:ascii="Times New Roman" w:eastAsia="Georgia" w:hAnsi="Times New Roman" w:cs="Times New Roman"/>
          <w:color w:val="1F1F1F"/>
          <w:sz w:val="24"/>
          <w:szCs w:val="24"/>
        </w:rPr>
        <w:fldChar w:fldCharType="separate"/>
      </w:r>
      <w:r w:rsidR="008A4D2D" w:rsidRPr="61DC57B0">
        <w:rPr>
          <w:rFonts w:ascii="Times New Roman" w:hAnsi="Times New Roman" w:cs="Times New Roman"/>
          <w:sz w:val="24"/>
          <w:szCs w:val="24"/>
        </w:rPr>
        <w:t>[11]</w:t>
      </w:r>
      <w:r w:rsidR="006261A1" w:rsidRPr="61DC57B0">
        <w:rPr>
          <w:rFonts w:ascii="Times New Roman" w:eastAsia="Georgia" w:hAnsi="Times New Roman" w:cs="Times New Roman"/>
          <w:color w:val="1F1F1F"/>
          <w:sz w:val="24"/>
          <w:szCs w:val="24"/>
        </w:rPr>
        <w:fldChar w:fldCharType="end"/>
      </w:r>
      <w:r w:rsidR="006261A1" w:rsidRPr="61DC57B0">
        <w:rPr>
          <w:rFonts w:ascii="Times New Roman" w:eastAsia="Georgia" w:hAnsi="Times New Roman" w:cs="Times New Roman"/>
          <w:color w:val="1F1F1F"/>
          <w:sz w:val="24"/>
          <w:szCs w:val="24"/>
        </w:rPr>
        <w:t>.</w:t>
      </w:r>
      <w:r w:rsidR="006261A1" w:rsidRPr="61DC57B0">
        <w:rPr>
          <w:rFonts w:ascii="Times New Roman" w:eastAsia="Times New Roman" w:hAnsi="Times New Roman" w:cs="Times New Roman"/>
          <w:sz w:val="24"/>
          <w:szCs w:val="24"/>
        </w:rPr>
        <w:t xml:space="preserve"> </w:t>
      </w:r>
    </w:p>
    <w:p w14:paraId="779410A8" w14:textId="34200AC4" w:rsidR="00B4435E" w:rsidRPr="00AD203D" w:rsidRDefault="006261A1" w:rsidP="00AD203D">
      <w:pPr>
        <w:spacing w:line="480" w:lineRule="auto"/>
        <w:rPr>
          <w:rFonts w:ascii="Times New Roman" w:eastAsia="Georgia" w:hAnsi="Times New Roman" w:cs="Times New Roman"/>
          <w:color w:val="1F1F1F"/>
          <w:sz w:val="24"/>
          <w:szCs w:val="24"/>
        </w:rPr>
      </w:pPr>
      <w:r w:rsidRPr="00AD203D">
        <w:rPr>
          <w:rFonts w:ascii="Times New Roman" w:eastAsia="Calibri" w:hAnsi="Times New Roman" w:cs="Times New Roman"/>
          <w:sz w:val="24"/>
          <w:szCs w:val="24"/>
          <w:lang w:val="en-GB"/>
        </w:rPr>
        <w:t xml:space="preserve">Descriptive statistics </w:t>
      </w:r>
      <w:r w:rsidR="00975E05">
        <w:rPr>
          <w:rFonts w:ascii="Times New Roman" w:eastAsia="Calibri" w:hAnsi="Times New Roman" w:cs="Times New Roman"/>
          <w:sz w:val="24"/>
          <w:szCs w:val="24"/>
          <w:lang w:val="en-GB"/>
        </w:rPr>
        <w:t>was</w:t>
      </w:r>
      <w:r w:rsidRPr="00AD203D">
        <w:rPr>
          <w:rFonts w:ascii="Times New Roman" w:eastAsia="Calibri" w:hAnsi="Times New Roman" w:cs="Times New Roman"/>
          <w:sz w:val="24"/>
          <w:szCs w:val="24"/>
          <w:lang w:val="en-GB"/>
        </w:rPr>
        <w:t xml:space="preserve"> used to represent quantitative and qualitative data. </w:t>
      </w:r>
      <w:r w:rsidRPr="00AD203D">
        <w:rPr>
          <w:rFonts w:ascii="Times New Roman" w:eastAsia="Georgia" w:hAnsi="Times New Roman" w:cs="Times New Roman"/>
          <w:color w:val="1F1F1F"/>
          <w:sz w:val="24"/>
          <w:szCs w:val="24"/>
        </w:rPr>
        <w:t>Continuous data were presented as mean ± SD or median (quartile 1, quartile 3), categorical as numbers and percentages.</w:t>
      </w:r>
    </w:p>
    <w:p w14:paraId="064FF931" w14:textId="436FA27C" w:rsidR="00B4435E" w:rsidRPr="00AD203D" w:rsidRDefault="00B4435E" w:rsidP="00AD203D">
      <w:pPr>
        <w:spacing w:line="480" w:lineRule="auto"/>
        <w:rPr>
          <w:rFonts w:ascii="Times New Roman" w:eastAsia="Georgia" w:hAnsi="Times New Roman" w:cs="Times New Roman"/>
          <w:color w:val="1F1F1F"/>
          <w:sz w:val="24"/>
          <w:szCs w:val="24"/>
        </w:rPr>
      </w:pPr>
      <w:r w:rsidRPr="00AD203D">
        <w:rPr>
          <w:rFonts w:ascii="Times New Roman" w:eastAsia="Georgia" w:hAnsi="Times New Roman" w:cs="Times New Roman"/>
          <w:b/>
          <w:bCs/>
          <w:color w:val="1F1F1F"/>
          <w:sz w:val="24"/>
          <w:szCs w:val="24"/>
        </w:rPr>
        <w:t>Bibliography</w:t>
      </w:r>
      <w:r w:rsidR="00554951">
        <w:rPr>
          <w:rFonts w:ascii="Times New Roman" w:eastAsia="Georgia" w:hAnsi="Times New Roman" w:cs="Times New Roman"/>
          <w:color w:val="1F1F1F"/>
          <w:sz w:val="24"/>
          <w:szCs w:val="24"/>
        </w:rPr>
        <w:t xml:space="preserve"> (S</w:t>
      </w:r>
      <w:r w:rsidRPr="00AD203D">
        <w:rPr>
          <w:rFonts w:ascii="Times New Roman" w:eastAsia="Georgia" w:hAnsi="Times New Roman" w:cs="Times New Roman"/>
          <w:color w:val="1F1F1F"/>
          <w:sz w:val="24"/>
          <w:szCs w:val="24"/>
        </w:rPr>
        <w:t>uppl.</w:t>
      </w:r>
      <w:r w:rsidR="00554951">
        <w:rPr>
          <w:rFonts w:ascii="Times New Roman" w:eastAsia="Georgia" w:hAnsi="Times New Roman" w:cs="Times New Roman"/>
          <w:color w:val="1F1F1F"/>
          <w:sz w:val="24"/>
          <w:szCs w:val="24"/>
        </w:rPr>
        <w:t xml:space="preserve"> Mat. </w:t>
      </w:r>
      <w:r w:rsidRPr="00AD203D">
        <w:rPr>
          <w:rFonts w:ascii="Times New Roman" w:eastAsia="Georgia" w:hAnsi="Times New Roman" w:cs="Times New Roman"/>
          <w:color w:val="1F1F1F"/>
          <w:sz w:val="24"/>
          <w:szCs w:val="24"/>
        </w:rPr>
        <w:t>2)</w:t>
      </w:r>
    </w:p>
    <w:p w14:paraId="45177F87" w14:textId="77777777" w:rsidR="008A4D2D" w:rsidRPr="008A4D2D" w:rsidRDefault="00444065" w:rsidP="008A4D2D">
      <w:pPr>
        <w:pStyle w:val="Bibliography"/>
        <w:rPr>
          <w:rFonts w:ascii="Times New Roman" w:hAnsi="Times New Roman" w:cs="Times New Roman"/>
          <w:sz w:val="24"/>
        </w:rPr>
      </w:pPr>
      <w:r w:rsidRPr="00AD203D">
        <w:fldChar w:fldCharType="begin"/>
      </w:r>
      <w:r w:rsidR="00B4435E" w:rsidRPr="00AD203D">
        <w:instrText xml:space="preserve"> ADDIN ZOTERO_BIBL {"uncited":[],"omitted":[],"custom":[]} CSL_BIBLIOGRAPHY </w:instrText>
      </w:r>
      <w:r w:rsidRPr="00AD203D">
        <w:fldChar w:fldCharType="separate"/>
      </w:r>
      <w:r w:rsidR="008A4D2D" w:rsidRPr="008A4D2D">
        <w:rPr>
          <w:rFonts w:ascii="Times New Roman" w:hAnsi="Times New Roman" w:cs="Times New Roman"/>
          <w:sz w:val="24"/>
        </w:rPr>
        <w:t xml:space="preserve">1. Bazett HC. An Analysis of the Time-Relations of Electrocardiograms. Annals of Noninvasive Electrocardiology. 1997;2:177–94. </w:t>
      </w:r>
    </w:p>
    <w:p w14:paraId="318436C2"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2. Krahn AD, Laksman Z, Sy RW, Postema PG, Ackerman MJ, Wilde AAM, et al. Congenital Long QT Syndrome. JACC Clin Electrophysiol. 2022;8:687–706. </w:t>
      </w:r>
    </w:p>
    <w:p w14:paraId="38358CB7"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3. Roberts JD, Asaki SY, Mazzanti A, Bos JM, Tuleta I, Muir AR, et al. An International Multicenter Evaluation of Type 5 Long QT Syndrome: A Low Penetrant Primary Arrhythmic Condition. Circulation. 2020;141:429–39. </w:t>
      </w:r>
    </w:p>
    <w:p w14:paraId="796412F5"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lastRenderedPageBreak/>
        <w:t xml:space="preserve">4. Tse G, Gong M, Meng L, Wong CW, Georgopoulos S, Bazoukis G, et al. Meta-analysis of Tpeak-Tend and Tpeak-Tend/QT ratio for risk stratification in congenital long QT syndrome. J Electrocardiol. 2018;51:396–401. </w:t>
      </w:r>
    </w:p>
    <w:p w14:paraId="0F382FFA"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5. Yamaguchi M, Shimizu M, Ino H, Terai H, Uchiyama K, Oe K, et al. T wave peak-to-end interval and QT dispersion in acquired long QT syndrome: a new index for arrhythmogenicity. Clin Sci (Lond). 2003;105:671–6. </w:t>
      </w:r>
    </w:p>
    <w:p w14:paraId="79953DBE"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6. Abrahams T, Davies B, Laksman Z, Sy RW, Postema PG, Wilde AAM, et al. Provocation testing in congenital long QT syndrome: A practical guide. Heart Rhythm. 2023;20:1570–82. </w:t>
      </w:r>
    </w:p>
    <w:p w14:paraId="6D6E9D81"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7. Vink AS, Hermans BJM, Hooglugt J-LQ, Peltenburg PJ, Meijborg VMF, Hofman N, et al. Diagnostic Accuracy of the Standing Test in Adults Suspected for Congenital Long-QT Syndrome. J Am Heart Assoc. 2023;12:e026419. </w:t>
      </w:r>
    </w:p>
    <w:p w14:paraId="479D44E4"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8. Nyberg J, Jakobsen EO, Østvik A, Holte E, Stølen S, Lovstakken L, et al. Echocardiographic Reference Ranges of Global Longitudinal Strain for All Cardiac Chambers Using Guideline-Directed Dedicated Views. JACC: Cardiovascular Imaging. 2023;16:1516–31. </w:t>
      </w:r>
    </w:p>
    <w:p w14:paraId="7768AF5F"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9. Haugaa KH, Amlie JP, Berge KE, Leren TP, Smiseth OA, Edvardsen T. Transmural differences in myocardial contraction in long-QT syndrome: mechanical consequences of ion channel dysfunction. Circulation. 2010;122:1355–63. </w:t>
      </w:r>
    </w:p>
    <w:p w14:paraId="061CD9D5"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10. Sugrue A, van Zyl M, Enger N, Mancl K, Eidem BW, Oh JK, et al. Echocardiography-Guided Risk Stratification for Long QT Syndrome. J Am Coll Cardiol. 2020;76:2834–43. </w:t>
      </w:r>
    </w:p>
    <w:p w14:paraId="1BDD7FD9" w14:textId="77777777" w:rsidR="008A4D2D" w:rsidRPr="008A4D2D" w:rsidRDefault="008A4D2D" w:rsidP="008A4D2D">
      <w:pPr>
        <w:pStyle w:val="Bibliography"/>
        <w:rPr>
          <w:rFonts w:ascii="Times New Roman" w:hAnsi="Times New Roman" w:cs="Times New Roman"/>
          <w:sz w:val="24"/>
        </w:rPr>
      </w:pPr>
      <w:r w:rsidRPr="008A4D2D">
        <w:rPr>
          <w:rFonts w:ascii="Times New Roman" w:hAnsi="Times New Roman" w:cs="Times New Roman"/>
          <w:sz w:val="24"/>
        </w:rPr>
        <w:t xml:space="preserve">11. Deissler PM, Volders PGA, Ter Bekke RMA. The electromechanical window for arrhythmia-risk assessment. Heart Rhythm. 2024;S154752712402695X. </w:t>
      </w:r>
    </w:p>
    <w:p w14:paraId="1B7E558A" w14:textId="77777777" w:rsidR="006A6EF4" w:rsidRPr="00AD203D" w:rsidRDefault="00444065" w:rsidP="0001333C">
      <w:pPr>
        <w:spacing w:line="480" w:lineRule="auto"/>
        <w:rPr>
          <w:rFonts w:ascii="Times New Roman" w:hAnsi="Times New Roman" w:cs="Times New Roman"/>
          <w:sz w:val="24"/>
          <w:szCs w:val="24"/>
        </w:rPr>
      </w:pPr>
      <w:r w:rsidRPr="00AD203D">
        <w:rPr>
          <w:rFonts w:ascii="Times New Roman" w:hAnsi="Times New Roman" w:cs="Times New Roman"/>
          <w:sz w:val="24"/>
          <w:szCs w:val="24"/>
        </w:rPr>
        <w:fldChar w:fldCharType="end"/>
      </w:r>
    </w:p>
    <w:sectPr w:rsidR="006A6EF4" w:rsidRPr="00AD203D" w:rsidSect="0001333C">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2DE89" w14:textId="77777777" w:rsidR="00A474A6" w:rsidRDefault="00A474A6" w:rsidP="0001333C">
      <w:pPr>
        <w:spacing w:after="0" w:line="240" w:lineRule="auto"/>
      </w:pPr>
      <w:r>
        <w:separator/>
      </w:r>
    </w:p>
  </w:endnote>
  <w:endnote w:type="continuationSeparator" w:id="0">
    <w:p w14:paraId="48928540" w14:textId="77777777" w:rsidR="00A474A6" w:rsidRDefault="00A474A6" w:rsidP="0001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052387"/>
      <w:docPartObj>
        <w:docPartGallery w:val="Page Numbers (Bottom of Page)"/>
        <w:docPartUnique/>
      </w:docPartObj>
    </w:sdtPr>
    <w:sdtEndPr>
      <w:rPr>
        <w:noProof/>
      </w:rPr>
    </w:sdtEndPr>
    <w:sdtContent>
      <w:p w14:paraId="569051A4" w14:textId="77777777" w:rsidR="0001333C" w:rsidRDefault="0001333C">
        <w:pPr>
          <w:pStyle w:val="Footer"/>
          <w:jc w:val="right"/>
        </w:pPr>
        <w:r>
          <w:fldChar w:fldCharType="begin"/>
        </w:r>
        <w:r>
          <w:instrText xml:space="preserve"> PAGE   \* MERGEFORMAT </w:instrText>
        </w:r>
        <w:r>
          <w:fldChar w:fldCharType="separate"/>
        </w:r>
        <w:r w:rsidR="00D27803">
          <w:rPr>
            <w:noProof/>
          </w:rPr>
          <w:t>1</w:t>
        </w:r>
        <w:r>
          <w:rPr>
            <w:noProof/>
          </w:rPr>
          <w:fldChar w:fldCharType="end"/>
        </w:r>
      </w:p>
    </w:sdtContent>
  </w:sdt>
  <w:p w14:paraId="7998F5C3" w14:textId="77777777" w:rsidR="0001333C" w:rsidRDefault="00013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256A1" w14:textId="77777777" w:rsidR="00A474A6" w:rsidRDefault="00A474A6" w:rsidP="0001333C">
      <w:pPr>
        <w:spacing w:after="0" w:line="240" w:lineRule="auto"/>
      </w:pPr>
      <w:r>
        <w:separator/>
      </w:r>
    </w:p>
  </w:footnote>
  <w:footnote w:type="continuationSeparator" w:id="0">
    <w:p w14:paraId="1B65CEAD" w14:textId="77777777" w:rsidR="00A474A6" w:rsidRDefault="00A474A6" w:rsidP="00013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6A4E85"/>
    <w:multiLevelType w:val="hybridMultilevel"/>
    <w:tmpl w:val="03F65DA4"/>
    <w:lvl w:ilvl="0" w:tplc="CFC8DC08">
      <w:start w:val="1"/>
      <w:numFmt w:val="decimal"/>
      <w:lvlText w:val="%1."/>
      <w:lvlJc w:val="left"/>
      <w:pPr>
        <w:ind w:left="720" w:hanging="360"/>
      </w:pPr>
    </w:lvl>
    <w:lvl w:ilvl="1" w:tplc="D6DC4368">
      <w:start w:val="1"/>
      <w:numFmt w:val="lowerLetter"/>
      <w:lvlText w:val="%2."/>
      <w:lvlJc w:val="left"/>
      <w:pPr>
        <w:ind w:left="1440" w:hanging="360"/>
      </w:pPr>
    </w:lvl>
    <w:lvl w:ilvl="2" w:tplc="49968124">
      <w:start w:val="1"/>
      <w:numFmt w:val="lowerRoman"/>
      <w:lvlText w:val="%3."/>
      <w:lvlJc w:val="right"/>
      <w:pPr>
        <w:ind w:left="2160" w:hanging="180"/>
      </w:pPr>
    </w:lvl>
    <w:lvl w:ilvl="3" w:tplc="DE669D1C">
      <w:start w:val="1"/>
      <w:numFmt w:val="decimal"/>
      <w:lvlText w:val="%4."/>
      <w:lvlJc w:val="left"/>
      <w:pPr>
        <w:ind w:left="2880" w:hanging="360"/>
      </w:pPr>
    </w:lvl>
    <w:lvl w:ilvl="4" w:tplc="AA2CCB98">
      <w:start w:val="1"/>
      <w:numFmt w:val="lowerLetter"/>
      <w:lvlText w:val="%5."/>
      <w:lvlJc w:val="left"/>
      <w:pPr>
        <w:ind w:left="3600" w:hanging="360"/>
      </w:pPr>
    </w:lvl>
    <w:lvl w:ilvl="5" w:tplc="23E8D7D6">
      <w:start w:val="1"/>
      <w:numFmt w:val="lowerRoman"/>
      <w:lvlText w:val="%6."/>
      <w:lvlJc w:val="right"/>
      <w:pPr>
        <w:ind w:left="4320" w:hanging="180"/>
      </w:pPr>
    </w:lvl>
    <w:lvl w:ilvl="6" w:tplc="B18A9A38">
      <w:start w:val="1"/>
      <w:numFmt w:val="decimal"/>
      <w:lvlText w:val="%7."/>
      <w:lvlJc w:val="left"/>
      <w:pPr>
        <w:ind w:left="5040" w:hanging="360"/>
      </w:pPr>
    </w:lvl>
    <w:lvl w:ilvl="7" w:tplc="F03812D0">
      <w:start w:val="1"/>
      <w:numFmt w:val="lowerLetter"/>
      <w:lvlText w:val="%8."/>
      <w:lvlJc w:val="left"/>
      <w:pPr>
        <w:ind w:left="5760" w:hanging="360"/>
      </w:pPr>
    </w:lvl>
    <w:lvl w:ilvl="8" w:tplc="0C2C3C4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1A1"/>
    <w:rsid w:val="00010706"/>
    <w:rsid w:val="0001333C"/>
    <w:rsid w:val="000331F2"/>
    <w:rsid w:val="000A32EF"/>
    <w:rsid w:val="000D2AA1"/>
    <w:rsid w:val="000D36DE"/>
    <w:rsid w:val="000F6A25"/>
    <w:rsid w:val="0010738A"/>
    <w:rsid w:val="00174232"/>
    <w:rsid w:val="002E165E"/>
    <w:rsid w:val="00343654"/>
    <w:rsid w:val="003671FD"/>
    <w:rsid w:val="00390D2C"/>
    <w:rsid w:val="003A2C29"/>
    <w:rsid w:val="003C6BAB"/>
    <w:rsid w:val="00444065"/>
    <w:rsid w:val="004548DD"/>
    <w:rsid w:val="004B444A"/>
    <w:rsid w:val="004D4FD4"/>
    <w:rsid w:val="00554951"/>
    <w:rsid w:val="00577337"/>
    <w:rsid w:val="00581FE1"/>
    <w:rsid w:val="006261A1"/>
    <w:rsid w:val="00642681"/>
    <w:rsid w:val="006A6EF4"/>
    <w:rsid w:val="006A7CEB"/>
    <w:rsid w:val="006C6F7B"/>
    <w:rsid w:val="006F7D76"/>
    <w:rsid w:val="00792B3E"/>
    <w:rsid w:val="007B3283"/>
    <w:rsid w:val="008073AB"/>
    <w:rsid w:val="008479D5"/>
    <w:rsid w:val="008A4D2D"/>
    <w:rsid w:val="00975E05"/>
    <w:rsid w:val="009B69B9"/>
    <w:rsid w:val="00A24438"/>
    <w:rsid w:val="00A474A6"/>
    <w:rsid w:val="00AD203D"/>
    <w:rsid w:val="00B4435E"/>
    <w:rsid w:val="00BD5972"/>
    <w:rsid w:val="00BE636E"/>
    <w:rsid w:val="00C12E74"/>
    <w:rsid w:val="00D27803"/>
    <w:rsid w:val="00D93277"/>
    <w:rsid w:val="00DB124B"/>
    <w:rsid w:val="00E128E8"/>
    <w:rsid w:val="00E40381"/>
    <w:rsid w:val="00E93414"/>
    <w:rsid w:val="00F41790"/>
    <w:rsid w:val="00F63136"/>
    <w:rsid w:val="61DC57B0"/>
    <w:rsid w:val="7285E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C0892"/>
  <w15:chartTrackingRefBased/>
  <w15:docId w15:val="{F4B48E14-9034-4631-A203-587CA28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1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8keywords">
    <w:name w:val="MDPI_1.8_keywords"/>
    <w:next w:val="Normal"/>
    <w:qFormat/>
    <w:rsid w:val="006261A1"/>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eastAsia="de-DE" w:bidi="en-US"/>
    </w:rPr>
  </w:style>
  <w:style w:type="character" w:styleId="Hyperlink">
    <w:name w:val="Hyperlink"/>
    <w:uiPriority w:val="99"/>
    <w:rsid w:val="006261A1"/>
    <w:rPr>
      <w:color w:val="0000FF"/>
      <w:u w:val="single"/>
    </w:rPr>
  </w:style>
  <w:style w:type="paragraph" w:styleId="ListParagraph">
    <w:name w:val="List Paragraph"/>
    <w:basedOn w:val="Normal"/>
    <w:uiPriority w:val="34"/>
    <w:qFormat/>
    <w:rsid w:val="006261A1"/>
    <w:pPr>
      <w:ind w:left="720"/>
      <w:contextualSpacing/>
    </w:pPr>
  </w:style>
  <w:style w:type="paragraph" w:styleId="Bibliography">
    <w:name w:val="Bibliography"/>
    <w:basedOn w:val="Normal"/>
    <w:next w:val="Normal"/>
    <w:uiPriority w:val="37"/>
    <w:unhideWhenUsed/>
    <w:rsid w:val="00444065"/>
    <w:pPr>
      <w:spacing w:after="240" w:line="240" w:lineRule="auto"/>
    </w:pPr>
  </w:style>
  <w:style w:type="character" w:styleId="LineNumber">
    <w:name w:val="line number"/>
    <w:basedOn w:val="DefaultParagraphFont"/>
    <w:uiPriority w:val="99"/>
    <w:semiHidden/>
    <w:unhideWhenUsed/>
    <w:rsid w:val="0001333C"/>
  </w:style>
  <w:style w:type="paragraph" w:styleId="Header">
    <w:name w:val="header"/>
    <w:basedOn w:val="Normal"/>
    <w:link w:val="HeaderChar"/>
    <w:uiPriority w:val="99"/>
    <w:unhideWhenUsed/>
    <w:rsid w:val="00013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33C"/>
  </w:style>
  <w:style w:type="paragraph" w:styleId="Footer">
    <w:name w:val="footer"/>
    <w:basedOn w:val="Normal"/>
    <w:link w:val="FooterChar"/>
    <w:uiPriority w:val="99"/>
    <w:unhideWhenUsed/>
    <w:rsid w:val="00013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33C"/>
  </w:style>
  <w:style w:type="paragraph" w:styleId="BalloonText">
    <w:name w:val="Balloon Text"/>
    <w:basedOn w:val="Normal"/>
    <w:link w:val="BalloonTextChar"/>
    <w:uiPriority w:val="99"/>
    <w:semiHidden/>
    <w:unhideWhenUsed/>
    <w:rsid w:val="003A2C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BD6E649B0A941A4D1FE95BF285A9B" ma:contentTypeVersion="10" ma:contentTypeDescription="Create a new document." ma:contentTypeScope="" ma:versionID="4d9eaff292617b4952029a4489ecc39f">
  <xsd:schema xmlns:xsd="http://www.w3.org/2001/XMLSchema" xmlns:xs="http://www.w3.org/2001/XMLSchema" xmlns:p="http://schemas.microsoft.com/office/2006/metadata/properties" xmlns:ns2="b51c3ca0-ab40-4406-a22c-fe75bef62a08" xmlns:ns3="68e45917-8c00-4ddf-a83a-ed4313f891d8" targetNamespace="http://schemas.microsoft.com/office/2006/metadata/properties" ma:root="true" ma:fieldsID="5ecedd3a736ffa74ba4bf46fd3bd720a" ns2:_="" ns3:_="">
    <xsd:import namespace="b51c3ca0-ab40-4406-a22c-fe75bef62a08"/>
    <xsd:import namespace="68e45917-8c00-4ddf-a83a-ed4313f89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3ca0-ab40-4406-a22c-fe75bef62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822e99-b444-430c-a058-6b4c120304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45917-8c00-4ddf-a83a-ed4313f891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877509-2340-45bf-98b1-07146bac4b7e}" ma:internalName="TaxCatchAll" ma:showField="CatchAllData" ma:web="68e45917-8c00-4ddf-a83a-ed4313f89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e45917-8c00-4ddf-a83a-ed4313f891d8" xsi:nil="true"/>
    <lcf76f155ced4ddcb4097134ff3c332f xmlns="b51c3ca0-ab40-4406-a22c-fe75bef62a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2E18-6430-489A-81EA-A66FB6198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3ca0-ab40-4406-a22c-fe75bef62a08"/>
    <ds:schemaRef ds:uri="68e45917-8c00-4ddf-a83a-ed4313f89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C5517-3A91-4F2D-820D-10CB2196C4E4}">
  <ds:schemaRefs>
    <ds:schemaRef ds:uri="http://schemas.microsoft.com/office/2006/metadata/properties"/>
    <ds:schemaRef ds:uri="http://schemas.microsoft.com/office/infopath/2007/PartnerControls"/>
    <ds:schemaRef ds:uri="68e45917-8c00-4ddf-a83a-ed4313f891d8"/>
    <ds:schemaRef ds:uri="b51c3ca0-ab40-4406-a22c-fe75bef62a08"/>
  </ds:schemaRefs>
</ds:datastoreItem>
</file>

<file path=customXml/itemProps3.xml><?xml version="1.0" encoding="utf-8"?>
<ds:datastoreItem xmlns:ds="http://schemas.openxmlformats.org/officeDocument/2006/customXml" ds:itemID="{384C5614-E943-4034-9A95-9AEC4BF49BF9}">
  <ds:schemaRefs>
    <ds:schemaRef ds:uri="http://schemas.microsoft.com/sharepoint/v3/contenttype/forms"/>
  </ds:schemaRefs>
</ds:datastoreItem>
</file>

<file path=customXml/itemProps4.xml><?xml version="1.0" encoding="utf-8"?>
<ds:datastoreItem xmlns:ds="http://schemas.openxmlformats.org/officeDocument/2006/customXml" ds:itemID="{5C3C7605-74CE-4A74-969E-99C4D52C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5316</Words>
  <Characters>30307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2025-10-14T13:07:00Z</dcterms:created>
  <dcterms:modified xsi:type="dcterms:W3CDTF">2025-10-14T13:07:00Z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id="o67wnhTs"/&gt;&lt;style id="http://www.zotero.org/styles/springer-vancouver-brackets" locale="en-GB" hasBibliography="1" bibliographyStyleHasBeenSet="1"/&gt;&lt;prefs&gt;&lt;pref name="fieldType" value="Field"/&gt;&lt;/</vt:lpwstr>
  </property>
  <property fmtid="{D5CDD505-2E9C-101B-9397-08002B2CF9AE}" pid="3" name="ZOTERO_PREF_2">
    <vt:lpwstr>prefs&gt;&lt;/data&gt;</vt:lpwstr>
  </property>
  <property fmtid="{D5CDD505-2E9C-101B-9397-08002B2CF9AE}" pid="4" name="GrammarlyDocumentId">
    <vt:lpwstr>758e85e5-1fee-4ff3-8868-c4e17a7a56e7</vt:lpwstr>
  </property>
  <property fmtid="{D5CDD505-2E9C-101B-9397-08002B2CF9AE}" pid="5" name="ContentTypeId">
    <vt:lpwstr>0x010100D2EBD6E649B0A941A4D1FE95BF285A9B</vt:lpwstr>
  </property>
</Properties>
</file>