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1137F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C42D3F">
        <w:rPr>
          <w:rFonts w:ascii="Times New Roman" w:hAnsi="Times New Roman" w:cs="Times New Roman"/>
          <w:b/>
          <w:bCs/>
          <w:lang w:val="en-GB"/>
        </w:rPr>
        <w:t>Supplementary materials</w:t>
      </w:r>
    </w:p>
    <w:p w14:paraId="15A5D711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b/>
          <w:bCs/>
          <w:lang w:val="en-GB"/>
        </w:rPr>
        <w:t>Supplementary Table 1</w:t>
      </w:r>
      <w:r w:rsidRPr="00C42D3F">
        <w:rPr>
          <w:rFonts w:ascii="Times New Roman" w:hAnsi="Times New Roman" w:cs="Times New Roman"/>
          <w:lang w:val="en-GB"/>
        </w:rPr>
        <w:t>. Baseline characteristics by with or without HF and HBR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7"/>
        <w:gridCol w:w="1582"/>
        <w:gridCol w:w="1581"/>
        <w:gridCol w:w="1581"/>
        <w:gridCol w:w="870"/>
        <w:gridCol w:w="1581"/>
        <w:gridCol w:w="1581"/>
        <w:gridCol w:w="870"/>
      </w:tblGrid>
      <w:tr w:rsidR="00C42D3F" w:rsidRPr="00C42D3F" w14:paraId="6673BEDC" w14:textId="77777777" w:rsidTr="00C42D3F">
        <w:trPr>
          <w:cantSplit/>
        </w:trPr>
        <w:tc>
          <w:tcPr>
            <w:tcW w:w="1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638582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A9BAE9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Total</w:t>
            </w:r>
          </w:p>
        </w:tc>
        <w:tc>
          <w:tcPr>
            <w:tcW w:w="144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1865E9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HF</w:t>
            </w:r>
          </w:p>
        </w:tc>
        <w:tc>
          <w:tcPr>
            <w:tcW w:w="144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6AE8222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Non-HF</w:t>
            </w:r>
          </w:p>
        </w:tc>
      </w:tr>
      <w:tr w:rsidR="00C42D3F" w:rsidRPr="00C42D3F" w14:paraId="4A638C63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16DE5D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70178D3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(n=6,266)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5290AF6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HBR</w:t>
            </w:r>
            <w:r w:rsidRPr="00C42D3F">
              <w:rPr>
                <w:rFonts w:ascii="Times New Roman" w:hAnsi="Times New Roman" w:cs="Times New Roman"/>
                <w:lang w:val="en-GB"/>
              </w:rPr>
              <w:br/>
              <w:t>(n=755)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3A6BC2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Non-HBR</w:t>
            </w:r>
            <w:r w:rsidRPr="00C42D3F">
              <w:rPr>
                <w:rFonts w:ascii="Times New Roman" w:hAnsi="Times New Roman" w:cs="Times New Roman"/>
                <w:lang w:val="en-GB"/>
              </w:rPr>
              <w:br/>
              <w:t>(n=251)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7E8C9F3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P value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73C527F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HBR</w:t>
            </w:r>
            <w:r w:rsidRPr="00C42D3F">
              <w:rPr>
                <w:rFonts w:ascii="Times New Roman" w:hAnsi="Times New Roman" w:cs="Times New Roman"/>
                <w:lang w:val="en-GB"/>
              </w:rPr>
              <w:br/>
              <w:t>(n=2,437)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6D9C36D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Non-HBR</w:t>
            </w:r>
            <w:r w:rsidRPr="00C42D3F">
              <w:rPr>
                <w:rFonts w:ascii="Times New Roman" w:hAnsi="Times New Roman" w:cs="Times New Roman"/>
                <w:lang w:val="en-GB"/>
              </w:rPr>
              <w:br/>
              <w:t>(n=2,823)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CF0511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P value</w:t>
            </w:r>
          </w:p>
        </w:tc>
      </w:tr>
      <w:tr w:rsidR="00C42D3F" w:rsidRPr="00C42D3F" w14:paraId="78FBE537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0D922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Age (y), mean (SD)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AD848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70.0 (10.7)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C1905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75.3 (10.1)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CA880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65.1 (10.5)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D0960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19957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74.7 (8.9)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88C6B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65.0 (9.8)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3CEA7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62E40C04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95773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≥75 years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0AC20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2,325 (37.1)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6C38DE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458 (60.7)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2758F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39 (15.5)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8BEBB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DEC75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1,469 (60.3)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9211D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359 (12.7)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C28E9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7D838FF5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ADF04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Body weight (kg), mean (SD)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E7090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63.9 (12.6)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251ADA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59.3 (12.4)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7FB94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67.5 (13.7)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F3E24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3D074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61.3 (11.9)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4CF2D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67.1 (12.3)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0C862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4779EFC3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36ABA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 ≤50 kg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63229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794 (12.7)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33ED2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169 (22.4)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1DBE4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20 (8.0)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419336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D51A0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414 (17.0)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54802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191 (6.8)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C5D49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2F6D2AFC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EFE12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Body mass index (kg/m</w:t>
            </w:r>
            <w:r w:rsidRPr="00C42D3F">
              <w:rPr>
                <w:rFonts w:ascii="Times New Roman" w:hAnsi="Times New Roman" w:cs="Times New Roman"/>
                <w:vertAlign w:val="superscript"/>
                <w:lang w:val="en-GB"/>
              </w:rPr>
              <w:t>2</w:t>
            </w:r>
            <w:r w:rsidRPr="00C42D3F">
              <w:rPr>
                <w:rFonts w:ascii="Times New Roman" w:hAnsi="Times New Roman" w:cs="Times New Roman"/>
                <w:lang w:val="en-GB"/>
              </w:rPr>
              <w:t>), mean (SD)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C9E9DA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24.21 (3.62)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C12870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23.29 (3.77)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D3DBD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24.98 (4.24)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A5599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96BB0B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23.77 (3.50)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66CCF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24.77 (3.51)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9D22F4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2515AEC6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16DE1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Hypertension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53CCD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5,188 (82.8)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E6007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685 (90.7)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AC9D1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210 (83.7)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613365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0.003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17E63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2,095 (86.0)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E6D00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2,198 (77.9)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C84BE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45C8F8E7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DE961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Hyperlipidaemia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30674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4,926 (78.6)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F75C8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558 (73.9)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A6387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204 (81.3)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D0B2E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0.022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6D007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1,851 (76.0)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0B6E0D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2,313 (81.9)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2DD7B1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205F0533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A0188F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Diabetes mellitus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EF42E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2,771 (44.2)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0E7022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420 (55.6)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94A17E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147 (58.6)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852B9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0.420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E59AF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1,102 (45.2)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77CE0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1,102 (39.0)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27AE8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7E5C7B58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574A0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Current cigarette smoking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7C0840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1,327 (21.2)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94E58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106 (14.0)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35D9E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75 (29.9)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2F59B2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34D38E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347 (14.2)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48BB4D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799 (28.3)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EA5167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66F28615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CF4D92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Peripheral arterial disease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83C771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438 (7.0)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B10B0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100 (13.2)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D01512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 (2.4)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692384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86CF9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233 (9.6)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D6CA2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99 (3.5)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16A63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101AAC5B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0EBD2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AF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D7A6B3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539 (8.6)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C70CB3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183 (24.2)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31E4D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9 (3.6)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2445F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9D3AB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297 (12.2)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E1A56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50 (1.8)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92C84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6CCBE95C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52E11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Malignancy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8914A5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389 (6.2)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DE3E3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78 (10.3)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106279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2A852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E422DA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311 (12.8)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DF859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14C4B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758D7745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C46DC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Previous MI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B5233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1,575 (25.1)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14FBB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288 (38.1)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08F27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106 (42.2)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94BBE4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0.263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9CEFF2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538 (22.1)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1F942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643 (22.8)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784326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0.551</w:t>
            </w:r>
          </w:p>
        </w:tc>
      </w:tr>
      <w:tr w:rsidR="00C42D3F" w:rsidRPr="00C42D3F" w14:paraId="12777C3E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258F9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lastRenderedPageBreak/>
              <w:t>Previous PCI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01B77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2,566 (41.0)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E851D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347 (46.0)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E9921A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123 (49.0)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AE42B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0.422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414D8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1,014 (41.6)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48FE7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1,082 (38.3)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657698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0.016</w:t>
            </w:r>
          </w:p>
        </w:tc>
      </w:tr>
      <w:tr w:rsidR="00C42D3F" w:rsidRPr="00C42D3F" w14:paraId="0FB673AD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E60C1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Previous CABG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06AF00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265 (4.2)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187FBD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70 (9.3)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D4335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15 (6.0)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C2E6E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0.116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320F24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109 (4.5)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FB56C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71 (2.5)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3CC0A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62DABD8F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806B2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History of ischaemic stroke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9B463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657 (10.5)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E20C7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139 (18.4)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05129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14 (5.6)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5A5F64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E5FC1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420 (17.2)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044F8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84 (3.0)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6BB3B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12787BE2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CA712C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History of cerebral haemorrhage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0894C5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124 (2.0)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4287D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25 (3.3)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961FB9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FE1B2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63DF9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99 (4.1)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8651F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30358F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0A0A5FE0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354E8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History of renal insufficiency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11E76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1,114 (17.8)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E674B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329 (43.6)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019643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17 (6.8)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9260E2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FA0A9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612 (25.1)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76411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156 (5.5)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AAF1C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71E25C10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0CBC2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Clinical presentation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29B5C0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D26E21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BC933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68F01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CD04C6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10947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D1B784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42D3F" w:rsidRPr="00C42D3F" w14:paraId="01033D83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F2BFF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ACS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BAF47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2,015 (32.2)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40761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189 (25.0)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FFC89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72 (28.7)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7BF407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0.280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1804F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735 (30.2)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846B3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1,019 (36.1)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E12599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55D1963D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5B8DA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Unstable angina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5608F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790 (12.6)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A22A0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63 (8.3)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32D04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20 (8.0)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6CA15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0.003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4772C8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324 (13.3)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F4E6C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383 (13.6)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0472E8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0.007</w:t>
            </w:r>
          </w:p>
        </w:tc>
      </w:tr>
      <w:tr w:rsidR="00C42D3F" w:rsidRPr="00C42D3F" w14:paraId="5739C12E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47D72C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Non-STEMI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A94D9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323 (5.2)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912085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51 (6.8)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D61EA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8 (3.2)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63104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B759B8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114 (4.7)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DBD15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150 (5.3)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0FA23B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59E92EEC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DB4F26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STEMI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C43A7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908 (14.5)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003303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75 (9.9)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55E3B3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44 (17.5)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11F65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24F16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299 (12.3)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4CD46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490 (17.4)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7E50A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3AF34C2B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B9F12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Hb (g/dL), mean (SD)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65EBD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13.30 (2.04)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16770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11.83 (2.04)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2E1C13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14.27 (2.75)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BDCA6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0B659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12.42 (1.78)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D45B30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14.36 (1.50)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5F173C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11793C70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BDF44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Hb: &lt;11 g/dL (both)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50F56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727 (11.6)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E421D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250 (33.1)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F2839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AE9C3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1AB761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477 (19.6)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9DF471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6662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378E72FD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10417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eGFR (mL/min/1.73 m</w:t>
            </w:r>
            <w:r w:rsidRPr="00C42D3F">
              <w:rPr>
                <w:rFonts w:ascii="Times New Roman" w:hAnsi="Times New Roman" w:cs="Times New Roman"/>
                <w:vertAlign w:val="superscript"/>
                <w:lang w:val="en-GB"/>
              </w:rPr>
              <w:t>2</w:t>
            </w:r>
            <w:r w:rsidRPr="00C42D3F">
              <w:rPr>
                <w:rFonts w:ascii="Times New Roman" w:hAnsi="Times New Roman" w:cs="Times New Roman"/>
                <w:lang w:val="en-GB"/>
              </w:rPr>
              <w:t>), mean (SD)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1AD707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61.25 (27.61)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BF67A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42.88 (23.47)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AF8723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73.50 (46.39)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43A90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B8A96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51.81 (23.15)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5483DF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73.41 (23.78)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7E339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0B98ADE5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DE17C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eGFR: &lt;60 mL/min/1.73 m</w:t>
            </w:r>
            <w:r w:rsidRPr="00C42D3F">
              <w:rPr>
                <w:rFonts w:ascii="Times New Roman" w:hAnsi="Times New Roman" w:cs="Times New Roman"/>
                <w:vertAlign w:val="superscript"/>
                <w:lang w:val="en-GB"/>
              </w:rPr>
              <w:t>2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943B65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2,690 (42.9)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606B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577 (76.4)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2D34D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54 (21.5)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4FD33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9670C6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1,597 (65.5)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52812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462 (16.4)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32DEC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04C38D56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53CF8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Angiographic features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94C733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4EDA9E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9AD17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637D7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D0AB3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44981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8CB9D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5E9AC3AD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D11D05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No. of diseased vessels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F71967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A6CB7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0D88BD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78A6D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A6799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93DDF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9B6A31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586C954C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51B16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0F389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3,165 (50.5)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FB156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300 (39.7)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070153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119 (47.4)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6EB875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0.034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4B33D9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1,178 (48.3)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4F8E4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1,568 (55.5)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12C06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5567DE72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A868F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2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CEA15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1,864 (29.7)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1084D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237 (31.4)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5C5C83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79 (31.5)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9F773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AE706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754 (30.9)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619C71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794 (28.1)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F7FB1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240C834B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CD8D6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lastRenderedPageBreak/>
              <w:t xml:space="preserve">    3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B5DDD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1,151 (18.4)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0D4B6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206 (27.3)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912089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50 (19.9)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DFFA0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876D0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475 (19.5)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06D9B7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420 (14.9)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7F16DC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0BFCC82D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F15A99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Left main disease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17DB6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349 (5.6)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749A8B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74 (9.8)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DA05D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18 (7.2)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1FCE8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14298F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129 (5.3)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F3DF4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128 (4.5)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0C9779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566281B1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98194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LVEF (%), mean, Mean (SD)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0F663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56.73 (12.94)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D1B56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45.20 (14.98)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28432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48.77 (14.82)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A5CF4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0.060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50D4D3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58.49 (11.97)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57942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59.06 (10.91)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CDAF12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0.321</w:t>
            </w:r>
          </w:p>
        </w:tc>
      </w:tr>
      <w:tr w:rsidR="00C42D3F" w:rsidRPr="00C42D3F" w14:paraId="443B27C5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164E4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 ≤40%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C6A22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241 (12.7)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46DB1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90 (39.6)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A504BB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29 (33.7)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765C9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0.363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8CAD8E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66 (9.1)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8F0242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56 (6.5)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FA6FCB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0.058</w:t>
            </w:r>
          </w:p>
        </w:tc>
      </w:tr>
      <w:tr w:rsidR="00C42D3F" w:rsidRPr="00C42D3F" w14:paraId="2BD78929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C71782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Procedural data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81A290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A4133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81BE2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768DF9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D55B21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9EE6B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05CEB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42D3F" w:rsidRPr="00C42D3F" w14:paraId="04362303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6B5C57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Puncture site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664F20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9A48AF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7422E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A6D18A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6583CE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25292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6A8C90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42D3F" w:rsidRPr="00C42D3F" w14:paraId="3D8E0F7F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E9E66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Radial access only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739061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4,374 (69.8)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AB5FD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408 (54.0)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687CF5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162 (64.5)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2ACEC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0.004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4B26F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1,627 (66.8)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21E16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2,177 (77.1)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0D16EA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0EE6D377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DF5626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Femoral access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9CC555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1,631 (26.0)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F2E19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287 (38.0)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6C548C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78 (31.1)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985DBD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5000B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699 (28.7)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37D04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567 (20.1)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3F352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414AE881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4B3BD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Brachial access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943AF7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269 (4.3)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4AFA54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62 (8.2)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6452F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12 (4.8)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0D05E3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BC626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114 (4.7)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1859F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81 (2.9)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3F5FC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15D0A8CE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C67D1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Radial access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B8FE1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4,517 (72.1)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F7CCF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421 (55.8)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7FAE3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173 (68.9)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F4B8FE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0DC90F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1,670 (68.5)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8B2643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2,253 (79.8)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BA8D6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02C6499D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0E8934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Imaging guided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5668CE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5,918 (94.4)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37E3F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709 (93.9)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3157B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237 (94.4)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FEF15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0.878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7DFCC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2,298 (94.3)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5784D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2,674 (94.7)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390BD9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0.504</w:t>
            </w:r>
          </w:p>
        </w:tc>
      </w:tr>
      <w:tr w:rsidR="00C42D3F" w:rsidRPr="00C42D3F" w14:paraId="4E011975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02B3E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PCI for chronic total occlusion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EBC4A4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428 (6.8)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7B9BA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49 (6.5)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0FDE0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29 (11.6)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0C512B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0.014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6B2F4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155 (6.4)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02616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195 (6.9)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05EC03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0.438</w:t>
            </w:r>
          </w:p>
        </w:tc>
      </w:tr>
      <w:tr w:rsidR="00C42D3F" w:rsidRPr="00C42D3F" w14:paraId="185A31CE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B3A73A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Medical status at discharge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C74715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2DDB8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4A616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87136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FFC9E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F1966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62303E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42D3F" w:rsidRPr="00C42D3F" w14:paraId="70BC43F8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3560B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Aspirin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CCEF4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6,148 (98.1)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044E9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723 (95.8)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A488C0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245 (97.6)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C304B0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0.251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BAE94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2,379 (97.6)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9499F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2,801 (99.2)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E4848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13C9000E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886BA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P2Y12 inhibitor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99657C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6,209 (99.1)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7B362E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736 (97.5)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7E576B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250 (99.6)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908BCB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0.036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3CE86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2,407 (98.8)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ACF0D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2,816 (99.8)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BA13DB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779A2199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113CE8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Prasugrel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FE63EA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3,924 (62.6)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FD3B1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366 (48.5)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3D0DFB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172 (68.5)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221FD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2CE1E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1,396 (57.3)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E2865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1,990 (70.5)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447F54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224A04E0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07E53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Clopidogrel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F23C5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2,223 (35.5)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018DB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358 (47.4)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AA6F44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77 (30.7)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1F6549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217BD9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984 (40.4)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D0D4B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804 (28.5)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D7D7DA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7F94ED3F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A9C85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OAC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785A1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621 (9.9)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25416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223 (29.5)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4B01D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92142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1B286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398 (16.3)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E9DF4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272A7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3A86AB25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F5E77C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lastRenderedPageBreak/>
              <w:t xml:space="preserve">    Proton pump inhibitor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62705A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5,302 (84.6)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10E67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641 (84.9)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D66DE7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217 (86.5)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E7156A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0.607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D15C27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2,048 (84.0)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6D351B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2,396 (84.9)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F2893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0.423</w:t>
            </w:r>
          </w:p>
        </w:tc>
      </w:tr>
      <w:tr w:rsidR="00C42D3F" w:rsidRPr="00C42D3F" w14:paraId="2FE91BCD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B606BB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NSAIDs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D10BA4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334 (5.3)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5C5E54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52 (6.9)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F94E8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 (1.2)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E45547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C5925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207 (8.5)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8C40C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72 (2.6)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19D704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712FB3A1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DC504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Steroids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01891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249 (4.0)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F51F8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44 (5.8)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AC6842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 (1.2)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CC7F83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0.002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E8B784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153 (6.3)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9325F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49 (1.7)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325836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4443C254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0B08D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Antihyperlipidaemic agent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85E385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5,406 (86.3)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A3D8C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593 (78.5)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BFA06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219 (87.3)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79A17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0.002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C33B9A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2,012 (82.6)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76625B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2,582 (91.5)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C0D1F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79E7D1D2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682E2E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Modified ARC-HBR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648E38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4DCA3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53C32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73605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1442FB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E7633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D5DF6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42D3F" w:rsidRPr="00C42D3F" w14:paraId="4EA632CD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69650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HBR patients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56254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6E1A75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755 (100.0)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9DD2FB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57D208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C56B89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2,437 (100.0)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F4138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9E155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C42D3F" w:rsidRPr="00C42D3F" w14:paraId="36E9569F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F7CE2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Complex PCI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AC3BF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1,279 (20.4)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84E9A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190 (25.2)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504F96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69 (27.5)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AE175D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0.505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723EC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488 (20.0)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7E010D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532 (18.8)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9F213A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0.294</w:t>
            </w:r>
          </w:p>
        </w:tc>
      </w:tr>
      <w:tr w:rsidR="00C42D3F" w:rsidRPr="00C42D3F" w14:paraId="69E6134B" w14:textId="77777777" w:rsidTr="00C42D3F">
        <w:trPr>
          <w:cantSplit/>
        </w:trPr>
        <w:tc>
          <w:tcPr>
            <w:tcW w:w="155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0ACE0E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High platelet reactivity (PRU&gt;208)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3C371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2,229 (35.6)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1B146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373 (49.4)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EB58C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75 (29.9)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B90F6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909EE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1,041 (42.7)</w:t>
            </w:r>
          </w:p>
        </w:tc>
        <w:tc>
          <w:tcPr>
            <w:tcW w:w="56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12C346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740 (26.2)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7E3D16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</w:tbl>
    <w:p w14:paraId="38811A27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>Data are presented as mean (standard deviation) or n (%) values.</w:t>
      </w:r>
    </w:p>
    <w:p w14:paraId="4BD5110D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 xml:space="preserve">P-values were calculated using Student's </w:t>
      </w:r>
      <w:r w:rsidRPr="00C42D3F">
        <w:rPr>
          <w:rFonts w:ascii="Times New Roman" w:hAnsi="Times New Roman" w:cs="Times New Roman"/>
          <w:i/>
          <w:iCs/>
          <w:lang w:val="en-GB"/>
        </w:rPr>
        <w:t>t</w:t>
      </w:r>
      <w:r w:rsidRPr="00C42D3F">
        <w:rPr>
          <w:rFonts w:ascii="Times New Roman" w:hAnsi="Times New Roman" w:cs="Times New Roman"/>
          <w:lang w:val="en-GB"/>
        </w:rPr>
        <w:t>-test for continuous variables and Fisher's exact test for categorical variables.</w:t>
      </w:r>
    </w:p>
    <w:p w14:paraId="47FBF31E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>ACS, acute coronary syndrome; AF, atrial fibrillation; CABG, coronary artery bypass; eGFR, estimated glomerular filtration rate; Hb, haemoglobin; HBR, high bleeding risk; HF, heart failure; LVEF, left ventricular ejection fraction; MI, myocardial infarction; NSAIDs, non-steroidal anti-inflammatory drugs; OAC, oral anticoagulant; PCI, percutaneous coronary intervention; PRU, P2Y12 Reaction Units; STEMI, ST-elevation myocardial infarction.</w:t>
      </w:r>
    </w:p>
    <w:p w14:paraId="27AAA61C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br w:type="page"/>
      </w:r>
    </w:p>
    <w:p w14:paraId="58B33C57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  <w:sectPr w:rsidR="00C42D3F" w:rsidRPr="00C42D3F" w:rsidSect="00FF1DC9">
          <w:headerReference w:type="default" r:id="rId6"/>
          <w:footerReference w:type="default" r:id="rId7"/>
          <w:pgSz w:w="16837" w:h="11905" w:orient="landscape"/>
          <w:pgMar w:top="1440" w:right="1417" w:bottom="1134" w:left="1417" w:header="850" w:footer="567" w:gutter="0"/>
          <w:cols w:space="720"/>
          <w:docGrid w:linePitch="286"/>
        </w:sectPr>
      </w:pPr>
      <w:bookmarkStart w:id="0" w:name="_Toc171350419"/>
      <w:bookmarkStart w:id="1" w:name="_Hlk176188485"/>
    </w:p>
    <w:p w14:paraId="6F1EA9F9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b/>
          <w:bCs/>
          <w:lang w:val="en-GB"/>
        </w:rPr>
        <w:lastRenderedPageBreak/>
        <w:t>Supplementary Table 2</w:t>
      </w:r>
      <w:r w:rsidRPr="00C42D3F">
        <w:rPr>
          <w:rFonts w:ascii="Times New Roman" w:hAnsi="Times New Roman" w:cs="Times New Roman"/>
          <w:lang w:val="en-GB"/>
        </w:rPr>
        <w:t xml:space="preserve">. Cumulative incidence of each study endpoint </w:t>
      </w:r>
      <w:bookmarkEnd w:id="0"/>
      <w:r w:rsidRPr="00C42D3F">
        <w:rPr>
          <w:rFonts w:ascii="Times New Roman" w:hAnsi="Times New Roman" w:cs="Times New Roman"/>
          <w:lang w:val="en-GB"/>
        </w:rPr>
        <w:t>in HF patients</w:t>
      </w:r>
      <w:bookmarkEnd w:id="1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8"/>
        <w:gridCol w:w="1202"/>
        <w:gridCol w:w="1202"/>
        <w:gridCol w:w="3007"/>
        <w:gridCol w:w="902"/>
      </w:tblGrid>
      <w:tr w:rsidR="00C42D3F" w:rsidRPr="00C42D3F" w14:paraId="12A168BA" w14:textId="77777777" w:rsidTr="00C42D3F">
        <w:trPr>
          <w:cantSplit/>
          <w:tblHeader/>
        </w:trPr>
        <w:tc>
          <w:tcPr>
            <w:tcW w:w="1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66BA38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6A6D457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Event rate, n (%)</w:t>
            </w:r>
          </w:p>
        </w:tc>
        <w:tc>
          <w:tcPr>
            <w:tcW w:w="20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7D0DB9E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42D3F" w:rsidRPr="00C42D3F" w14:paraId="6D913DD9" w14:textId="77777777" w:rsidTr="00C42D3F">
        <w:trPr>
          <w:cantSplit/>
          <w:tblHeader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553B55A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6051B65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HBR</w:t>
            </w:r>
            <w:r w:rsidRPr="00C42D3F">
              <w:rPr>
                <w:rFonts w:ascii="Times New Roman" w:hAnsi="Times New Roman" w:cs="Times New Roman"/>
                <w:lang w:val="en-GB"/>
              </w:rPr>
              <w:br/>
              <w:t>(n=755)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39CD1D2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Non-HBR</w:t>
            </w:r>
            <w:r w:rsidRPr="00C42D3F">
              <w:rPr>
                <w:rFonts w:ascii="Times New Roman" w:hAnsi="Times New Roman" w:cs="Times New Roman"/>
                <w:lang w:val="en-GB"/>
              </w:rPr>
              <w:br/>
              <w:t>(n=251)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CE4D43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HR (95% CI)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41AEE4E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P value</w:t>
            </w:r>
          </w:p>
        </w:tc>
      </w:tr>
      <w:tr w:rsidR="00C42D3F" w:rsidRPr="00C42D3F" w14:paraId="735AD2B4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FEA14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MACCE [a]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E7EB70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166 (22.0)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E3F657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19 (7.6)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24B12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3.183 (1.980 - 5.117)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AC984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346D9FF0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E52275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All-cause death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0BC40C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140 (18.5)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0EA64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14 (5.6)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0CE4C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3.587 (2.071 - 6.213)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BB185F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6CAFE87E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9D850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  Cardiac death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05BC1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37 (4.9)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0D376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6 (2.4)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12AF0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2.199 (0.928 - 5.211)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D06B4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0.073</w:t>
            </w:r>
          </w:p>
        </w:tc>
      </w:tr>
      <w:tr w:rsidR="00C42D3F" w:rsidRPr="00C42D3F" w14:paraId="71631870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770CF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  Non-cardiac death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939BF8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103 (13.6)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76007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8 (3.2)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FD1F2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4.628 (2.254 - 9.503)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DA155B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1B87367E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AD664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Non-fatal myocardial infarction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3A0A6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18 (2.4)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AE3CB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 (0.8)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5BBF2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3.170 (0.736 - 13.660)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C0F51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0.122</w:t>
            </w:r>
          </w:p>
        </w:tc>
      </w:tr>
      <w:tr w:rsidR="00C42D3F" w:rsidRPr="00C42D3F" w14:paraId="102CC355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D42500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Non-fatal stroke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404BE4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28 (3.7)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503E02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 (1.2)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BA89B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3.355 (1.020 - 11.034)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41F3A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0.046</w:t>
            </w:r>
          </w:p>
        </w:tc>
      </w:tr>
      <w:tr w:rsidR="00C42D3F" w:rsidRPr="00C42D3F" w14:paraId="2DC65F53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4E44C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Stent thrombosis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5B2842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 (0.4)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C83B20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52118F" w14:textId="3EBA6B45" w:rsidR="00C42D3F" w:rsidRPr="00C42D3F" w:rsidRDefault="00120E04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 xml:space="preserve">- </w:t>
            </w:r>
            <w:r w:rsidR="00C42D3F" w:rsidRPr="00C42D3F">
              <w:rPr>
                <w:rFonts w:ascii="Times New Roman" w:hAnsi="Times New Roman" w:cs="Times New Roman"/>
                <w:lang w:val="en-GB"/>
              </w:rPr>
              <w:t>(0.000 - .)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787251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0.995</w:t>
            </w:r>
          </w:p>
        </w:tc>
      </w:tr>
      <w:tr w:rsidR="00C42D3F" w:rsidRPr="00C42D3F" w14:paraId="1463A173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E43BB1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Major bleeding [b]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6CFCD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81 (10.7)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2D2A7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13 (5.2)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EC1CC3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2.254 (1.255 - 4.049)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C58A9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0.007</w:t>
            </w:r>
          </w:p>
        </w:tc>
      </w:tr>
    </w:tbl>
    <w:p w14:paraId="4D35685B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>BARC, Bleeding Academic Research Consortium; CI, confidence interval; HR, hazard ratio; MACCE, major adverse cardiac and cerebrovascular events; HBR, high bleeding risk; HF, heart failure.</w:t>
      </w:r>
    </w:p>
    <w:p w14:paraId="14F15203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>[a] Includes all-cause death, non-fatal myocardial infarction, non-fatal stroke, and stent thrombosis.</w:t>
      </w:r>
    </w:p>
    <w:p w14:paraId="08E40699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>[b] BARC 3 and 5.</w:t>
      </w:r>
    </w:p>
    <w:p w14:paraId="2EDDD654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0F741794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br w:type="page"/>
      </w:r>
    </w:p>
    <w:p w14:paraId="73B9520B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  <w:sectPr w:rsidR="00C42D3F" w:rsidRPr="00C42D3F" w:rsidSect="00FF1DC9">
          <w:headerReference w:type="default" r:id="rId8"/>
          <w:footerReference w:type="default" r:id="rId9"/>
          <w:pgSz w:w="11905" w:h="16837"/>
          <w:pgMar w:top="1418" w:right="1134" w:bottom="1418" w:left="1440" w:header="850" w:footer="567" w:gutter="0"/>
          <w:cols w:space="720"/>
          <w:docGrid w:linePitch="286"/>
        </w:sectPr>
      </w:pPr>
    </w:p>
    <w:p w14:paraId="278D6290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bookmarkStart w:id="2" w:name="_Toc171350420"/>
      <w:r w:rsidRPr="00C42D3F">
        <w:rPr>
          <w:rFonts w:ascii="Times New Roman" w:hAnsi="Times New Roman" w:cs="Times New Roman"/>
          <w:b/>
          <w:bCs/>
          <w:lang w:val="en-GB"/>
        </w:rPr>
        <w:lastRenderedPageBreak/>
        <w:t>Supplementary Table 3</w:t>
      </w:r>
      <w:r w:rsidRPr="00C42D3F">
        <w:rPr>
          <w:rFonts w:ascii="Times New Roman" w:hAnsi="Times New Roman" w:cs="Times New Roman"/>
          <w:lang w:val="en-GB"/>
        </w:rPr>
        <w:t xml:space="preserve">. Cumulative incidence of each study endpoint in non HF patients  </w:t>
      </w:r>
      <w:bookmarkEnd w:id="2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0"/>
        <w:gridCol w:w="1096"/>
        <w:gridCol w:w="1096"/>
        <w:gridCol w:w="2740"/>
        <w:gridCol w:w="822"/>
      </w:tblGrid>
      <w:tr w:rsidR="00C42D3F" w:rsidRPr="00C42D3F" w14:paraId="07C4A062" w14:textId="77777777" w:rsidTr="00C42D3F">
        <w:trPr>
          <w:cantSplit/>
          <w:tblHeader/>
        </w:trPr>
        <w:tc>
          <w:tcPr>
            <w:tcW w:w="1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760AFDC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EB7E3B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Event rate, n (%)</w:t>
            </w:r>
          </w:p>
        </w:tc>
        <w:tc>
          <w:tcPr>
            <w:tcW w:w="20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FA6A99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42D3F" w:rsidRPr="00C42D3F" w14:paraId="2FC93E1D" w14:textId="77777777" w:rsidTr="00C42D3F">
        <w:trPr>
          <w:cantSplit/>
          <w:tblHeader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D498E9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29F1140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HBR</w:t>
            </w:r>
            <w:r w:rsidRPr="00C42D3F">
              <w:rPr>
                <w:rFonts w:ascii="Times New Roman" w:hAnsi="Times New Roman" w:cs="Times New Roman"/>
                <w:lang w:val="en-GB"/>
              </w:rPr>
              <w:br/>
              <w:t>(n=2437)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2099EEB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Non-HBR</w:t>
            </w:r>
            <w:r w:rsidRPr="00C42D3F">
              <w:rPr>
                <w:rFonts w:ascii="Times New Roman" w:hAnsi="Times New Roman" w:cs="Times New Roman"/>
                <w:lang w:val="en-GB"/>
              </w:rPr>
              <w:br/>
              <w:t>(n=2823)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4C68AA3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HR (95% CI)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6656ECD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P value</w:t>
            </w:r>
          </w:p>
        </w:tc>
      </w:tr>
      <w:tr w:rsidR="00C42D3F" w:rsidRPr="00C42D3F" w14:paraId="10D56C1B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660ACF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MACCE [a]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5D9203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281 (11.5)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B550D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122 (4.3)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7EC36A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2.765 (2.236 - 3.420)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BF994F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6CD05100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A0F224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All-cause death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77640F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195 (8.0)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EA74788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54 (1.9)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6FF34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4.327 (3.201 - 5.849)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D5314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4EEF0EDC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C04F8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  Cardiac death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2B7E8D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20 (0.8)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46CC1D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 (0.0)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56573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23.824 (3.197 - 177.519)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5CA33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0.002</w:t>
            </w:r>
          </w:p>
        </w:tc>
      </w:tr>
      <w:tr w:rsidR="00C42D3F" w:rsidRPr="00C42D3F" w14:paraId="1DC9AC71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19F4A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   Non-Cardiac death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2CB5F45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175 (7.2)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12A12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53 (1.9)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BDFD4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3.959 (2.911 - 5.383)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AAAD5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  <w:tr w:rsidR="00C42D3F" w:rsidRPr="00C42D3F" w14:paraId="4FAAA7FF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CE934DB" w14:textId="77777777" w:rsidR="00C42D3F" w:rsidRPr="00C42D3F" w:rsidRDefault="00C42D3F" w:rsidP="00FF1DC9">
            <w:pPr>
              <w:spacing w:line="480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Non-fatal myocardial infarction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99D8C2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48 (2.0)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C17734A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33 (1.2)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AAEA8B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1.730 (1.111 - 2.696)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8C1FB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0.015</w:t>
            </w:r>
          </w:p>
        </w:tc>
      </w:tr>
      <w:tr w:rsidR="00C42D3F" w:rsidRPr="00C42D3F" w14:paraId="5EADE034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0FBB1A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Non-fatal stroke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2DB79EF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54 (2.2)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8E1A1F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39 (1.4)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102A6B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1.652 (1.094 - 2.494)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383DF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0.017</w:t>
            </w:r>
          </w:p>
        </w:tc>
      </w:tr>
      <w:tr w:rsidR="00C42D3F" w:rsidRPr="00C42D3F" w14:paraId="6881FD92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7F22ED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 xml:space="preserve">   Stent thrombosis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B6BB77C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13 (0.5)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6B04A2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9 (0.3)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9DACF7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1.708 (0.730 - 3.996)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01721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0.217</w:t>
            </w:r>
          </w:p>
        </w:tc>
      </w:tr>
      <w:tr w:rsidR="00C42D3F" w:rsidRPr="00C42D3F" w14:paraId="6CDFF68B" w14:textId="77777777" w:rsidTr="00C42D3F">
        <w:trPr>
          <w:cantSplit/>
        </w:trPr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DE9AC7E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Major bleeding [b]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8B5189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117 (4.8)</w:t>
            </w:r>
          </w:p>
        </w:tc>
        <w:tc>
          <w:tcPr>
            <w:tcW w:w="64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C3E6F6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58 (2.1)</w:t>
            </w:r>
          </w:p>
        </w:tc>
        <w:tc>
          <w:tcPr>
            <w:tcW w:w="161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803E50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2.424 (1.769 - 3.321)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E35FD3" w14:textId="77777777" w:rsidR="00C42D3F" w:rsidRPr="00C42D3F" w:rsidRDefault="00C42D3F" w:rsidP="00C42D3F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C42D3F">
              <w:rPr>
                <w:rFonts w:ascii="Times New Roman" w:hAnsi="Times New Roman" w:cs="Times New Roman"/>
                <w:lang w:val="en-GB"/>
              </w:rPr>
              <w:t>&lt;.001</w:t>
            </w:r>
          </w:p>
        </w:tc>
      </w:tr>
    </w:tbl>
    <w:p w14:paraId="67022AFB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>BARC, Bleeding Academic Research Consortium; CI, confidence interval; HR, hazard ratio; MACCE, major adverse cardiac and cerebrovascular events; HBR, High Bleeding Risk; HF, heart failure.</w:t>
      </w:r>
    </w:p>
    <w:p w14:paraId="5937BC05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>[a] Includes all-cause death, non-fatal myocardial infarction, non-fatal stroke, and stent thrombosis.</w:t>
      </w:r>
    </w:p>
    <w:p w14:paraId="4A34E7AE" w14:textId="77777777" w:rsidR="00C42D3F" w:rsidRPr="00C42D3F" w:rsidRDefault="00C42D3F" w:rsidP="00C42D3F">
      <w:pPr>
        <w:spacing w:line="480" w:lineRule="auto"/>
        <w:rPr>
          <w:rFonts w:ascii="Times New Roman" w:hAnsi="Times New Roman" w:cs="Times New Roman"/>
          <w:lang w:val="en-GB"/>
        </w:rPr>
      </w:pPr>
      <w:r w:rsidRPr="00C42D3F">
        <w:rPr>
          <w:rFonts w:ascii="Times New Roman" w:hAnsi="Times New Roman" w:cs="Times New Roman"/>
          <w:lang w:val="en-GB"/>
        </w:rPr>
        <w:t>[b] BARC 3 and 5.</w:t>
      </w:r>
    </w:p>
    <w:p w14:paraId="770D1B1D" w14:textId="77777777" w:rsidR="00912E56" w:rsidRPr="00C42D3F" w:rsidRDefault="00912E56" w:rsidP="00C42D3F">
      <w:pPr>
        <w:spacing w:line="480" w:lineRule="auto"/>
        <w:rPr>
          <w:rFonts w:ascii="Times New Roman" w:hAnsi="Times New Roman" w:cs="Times New Roman"/>
        </w:rPr>
      </w:pPr>
    </w:p>
    <w:sectPr w:rsidR="00912E56" w:rsidRPr="00C42D3F" w:rsidSect="00FF1DC9">
      <w:pgSz w:w="11906" w:h="16838"/>
      <w:pgMar w:top="1985" w:right="1701" w:bottom="170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609B8" w14:textId="77777777" w:rsidR="00DF0F20" w:rsidRDefault="00DF0F20" w:rsidP="00C42D3F">
      <w:r>
        <w:separator/>
      </w:r>
    </w:p>
  </w:endnote>
  <w:endnote w:type="continuationSeparator" w:id="0">
    <w:p w14:paraId="4553E442" w14:textId="77777777" w:rsidR="00DF0F20" w:rsidRDefault="00DF0F20" w:rsidP="00C42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0002" w14:textId="77777777" w:rsidR="00C42D3F" w:rsidRDefault="00C42D3F">
    <w:r>
      <w:rPr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9495796"/>
      <w:docPartObj>
        <w:docPartGallery w:val="Page Numbers (Bottom of Page)"/>
        <w:docPartUnique/>
      </w:docPartObj>
    </w:sdtPr>
    <w:sdtContent>
      <w:p w14:paraId="1C9DDCDD" w14:textId="7304078A" w:rsidR="00FF1DC9" w:rsidRDefault="00FF1DC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F1F2F48" w14:textId="2257C7EF" w:rsidR="00C42D3F" w:rsidRDefault="00C42D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A22E1" w14:textId="77777777" w:rsidR="00DF0F20" w:rsidRDefault="00DF0F20" w:rsidP="00C42D3F">
      <w:r>
        <w:separator/>
      </w:r>
    </w:p>
  </w:footnote>
  <w:footnote w:type="continuationSeparator" w:id="0">
    <w:p w14:paraId="4995EC59" w14:textId="77777777" w:rsidR="00DF0F20" w:rsidRDefault="00DF0F20" w:rsidP="00C42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6D5C" w14:textId="77777777" w:rsidR="00C42D3F" w:rsidRDefault="00C42D3F">
    <w:r>
      <w:rPr>
        <w:color w:val="000000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F9983" w14:textId="4B22FF0D" w:rsidR="00C42D3F" w:rsidRDefault="00C42D3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3F"/>
    <w:rsid w:val="00120E04"/>
    <w:rsid w:val="004729F3"/>
    <w:rsid w:val="00555059"/>
    <w:rsid w:val="00912E56"/>
    <w:rsid w:val="009C475F"/>
    <w:rsid w:val="00A06435"/>
    <w:rsid w:val="00B86A58"/>
    <w:rsid w:val="00C42D3F"/>
    <w:rsid w:val="00D87A55"/>
    <w:rsid w:val="00DF0F20"/>
    <w:rsid w:val="00FF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32A141"/>
  <w15:chartTrackingRefBased/>
  <w15:docId w15:val="{2F646458-2970-423C-BC58-59E21BE7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C42D3F"/>
    <w:pPr>
      <w:jc w:val="left"/>
    </w:pPr>
  </w:style>
  <w:style w:type="character" w:customStyle="1" w:styleId="a4">
    <w:name w:val="コメント文字列 (文字)"/>
    <w:basedOn w:val="a0"/>
    <w:link w:val="a3"/>
    <w:uiPriority w:val="99"/>
    <w:semiHidden/>
    <w:rsid w:val="00C42D3F"/>
  </w:style>
  <w:style w:type="character" w:styleId="a5">
    <w:name w:val="annotation reference"/>
    <w:uiPriority w:val="99"/>
    <w:semiHidden/>
    <w:unhideWhenUsed/>
    <w:rsid w:val="00C42D3F"/>
    <w:rPr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42D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42D3F"/>
  </w:style>
  <w:style w:type="paragraph" w:styleId="a8">
    <w:name w:val="footer"/>
    <w:basedOn w:val="a"/>
    <w:link w:val="a9"/>
    <w:uiPriority w:val="99"/>
    <w:unhideWhenUsed/>
    <w:rsid w:val="00C42D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42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1089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重見 善平(Shigemi,Zenpei)IMP</dc:creator>
  <cp:keywords/>
  <dc:description/>
  <cp:lastModifiedBy>Yoshiyuki Yazaki</cp:lastModifiedBy>
  <cp:revision>3</cp:revision>
  <dcterms:created xsi:type="dcterms:W3CDTF">2024-09-24T06:37:00Z</dcterms:created>
  <dcterms:modified xsi:type="dcterms:W3CDTF">2024-10-09T16:57:00Z</dcterms:modified>
</cp:coreProperties>
</file>