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62B6" w14:textId="77777777" w:rsidR="004F069D" w:rsidRPr="004F069D" w:rsidRDefault="004F069D" w:rsidP="004F069D">
      <w:pPr>
        <w:rPr>
          <w:rFonts w:asciiTheme="majorBidi" w:hAnsiTheme="majorBidi" w:cstheme="majorBidi"/>
        </w:rPr>
      </w:pPr>
      <w:r w:rsidRPr="004F069D">
        <w:rPr>
          <w:rFonts w:asciiTheme="majorBidi" w:hAnsiTheme="majorBidi" w:cstheme="majorBidi"/>
        </w:rPr>
        <w:br/>
      </w:r>
    </w:p>
    <w:p w14:paraId="1868D9BB" w14:textId="77777777" w:rsidR="004F069D" w:rsidRPr="004F069D" w:rsidRDefault="004F069D" w:rsidP="004F069D">
      <w:pPr>
        <w:rPr>
          <w:rFonts w:asciiTheme="majorBidi" w:hAnsiTheme="majorBidi" w:cstheme="majorBidi"/>
        </w:rPr>
      </w:pPr>
      <w:r w:rsidRPr="004F069D">
        <w:rPr>
          <w:rFonts w:asciiTheme="majorBidi" w:hAnsiTheme="majorBidi" w:cstheme="majorBidi"/>
        </w:rPr>
        <w:t>PubMed Search Strategy (October 20, 2025):</w:t>
      </w:r>
    </w:p>
    <w:p w14:paraId="097586EC" w14:textId="77777777" w:rsidR="004F069D" w:rsidRPr="004F069D" w:rsidRDefault="004F069D" w:rsidP="004F069D">
      <w:pPr>
        <w:rPr>
          <w:rFonts w:asciiTheme="majorBidi" w:hAnsiTheme="majorBidi" w:cstheme="majorBidi"/>
        </w:rPr>
      </w:pPr>
    </w:p>
    <w:p w14:paraId="7CC5B0BF" w14:textId="77777777" w:rsidR="004F069D" w:rsidRPr="004F069D" w:rsidRDefault="004F069D" w:rsidP="004F069D">
      <w:pPr>
        <w:rPr>
          <w:rFonts w:asciiTheme="majorBidi" w:hAnsiTheme="majorBidi" w:cstheme="majorBidi"/>
        </w:rPr>
      </w:pPr>
      <w:r w:rsidRPr="004F069D">
        <w:rPr>
          <w:rFonts w:asciiTheme="majorBidi" w:hAnsiTheme="majorBidi" w:cstheme="majorBidi"/>
        </w:rPr>
        <w:t>("Sodium-Glucose Transporter 2 Inhibitors"[Mesh] OR "SGLT2 inhibitors"[tiab] OR "sodium-glucose cotransporter 2 inhibitors"[tiab] OR empagliflozin[tiab] OR dapagliflozin[tiab] OR canagliflozin[tiab] OR ertugliflozin[tiab] OR "GLP-1 Receptor Agonists"[Mesh] OR "GLP-1 receptor agonists"[tiab] OR "glucagon-like peptide-1 receptor agonists"[tiab] OR liraglutide[tiab] OR semaglutide[tiab] OR dulaglutide[tiab] OR efpeglenatide[tiab] OR albiglutide[tiab])</w:t>
      </w:r>
    </w:p>
    <w:p w14:paraId="471A8540" w14:textId="77777777" w:rsidR="004F069D" w:rsidRPr="004F069D" w:rsidRDefault="004F069D" w:rsidP="004F069D">
      <w:pPr>
        <w:rPr>
          <w:rFonts w:asciiTheme="majorBidi" w:hAnsiTheme="majorBidi" w:cstheme="majorBidi"/>
        </w:rPr>
      </w:pPr>
    </w:p>
    <w:p w14:paraId="5F76B773" w14:textId="77777777" w:rsidR="004F069D" w:rsidRPr="004F069D" w:rsidRDefault="004F069D" w:rsidP="004F069D">
      <w:pPr>
        <w:rPr>
          <w:rFonts w:asciiTheme="majorBidi" w:hAnsiTheme="majorBidi" w:cstheme="majorBidi"/>
        </w:rPr>
      </w:pPr>
      <w:r w:rsidRPr="004F069D">
        <w:rPr>
          <w:rFonts w:asciiTheme="majorBidi" w:hAnsiTheme="majorBidi" w:cstheme="majorBidi"/>
        </w:rPr>
        <w:t>AND</w:t>
      </w:r>
    </w:p>
    <w:p w14:paraId="68689064" w14:textId="77777777" w:rsidR="004F069D" w:rsidRPr="004F069D" w:rsidRDefault="004F069D" w:rsidP="004F069D">
      <w:pPr>
        <w:rPr>
          <w:rFonts w:asciiTheme="majorBidi" w:hAnsiTheme="majorBidi" w:cstheme="majorBidi"/>
        </w:rPr>
      </w:pPr>
    </w:p>
    <w:p w14:paraId="0E782F76" w14:textId="77777777" w:rsidR="004F069D" w:rsidRPr="004F069D" w:rsidRDefault="004F069D" w:rsidP="004F069D">
      <w:pPr>
        <w:rPr>
          <w:rFonts w:asciiTheme="majorBidi" w:hAnsiTheme="majorBidi" w:cstheme="majorBidi"/>
        </w:rPr>
      </w:pPr>
      <w:r w:rsidRPr="004F069D">
        <w:rPr>
          <w:rFonts w:asciiTheme="majorBidi" w:hAnsiTheme="majorBidi" w:cstheme="majorBidi"/>
        </w:rPr>
        <w:t>("Diabetes Mellitus, Type 2"[Mesh] OR "type 2 diabetes"[tiab] OR "T2DM"[tiab] OR "type 2 diabetes mellitus"[tiab])</w:t>
      </w:r>
    </w:p>
    <w:p w14:paraId="33C18142" w14:textId="77777777" w:rsidR="004F069D" w:rsidRPr="004F069D" w:rsidRDefault="004F069D" w:rsidP="004F069D">
      <w:pPr>
        <w:rPr>
          <w:rFonts w:asciiTheme="majorBidi" w:hAnsiTheme="majorBidi" w:cstheme="majorBidi"/>
        </w:rPr>
      </w:pPr>
    </w:p>
    <w:p w14:paraId="21888E14" w14:textId="77777777" w:rsidR="004F069D" w:rsidRPr="004F069D" w:rsidRDefault="004F069D" w:rsidP="004F069D">
      <w:pPr>
        <w:rPr>
          <w:rFonts w:asciiTheme="majorBidi" w:hAnsiTheme="majorBidi" w:cstheme="majorBidi"/>
        </w:rPr>
      </w:pPr>
      <w:r w:rsidRPr="004F069D">
        <w:rPr>
          <w:rFonts w:asciiTheme="majorBidi" w:hAnsiTheme="majorBidi" w:cstheme="majorBidi"/>
        </w:rPr>
        <w:t>AND</w:t>
      </w:r>
    </w:p>
    <w:p w14:paraId="0EBF6B96" w14:textId="77777777" w:rsidR="004F069D" w:rsidRPr="004F069D" w:rsidRDefault="004F069D" w:rsidP="004F069D">
      <w:pPr>
        <w:rPr>
          <w:rFonts w:asciiTheme="majorBidi" w:hAnsiTheme="majorBidi" w:cstheme="majorBidi"/>
        </w:rPr>
      </w:pPr>
    </w:p>
    <w:p w14:paraId="608F168F" w14:textId="77777777" w:rsidR="004F069D" w:rsidRPr="004F069D" w:rsidRDefault="004F069D" w:rsidP="004F069D">
      <w:pPr>
        <w:rPr>
          <w:rFonts w:asciiTheme="majorBidi" w:hAnsiTheme="majorBidi" w:cstheme="majorBidi"/>
        </w:rPr>
      </w:pPr>
      <w:r w:rsidRPr="004F069D">
        <w:rPr>
          <w:rFonts w:asciiTheme="majorBidi" w:hAnsiTheme="majorBidi" w:cstheme="majorBidi"/>
        </w:rPr>
        <w:t>("Major Adverse Cardiovascular Events"[tiab] OR "MACE"[tiab] OR "cardiovascular outcomes"[tiab] OR "heart failure"[tiab] OR "myocardial infarction"[tiab] OR "stroke"[tiab] OR "cardiovascular death"[tiab])</w:t>
      </w:r>
    </w:p>
    <w:p w14:paraId="6C614736" w14:textId="77777777" w:rsidR="004F069D" w:rsidRPr="004F069D" w:rsidRDefault="004F069D" w:rsidP="004F069D">
      <w:pPr>
        <w:rPr>
          <w:rFonts w:asciiTheme="majorBidi" w:hAnsiTheme="majorBidi" w:cstheme="majorBidi"/>
        </w:rPr>
      </w:pPr>
    </w:p>
    <w:p w14:paraId="6AF5C598" w14:textId="77777777" w:rsidR="004F069D" w:rsidRPr="004F069D" w:rsidRDefault="004F069D" w:rsidP="004F069D">
      <w:pPr>
        <w:rPr>
          <w:rFonts w:asciiTheme="majorBidi" w:hAnsiTheme="majorBidi" w:cstheme="majorBidi"/>
        </w:rPr>
      </w:pPr>
      <w:r w:rsidRPr="004F069D">
        <w:rPr>
          <w:rFonts w:asciiTheme="majorBidi" w:hAnsiTheme="majorBidi" w:cstheme="majorBidi"/>
        </w:rPr>
        <w:t>AND</w:t>
      </w:r>
    </w:p>
    <w:p w14:paraId="71AA5678" w14:textId="77777777" w:rsidR="004F069D" w:rsidRPr="004F069D" w:rsidRDefault="004F069D" w:rsidP="004F069D">
      <w:pPr>
        <w:rPr>
          <w:rFonts w:asciiTheme="majorBidi" w:hAnsiTheme="majorBidi" w:cstheme="majorBidi"/>
        </w:rPr>
      </w:pPr>
    </w:p>
    <w:p w14:paraId="2EC43C58" w14:textId="77777777" w:rsidR="004F069D" w:rsidRPr="004F069D" w:rsidRDefault="004F069D" w:rsidP="004F069D">
      <w:pPr>
        <w:rPr>
          <w:rFonts w:asciiTheme="majorBidi" w:hAnsiTheme="majorBidi" w:cstheme="majorBidi"/>
        </w:rPr>
      </w:pPr>
      <w:r w:rsidRPr="004F069D">
        <w:rPr>
          <w:rFonts w:asciiTheme="majorBidi" w:hAnsiTheme="majorBidi" w:cstheme="majorBidi"/>
        </w:rPr>
        <w:t>("randomized controlled trial"[pt] OR "controlled clinical trial"[pt] OR "randomized"[tiab] OR "placebo"[tiab] OR "clinical trials as topic"[mesh] OR "randomly"[tiab] OR "trial"[tiab])</w:t>
      </w:r>
    </w:p>
    <w:p w14:paraId="394BD476" w14:textId="77777777" w:rsidR="004F069D" w:rsidRPr="004F069D" w:rsidRDefault="004F069D" w:rsidP="004F069D">
      <w:pPr>
        <w:rPr>
          <w:rFonts w:asciiTheme="majorBidi" w:hAnsiTheme="majorBidi" w:cstheme="majorBidi"/>
        </w:rPr>
      </w:pPr>
    </w:p>
    <w:p w14:paraId="2D227A33" w14:textId="77777777" w:rsidR="004F069D" w:rsidRPr="004F069D" w:rsidRDefault="004F069D" w:rsidP="004F069D">
      <w:pPr>
        <w:rPr>
          <w:rFonts w:asciiTheme="majorBidi" w:hAnsiTheme="majorBidi" w:cstheme="majorBidi"/>
        </w:rPr>
      </w:pPr>
      <w:r w:rsidRPr="004F069D">
        <w:rPr>
          <w:rFonts w:asciiTheme="majorBidi" w:hAnsiTheme="majorBidi" w:cstheme="majorBidi"/>
        </w:rPr>
        <w:t>Filters: Humans, English, Adult: 19+ years</w:t>
      </w:r>
    </w:p>
    <w:p w14:paraId="1EB6CD5F" w14:textId="77777777" w:rsidR="004F069D" w:rsidRPr="004F069D" w:rsidRDefault="004F069D" w:rsidP="004F069D">
      <w:pPr>
        <w:rPr>
          <w:rFonts w:asciiTheme="majorBidi" w:hAnsiTheme="majorBidi" w:cstheme="majorBidi"/>
        </w:rPr>
      </w:pPr>
    </w:p>
    <w:p w14:paraId="65F17CFE" w14:textId="77777777" w:rsidR="004F069D" w:rsidRPr="004F069D" w:rsidRDefault="004F069D" w:rsidP="004F069D">
      <w:pPr>
        <w:rPr>
          <w:rFonts w:asciiTheme="majorBidi" w:hAnsiTheme="majorBidi" w:cstheme="majorBidi"/>
        </w:rPr>
      </w:pPr>
      <w:r w:rsidRPr="004F069D">
        <w:rPr>
          <w:rFonts w:asciiTheme="majorBidi" w:hAnsiTheme="majorBidi" w:cstheme="majorBidi"/>
        </w:rPr>
        <w:t>Similar strategies were adapted for Scopus, Cochrane CENTRAL, and Google Scholar databases.</w:t>
      </w:r>
    </w:p>
    <w:p w14:paraId="52AC88A4" w14:textId="77777777" w:rsidR="00BC30D7" w:rsidRDefault="00BC30D7"/>
    <w:sectPr w:rsidR="00BC30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9D"/>
    <w:rsid w:val="004E0EB6"/>
    <w:rsid w:val="004F069D"/>
    <w:rsid w:val="00AD3393"/>
    <w:rsid w:val="00BC30D7"/>
    <w:rsid w:val="00C7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A3B099"/>
  <w15:chartTrackingRefBased/>
  <w15:docId w15:val="{143FCCBF-5586-A44A-A800-E97F90C3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0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6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6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6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6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6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6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6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6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6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6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6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6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6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06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0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6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0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06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06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06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06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6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06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ياسر عبدالعزيز حمد</dc:creator>
  <cp:keywords/>
  <dc:description/>
  <cp:lastModifiedBy>ياسر عبدالعزيز حمد</cp:lastModifiedBy>
  <cp:revision>2</cp:revision>
  <dcterms:created xsi:type="dcterms:W3CDTF">2025-12-12T01:53:00Z</dcterms:created>
  <dcterms:modified xsi:type="dcterms:W3CDTF">2025-12-12T01:53:00Z</dcterms:modified>
</cp:coreProperties>
</file>