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5DD02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4"/>
        </w:rPr>
        <w:t>. Kaplan-Meier Curves for Incident CVD by METS-VF Profiles</w:t>
      </w:r>
    </w:p>
    <w:p w14:paraId="1C6C62AE">
      <w:pPr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269230" cy="4841875"/>
            <wp:effectExtent l="0" t="0" r="1270" b="9525"/>
            <wp:docPr id="2" name="图片 2" descr="Figure S1. Kaplan-Meier Curves for Incident CVD by METS-VF Profi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. Kaplan-Meier Curves for Incident CVD by METS-VF Profile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84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DE126">
      <w:pPr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Note: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Kaplan-Meier curves show associations between METS-VF profiles (baseline/cumulative quartiles, LCGM-derived change patterns) and incident CVD in 3,815 adults with CKM syndrome stages 0-3 (mean follow-up: 4.4 years). Panel A: Baseline METS-VF; Panel B: Cumulative METS-VF; Panel C: Change patterns (Class 1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=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stable moderate-level, Class 2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=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low-level increasing, Class 3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=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 xml:space="preserve">stable high-level). </w:t>
      </w:r>
      <w:bookmarkStart w:id="0" w:name="_GoBack"/>
      <w:r>
        <w:rPr>
          <w:rFonts w:hint="eastAsia" w:ascii="Times New Roman" w:hAnsi="Times New Roman" w:cs="Times New Roman"/>
          <w:sz w:val="20"/>
          <w:szCs w:val="20"/>
        </w:rPr>
        <w:t>Number at risk is listed for key time points</w:t>
      </w:r>
      <w:bookmarkEnd w:id="0"/>
      <w:r>
        <w:rPr>
          <w:rFonts w:hint="eastAsia" w:ascii="Times New Roman" w:hAnsi="Times New Roman" w:cs="Times New Roman"/>
          <w:sz w:val="20"/>
          <w:szCs w:val="20"/>
        </w:rPr>
        <w:t xml:space="preserve">. Log-rank tests confirmed significant subgroup differences (all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 w:cs="Times New Roman"/>
          <w:sz w:val="20"/>
          <w:szCs w:val="20"/>
        </w:rPr>
        <w:t xml:space="preserve"> &lt; 0.0001), with higher METS-VF levels (Q4 vs. Q1-Q3) and Class 3 associated with elevated CVD risk. Findings align with primary Cox regression results, supporting a positive dose-response relationship.</w:t>
      </w:r>
    </w:p>
    <w:p w14:paraId="2A0C51AE">
      <w:pPr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Abbreviation:</w:t>
      </w:r>
      <w:r>
        <w:rPr>
          <w:rFonts w:hint="eastAsia" w:ascii="Times New Roman" w:hAnsi="Times New Roman" w:cs="Times New Roman"/>
          <w:sz w:val="20"/>
          <w:szCs w:val="20"/>
        </w:rPr>
        <w:t xml:space="preserve"> CVD, Cardiovascular Disease; METS-VF, Metabolic Score for Visceral Fat;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LCGM, Latent Class Growth Modeling; Q, Quartile.</w:t>
      </w:r>
    </w:p>
    <w:p w14:paraId="4A2EE76D">
      <w:pPr>
        <w:rPr>
          <w:rFonts w:hint="eastAsia" w:ascii="Times New Roman" w:hAnsi="Times New Roman" w:cs="Times New Roman"/>
          <w:sz w:val="20"/>
          <w:szCs w:val="20"/>
        </w:rPr>
      </w:pPr>
    </w:p>
    <w:p w14:paraId="24B1CE8F">
      <w:pP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</w:p>
    <w:p w14:paraId="544E079C">
      <w:pPr>
        <w:rPr>
          <w:rFonts w:ascii="Times New Roman" w:hAnsi="Times New Roman" w:cs="Times New Roman"/>
          <w:sz w:val="20"/>
          <w:szCs w:val="20"/>
        </w:rPr>
      </w:pPr>
    </w:p>
    <w:p w14:paraId="5086C656">
      <w:pPr>
        <w:rPr>
          <w:rFonts w:ascii="Times New Roman" w:hAnsi="Times New Roman" w:cs="Times New Roman"/>
          <w:sz w:val="20"/>
          <w:szCs w:val="20"/>
        </w:rPr>
      </w:pPr>
    </w:p>
    <w:p w14:paraId="5D73A2D6">
      <w:pPr>
        <w:rPr>
          <w:rFonts w:ascii="Times New Roman" w:hAnsi="Times New Roman" w:cs="Times New Roman"/>
          <w:b/>
          <w:bCs/>
          <w:sz w:val="24"/>
        </w:rPr>
      </w:pPr>
    </w:p>
    <w:p w14:paraId="383AE487">
      <w:pPr>
        <w:rPr>
          <w:rFonts w:ascii="Times New Roman" w:hAnsi="Times New Roman" w:cs="Times New Roman"/>
          <w:b/>
          <w:bCs/>
          <w:sz w:val="24"/>
        </w:rPr>
      </w:pPr>
    </w:p>
    <w:p w14:paraId="465DE164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019BE342">
      <w:pP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bCs/>
          <w:sz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4"/>
        </w:rPr>
        <w:t>. Love Plots: Covariate Balance Comparison of Unweighted vs. Inverse Probability-Weighted Samples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</w:p>
    <w:p w14:paraId="7747D068">
      <w:pP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  <w:drawing>
          <wp:inline distT="0" distB="0" distL="114300" distR="114300">
            <wp:extent cx="5269230" cy="3729355"/>
            <wp:effectExtent l="0" t="0" r="1270" b="4445"/>
            <wp:docPr id="3" name="图片 3" descr="Figure S2. Love Plots Covariate Balance Comparison of Unweighted vs. Inverse Probability-Weighted (IPW) Sa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. Love Plots Covariate Balance Comparison of Unweighted vs. Inverse Probability-Weighted (IPW) Sample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C6F0D">
      <w:pPr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Note: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Love plots quantify covariate balance between unweighted and IPW-trimmed samples (total sample size: 3,815) to address confounding in the METS-VF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-</w:t>
      </w:r>
      <w:r>
        <w:rPr>
          <w:rFonts w:ascii="Times New Roman" w:hAnsi="Times New Roman" w:cs="Times New Roman"/>
          <w:sz w:val="20"/>
          <w:szCs w:val="20"/>
        </w:rPr>
        <w:t>CVD association. Panel A: Baseline METS-VF (Q4 vs. Q1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-</w:t>
      </w:r>
      <w:r>
        <w:rPr>
          <w:rFonts w:ascii="Times New Roman" w:hAnsi="Times New Roman" w:cs="Times New Roman"/>
          <w:sz w:val="20"/>
          <w:szCs w:val="20"/>
        </w:rPr>
        <w:t>Q3); Panel B: Cumulative METS-VF (Q4 vs. Q1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-</w:t>
      </w:r>
      <w:r>
        <w:rPr>
          <w:rFonts w:ascii="Times New Roman" w:hAnsi="Times New Roman" w:cs="Times New Roman"/>
          <w:sz w:val="20"/>
          <w:szCs w:val="20"/>
        </w:rPr>
        <w:t>Q3); Panel C: METS-VF change patterns (Class 3 vs. Class 1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2). The vertical dashed line at 0.0 indicates perfect balance, and the horizontal line at 0.10 denotes acceptable balance. "Unadjusted" (gray circles) = original sample; "Adjusted" (green triangles) = IPW-trimmed sample. </w:t>
      </w:r>
      <w:r>
        <w:rPr>
          <w:rFonts w:hint="eastAsia" w:ascii="Times New Roman" w:hAnsi="Times New Roman" w:cs="Times New Roman"/>
          <w:sz w:val="20"/>
          <w:szCs w:val="20"/>
        </w:rPr>
        <w:t>Most covariates achieved adequate balance after IPW adjustment (absolute SMD &lt; 0.1), supporting the validity of the downstream analyses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A1A5CF1">
      <w:pPr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Abbreviation:</w:t>
      </w:r>
      <w:r>
        <w:rPr>
          <w:rFonts w:hint="eastAsia" w:ascii="Times New Roman" w:hAnsi="Times New Roman" w:cs="Times New Roman"/>
          <w:sz w:val="20"/>
          <w:szCs w:val="20"/>
        </w:rPr>
        <w:t xml:space="preserve"> METS-VF, Metabolic Score for Visceral Fat;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IPW, Inverse Probability Weighting; PLT, Platelet; WBC, White Blood Cell; CRP, C-Reactive Protein; UA, Uric Acid; BUN, Blood Urea Nitrogen; Cr, Creatinine; Hb, Hemoglobin; Q, Quartile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; SMD, </w:t>
      </w:r>
      <w:r>
        <w:rPr>
          <w:rFonts w:hint="eastAsia" w:ascii="Times New Roman" w:hAnsi="Times New Roman" w:cs="Times New Roman" w:eastAsiaTheme="minorEastAsia"/>
          <w:sz w:val="22"/>
          <w:szCs w:val="22"/>
          <w:lang w:val="en-US" w:eastAsia="zh-CN"/>
        </w:rPr>
        <w:t xml:space="preserve">Standardized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M</w:t>
      </w:r>
      <w:r>
        <w:rPr>
          <w:rFonts w:hint="eastAsia" w:ascii="Times New Roman" w:hAnsi="Times New Roman" w:cs="Times New Roman" w:eastAsiaTheme="minorEastAsia"/>
          <w:sz w:val="22"/>
          <w:szCs w:val="22"/>
          <w:lang w:val="en-US" w:eastAsia="zh-CN"/>
        </w:rPr>
        <w:t xml:space="preserve">ean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D</w:t>
      </w:r>
      <w:r>
        <w:rPr>
          <w:rFonts w:hint="eastAsia" w:ascii="Times New Roman" w:hAnsi="Times New Roman" w:cs="Times New Roman" w:eastAsiaTheme="minorEastAsia"/>
          <w:sz w:val="22"/>
          <w:szCs w:val="22"/>
          <w:lang w:val="en-US" w:eastAsia="zh-CN"/>
        </w:rPr>
        <w:t>ifference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 w14:paraId="0CC21F5E">
      <w:pPr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E6"/>
    <w:rsid w:val="0004375B"/>
    <w:rsid w:val="00302E6F"/>
    <w:rsid w:val="0059394B"/>
    <w:rsid w:val="00664F91"/>
    <w:rsid w:val="007B31C6"/>
    <w:rsid w:val="007E1885"/>
    <w:rsid w:val="008078E3"/>
    <w:rsid w:val="008B6E82"/>
    <w:rsid w:val="008D3298"/>
    <w:rsid w:val="008E40B0"/>
    <w:rsid w:val="009428E6"/>
    <w:rsid w:val="009A4393"/>
    <w:rsid w:val="00A0068E"/>
    <w:rsid w:val="00AB5F9F"/>
    <w:rsid w:val="00B320FA"/>
    <w:rsid w:val="00B568E2"/>
    <w:rsid w:val="00BC56A4"/>
    <w:rsid w:val="00C71385"/>
    <w:rsid w:val="00D41144"/>
    <w:rsid w:val="00F837AF"/>
    <w:rsid w:val="010073E9"/>
    <w:rsid w:val="012B75C1"/>
    <w:rsid w:val="07FB4015"/>
    <w:rsid w:val="0AB67138"/>
    <w:rsid w:val="0CDA1F0D"/>
    <w:rsid w:val="0F1D7D7F"/>
    <w:rsid w:val="11052878"/>
    <w:rsid w:val="12AD1419"/>
    <w:rsid w:val="13CE1647"/>
    <w:rsid w:val="170160F4"/>
    <w:rsid w:val="20437473"/>
    <w:rsid w:val="221D1EAF"/>
    <w:rsid w:val="23E509DF"/>
    <w:rsid w:val="23F073B8"/>
    <w:rsid w:val="244020ED"/>
    <w:rsid w:val="29753FA3"/>
    <w:rsid w:val="2B8D2F9D"/>
    <w:rsid w:val="2C3B13EC"/>
    <w:rsid w:val="2D355E3C"/>
    <w:rsid w:val="30470360"/>
    <w:rsid w:val="31C53C32"/>
    <w:rsid w:val="36BE6EA2"/>
    <w:rsid w:val="395128DD"/>
    <w:rsid w:val="3CBE19AA"/>
    <w:rsid w:val="3CED7686"/>
    <w:rsid w:val="3DE106F2"/>
    <w:rsid w:val="3FA330D9"/>
    <w:rsid w:val="40CB6D8B"/>
    <w:rsid w:val="42DD01B9"/>
    <w:rsid w:val="452737B2"/>
    <w:rsid w:val="47E0136E"/>
    <w:rsid w:val="48E5219C"/>
    <w:rsid w:val="49153DD1"/>
    <w:rsid w:val="49755AE6"/>
    <w:rsid w:val="4B013AD5"/>
    <w:rsid w:val="4B45519D"/>
    <w:rsid w:val="4CCA5FE8"/>
    <w:rsid w:val="4E1639E5"/>
    <w:rsid w:val="4FA0288F"/>
    <w:rsid w:val="4FA669F9"/>
    <w:rsid w:val="519136D9"/>
    <w:rsid w:val="51E35587"/>
    <w:rsid w:val="52FB3500"/>
    <w:rsid w:val="55DA564E"/>
    <w:rsid w:val="57367E83"/>
    <w:rsid w:val="59682F71"/>
    <w:rsid w:val="5B1433B1"/>
    <w:rsid w:val="5EAB0533"/>
    <w:rsid w:val="60CC7840"/>
    <w:rsid w:val="61B34016"/>
    <w:rsid w:val="62D43425"/>
    <w:rsid w:val="63A46ED2"/>
    <w:rsid w:val="64E971F0"/>
    <w:rsid w:val="66B744FF"/>
    <w:rsid w:val="67BC38F2"/>
    <w:rsid w:val="68AD54BB"/>
    <w:rsid w:val="69794D27"/>
    <w:rsid w:val="6B9A3B52"/>
    <w:rsid w:val="6C7D68DC"/>
    <w:rsid w:val="6D2D20B0"/>
    <w:rsid w:val="6F0E1EBA"/>
    <w:rsid w:val="6FBE3AFD"/>
    <w:rsid w:val="71950224"/>
    <w:rsid w:val="75EA3234"/>
    <w:rsid w:val="7A7048C9"/>
    <w:rsid w:val="7C071DCA"/>
    <w:rsid w:val="7C1B3B40"/>
    <w:rsid w:val="7C6A2D52"/>
    <w:rsid w:val="7EAB552B"/>
    <w:rsid w:val="7F51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</Words>
  <Characters>1694</Characters>
  <Lines>18</Lines>
  <Paragraphs>5</Paragraphs>
  <TotalTime>1</TotalTime>
  <ScaleCrop>false</ScaleCrop>
  <LinksUpToDate>false</LinksUpToDate>
  <CharactersWithSpaces>1961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2025-09-21T07:50:00Z</dcterms:created>
  <dc:creator>10957</dc:creator>
  <cp:lastModifiedBy>好男人家里蹲</cp:lastModifiedBy>
  <dcterms:modified xsi:type="dcterms:W3CDTF">2026-01-06T02:56:59Z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eyJoZGlkIjoiM2FiZDIzMjBhYjY3YjcwYmIxYWI1NjM4YzVmYjEyMDMiLCJ1c2VySWQiOiIxMTEzNTg1NyJ9</vt:lpwstr>
  </property>
  <property fmtid="{D5CDD505-2E9C-101B-9397-08002B2CF9AE}" pid="4" name="ICV">
    <vt:lpwstr>A41DF1321A964A43BCA1A6A5ECF1B56F_12</vt:lpwstr>
  </property>
</Properties>
</file>