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3B975">
      <w:pPr>
        <w:jc w:val="left"/>
      </w:pPr>
      <w:r>
        <w:rPr>
          <w:rFonts w:ascii="Times New Roman" w:hAnsi="Times New Roman" w:eastAsia="Times New Roman"/>
          <w:b/>
          <w:i w:val="0"/>
          <w:sz w:val="28"/>
        </w:rPr>
        <w:t>Supplementary Tables</w:t>
      </w:r>
    </w:p>
    <w:p w14:paraId="0D21B4FD">
      <w:pPr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Table S1. Variance inflation factors (VIFs) for covariates in Model 3.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53299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680" w:type="dxa"/>
          </w:tcPr>
          <w:p w14:paraId="0A317CF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Predictor</w:t>
            </w:r>
          </w:p>
        </w:tc>
        <w:tc>
          <w:tcPr>
            <w:tcW w:w="4680" w:type="dxa"/>
          </w:tcPr>
          <w:p w14:paraId="7B8F2D7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VIF</w:t>
            </w:r>
          </w:p>
        </w:tc>
      </w:tr>
      <w:tr w14:paraId="0AE98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53DEC9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Intercept</w:t>
            </w:r>
          </w:p>
        </w:tc>
        <w:tc>
          <w:tcPr>
            <w:tcW w:w="4680" w:type="dxa"/>
          </w:tcPr>
          <w:p w14:paraId="7D245BE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199.917</w:t>
            </w:r>
          </w:p>
        </w:tc>
      </w:tr>
      <w:tr w14:paraId="1417A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67BE2C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TC</w:t>
            </w:r>
          </w:p>
        </w:tc>
        <w:tc>
          <w:tcPr>
            <w:tcW w:w="4680" w:type="dxa"/>
          </w:tcPr>
          <w:p w14:paraId="30C9A17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12.852</w:t>
            </w:r>
          </w:p>
        </w:tc>
      </w:tr>
      <w:tr w14:paraId="4AD1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9874D5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LDL_C</w:t>
            </w:r>
          </w:p>
        </w:tc>
        <w:tc>
          <w:tcPr>
            <w:tcW w:w="4680" w:type="dxa"/>
          </w:tcPr>
          <w:p w14:paraId="04DAA8E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9.223</w:t>
            </w:r>
          </w:p>
        </w:tc>
      </w:tr>
      <w:tr w14:paraId="0E3C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E34EFB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HbA1c</w:t>
            </w:r>
          </w:p>
        </w:tc>
        <w:tc>
          <w:tcPr>
            <w:tcW w:w="4680" w:type="dxa"/>
          </w:tcPr>
          <w:p w14:paraId="6B7F774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2.957</w:t>
            </w:r>
          </w:p>
        </w:tc>
      </w:tr>
      <w:tr w14:paraId="2A99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28BE57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HDL_C</w:t>
            </w:r>
          </w:p>
        </w:tc>
        <w:tc>
          <w:tcPr>
            <w:tcW w:w="4680" w:type="dxa"/>
          </w:tcPr>
          <w:p w14:paraId="38F204C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2.801</w:t>
            </w:r>
          </w:p>
        </w:tc>
      </w:tr>
      <w:tr w14:paraId="765B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35E724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TG</w:t>
            </w:r>
          </w:p>
        </w:tc>
        <w:tc>
          <w:tcPr>
            <w:tcW w:w="4680" w:type="dxa"/>
          </w:tcPr>
          <w:p w14:paraId="4DA85C7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2.657</w:t>
            </w:r>
          </w:p>
        </w:tc>
      </w:tr>
      <w:tr w14:paraId="1EF1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A2C9F4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FBG</w:t>
            </w:r>
          </w:p>
        </w:tc>
        <w:tc>
          <w:tcPr>
            <w:tcW w:w="4680" w:type="dxa"/>
          </w:tcPr>
          <w:p w14:paraId="3F6B2F5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2.328</w:t>
            </w:r>
          </w:p>
        </w:tc>
      </w:tr>
      <w:tr w14:paraId="45501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3DFB6D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ApoA1</w:t>
            </w:r>
          </w:p>
        </w:tc>
        <w:tc>
          <w:tcPr>
            <w:tcW w:w="4680" w:type="dxa"/>
          </w:tcPr>
          <w:p w14:paraId="1289F4D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2.294</w:t>
            </w:r>
          </w:p>
        </w:tc>
      </w:tr>
      <w:tr w14:paraId="56ACC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D9AE56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T2DM</w:t>
            </w:r>
          </w:p>
        </w:tc>
        <w:tc>
          <w:tcPr>
            <w:tcW w:w="4680" w:type="dxa"/>
          </w:tcPr>
          <w:p w14:paraId="4C91D7D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1.975</w:t>
            </w:r>
          </w:p>
        </w:tc>
      </w:tr>
      <w:tr w14:paraId="4B2F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667582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C(sex)[T.2]</w:t>
            </w:r>
          </w:p>
        </w:tc>
        <w:tc>
          <w:tcPr>
            <w:tcW w:w="4680" w:type="dxa"/>
          </w:tcPr>
          <w:p w14:paraId="72172AB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1.515</w:t>
            </w:r>
          </w:p>
        </w:tc>
      </w:tr>
      <w:tr w14:paraId="29B0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80F63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age</w:t>
            </w:r>
          </w:p>
        </w:tc>
        <w:tc>
          <w:tcPr>
            <w:tcW w:w="4680" w:type="dxa"/>
          </w:tcPr>
          <w:p w14:paraId="60864EF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1.508</w:t>
            </w:r>
          </w:p>
        </w:tc>
      </w:tr>
      <w:tr w14:paraId="2DDE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164F29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smoking_status</w:t>
            </w:r>
          </w:p>
        </w:tc>
        <w:tc>
          <w:tcPr>
            <w:tcW w:w="4680" w:type="dxa"/>
          </w:tcPr>
          <w:p w14:paraId="03BD2A4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1.428</w:t>
            </w:r>
          </w:p>
        </w:tc>
      </w:tr>
      <w:tr w14:paraId="0FF1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546B9E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PP</w:t>
            </w:r>
          </w:p>
        </w:tc>
        <w:tc>
          <w:tcPr>
            <w:tcW w:w="4680" w:type="dxa"/>
          </w:tcPr>
          <w:p w14:paraId="085FD5D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1.264</w:t>
            </w:r>
          </w:p>
        </w:tc>
      </w:tr>
      <w:tr w14:paraId="12B88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ABDBE4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hypertension</w:t>
            </w:r>
          </w:p>
        </w:tc>
        <w:tc>
          <w:tcPr>
            <w:tcW w:w="4680" w:type="dxa"/>
          </w:tcPr>
          <w:p w14:paraId="6C6DCE7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1.172</w:t>
            </w:r>
          </w:p>
        </w:tc>
      </w:tr>
      <w:tr w14:paraId="7EE7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A3F250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BMI</w:t>
            </w:r>
          </w:p>
        </w:tc>
        <w:tc>
          <w:tcPr>
            <w:tcW w:w="4680" w:type="dxa"/>
          </w:tcPr>
          <w:p w14:paraId="560BD0B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1.14</w:t>
            </w:r>
          </w:p>
        </w:tc>
      </w:tr>
      <w:tr w14:paraId="5A77C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F865DC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Dyslipidemia</w:t>
            </w:r>
          </w:p>
        </w:tc>
        <w:tc>
          <w:tcPr>
            <w:tcW w:w="4680" w:type="dxa"/>
          </w:tcPr>
          <w:p w14:paraId="22FBD00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1.135</w:t>
            </w:r>
          </w:p>
        </w:tc>
      </w:tr>
      <w:tr w14:paraId="2BA9B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71F480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Lpa</w:t>
            </w:r>
          </w:p>
        </w:tc>
        <w:tc>
          <w:tcPr>
            <w:tcW w:w="4680" w:type="dxa"/>
          </w:tcPr>
          <w:p w14:paraId="73D0435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1.041</w:t>
            </w:r>
          </w:p>
        </w:tc>
      </w:tr>
    </w:tbl>
    <w:p w14:paraId="0C8E4E15">
      <w:pPr>
        <w:jc w:val="left"/>
      </w:pPr>
      <w:r>
        <w:rPr>
          <w:rFonts w:ascii="Times New Roman" w:hAnsi="Times New Roman" w:eastAsia="Times New Roman"/>
          <w:b w:val="0"/>
          <w:i/>
          <w:sz w:val="20"/>
        </w:rPr>
        <w:t>Note: VIF values were calculated for all predictors included in Model 3. Higher VIF indicates greater multicollinearity; values &gt;10 are commonly considered evidence of substantial collinearity. TC and LDL-C showed elevated VIFs, reflecting expected overlap among lipid parameters.</w:t>
      </w:r>
    </w:p>
    <w:p w14:paraId="62873A65"/>
    <w:p w14:paraId="63D7FD64">
      <w:pPr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Table S2. Assessment of linearity on the logit scale using the Box–Tidwell approach.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31D4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764840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Continuous predictor</w:t>
            </w:r>
          </w:p>
        </w:tc>
        <w:tc>
          <w:tcPr>
            <w:tcW w:w="4680" w:type="dxa"/>
          </w:tcPr>
          <w:p w14:paraId="1119EE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P value</w:t>
            </w:r>
          </w:p>
        </w:tc>
      </w:tr>
      <w:tr w14:paraId="5F05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69F432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Lpa</w:t>
            </w:r>
          </w:p>
        </w:tc>
        <w:tc>
          <w:tcPr>
            <w:tcW w:w="4680" w:type="dxa"/>
          </w:tcPr>
          <w:p w14:paraId="7B853E7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0.161</w:t>
            </w:r>
          </w:p>
        </w:tc>
      </w:tr>
      <w:tr w14:paraId="34373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13ACE4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age</w:t>
            </w:r>
          </w:p>
        </w:tc>
        <w:tc>
          <w:tcPr>
            <w:tcW w:w="4680" w:type="dxa"/>
          </w:tcPr>
          <w:p w14:paraId="72C30A3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0.931</w:t>
            </w:r>
          </w:p>
        </w:tc>
      </w:tr>
      <w:tr w14:paraId="2996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8E54D1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BMI</w:t>
            </w:r>
          </w:p>
        </w:tc>
        <w:tc>
          <w:tcPr>
            <w:tcW w:w="4680" w:type="dxa"/>
          </w:tcPr>
          <w:p w14:paraId="28F53DD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0.130</w:t>
            </w:r>
          </w:p>
        </w:tc>
      </w:tr>
      <w:tr w14:paraId="13B00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E4A900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PP</w:t>
            </w:r>
          </w:p>
        </w:tc>
        <w:tc>
          <w:tcPr>
            <w:tcW w:w="4680" w:type="dxa"/>
          </w:tcPr>
          <w:p w14:paraId="0A7F264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0.042</w:t>
            </w:r>
          </w:p>
        </w:tc>
      </w:tr>
      <w:tr w14:paraId="02C3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9A7179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FBG</w:t>
            </w:r>
          </w:p>
        </w:tc>
        <w:tc>
          <w:tcPr>
            <w:tcW w:w="4680" w:type="dxa"/>
          </w:tcPr>
          <w:p w14:paraId="003D279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0.906</w:t>
            </w:r>
          </w:p>
        </w:tc>
      </w:tr>
      <w:tr w14:paraId="667D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AF6F9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HbA1c</w:t>
            </w:r>
          </w:p>
        </w:tc>
        <w:tc>
          <w:tcPr>
            <w:tcW w:w="4680" w:type="dxa"/>
          </w:tcPr>
          <w:p w14:paraId="68B019E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0.838</w:t>
            </w:r>
          </w:p>
        </w:tc>
      </w:tr>
      <w:tr w14:paraId="37F7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6D5F73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TC</w:t>
            </w:r>
          </w:p>
        </w:tc>
        <w:tc>
          <w:tcPr>
            <w:tcW w:w="4680" w:type="dxa"/>
          </w:tcPr>
          <w:p w14:paraId="63B61A3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0.254</w:t>
            </w:r>
          </w:p>
        </w:tc>
      </w:tr>
      <w:tr w14:paraId="51A1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74D777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TG</w:t>
            </w:r>
          </w:p>
        </w:tc>
        <w:tc>
          <w:tcPr>
            <w:tcW w:w="4680" w:type="dxa"/>
          </w:tcPr>
          <w:p w14:paraId="19C3E9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0.617</w:t>
            </w:r>
          </w:p>
        </w:tc>
      </w:tr>
      <w:tr w14:paraId="48A25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FA70F0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HDL_C</w:t>
            </w:r>
          </w:p>
        </w:tc>
        <w:tc>
          <w:tcPr>
            <w:tcW w:w="4680" w:type="dxa"/>
          </w:tcPr>
          <w:p w14:paraId="540D7B3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0.397</w:t>
            </w:r>
          </w:p>
        </w:tc>
      </w:tr>
      <w:tr w14:paraId="7DEC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C723CC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LDL_C</w:t>
            </w:r>
          </w:p>
        </w:tc>
        <w:tc>
          <w:tcPr>
            <w:tcW w:w="4680" w:type="dxa"/>
          </w:tcPr>
          <w:p w14:paraId="1AF2795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0.555</w:t>
            </w:r>
          </w:p>
        </w:tc>
      </w:tr>
      <w:tr w14:paraId="7993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43CE5D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ApoA1</w:t>
            </w:r>
          </w:p>
        </w:tc>
        <w:tc>
          <w:tcPr>
            <w:tcW w:w="4680" w:type="dxa"/>
          </w:tcPr>
          <w:p w14:paraId="3A67116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0.741</w:t>
            </w:r>
          </w:p>
        </w:tc>
      </w:tr>
    </w:tbl>
    <w:p w14:paraId="4692C3C9">
      <w:pPr>
        <w:jc w:val="left"/>
      </w:pPr>
      <w:r>
        <w:rPr>
          <w:rFonts w:ascii="Times New Roman" w:hAnsi="Times New Roman" w:eastAsia="Times New Roman"/>
          <w:b w:val="0"/>
          <w:i/>
          <w:sz w:val="20"/>
        </w:rPr>
        <w:t>Note: The Box–Tidwell test evaluates whether each continuous predictor satisfies the linearity assumption with the log-odds of LEAD. A P value &lt;0.05 suggests potential deviation from linearity.</w:t>
      </w:r>
    </w:p>
    <w:p w14:paraId="31A98185"/>
    <w:p w14:paraId="296BE05F">
      <w:pPr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Table S3. Sensitivity analysis of the association between Lp(a) (per 1 mg/dL) and LEAD after excluding collinear lipid covariates.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28825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4567072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Model specification</w:t>
            </w:r>
          </w:p>
        </w:tc>
        <w:tc>
          <w:tcPr>
            <w:tcW w:w="1872" w:type="dxa"/>
          </w:tcPr>
          <w:p w14:paraId="34E2AC1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OR</w:t>
            </w:r>
          </w:p>
        </w:tc>
        <w:tc>
          <w:tcPr>
            <w:tcW w:w="1872" w:type="dxa"/>
          </w:tcPr>
          <w:p w14:paraId="50DE1F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95% CI (low)</w:t>
            </w:r>
          </w:p>
        </w:tc>
        <w:tc>
          <w:tcPr>
            <w:tcW w:w="1872" w:type="dxa"/>
          </w:tcPr>
          <w:p w14:paraId="7D16CDC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95% CI (high)</w:t>
            </w:r>
          </w:p>
        </w:tc>
        <w:tc>
          <w:tcPr>
            <w:tcW w:w="1872" w:type="dxa"/>
          </w:tcPr>
          <w:p w14:paraId="73A9A92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P value</w:t>
            </w:r>
          </w:p>
        </w:tc>
      </w:tr>
      <w:tr w14:paraId="1001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4542C91D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Model3 original</w:t>
            </w:r>
          </w:p>
        </w:tc>
        <w:tc>
          <w:tcPr>
            <w:tcW w:w="1872" w:type="dxa"/>
          </w:tcPr>
          <w:p w14:paraId="6F518D1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1.02</w:t>
            </w:r>
          </w:p>
        </w:tc>
        <w:tc>
          <w:tcPr>
            <w:tcW w:w="1872" w:type="dxa"/>
          </w:tcPr>
          <w:p w14:paraId="371C016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</w:t>
            </w:r>
            <w:bookmarkStart w:id="0" w:name="_GoBack"/>
            <w:r>
              <w:rPr>
                <w:rFonts w:ascii="Times New Roman" w:hAnsi="Times New Roman" w:eastAsia="Times New Roman"/>
                <w:sz w:val="22"/>
              </w:rPr>
              <w:t>05</w:t>
            </w:r>
            <w:bookmarkEnd w:id="0"/>
          </w:p>
        </w:tc>
        <w:tc>
          <w:tcPr>
            <w:tcW w:w="1872" w:type="dxa"/>
          </w:tcPr>
          <w:p w14:paraId="0AD2EC2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1.036</w:t>
            </w:r>
          </w:p>
        </w:tc>
        <w:tc>
          <w:tcPr>
            <w:tcW w:w="1872" w:type="dxa"/>
          </w:tcPr>
          <w:p w14:paraId="0F20F0D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0.011</w:t>
            </w:r>
          </w:p>
        </w:tc>
      </w:tr>
      <w:tr w14:paraId="3DF8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C36678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Model3 minus TC</w:t>
            </w:r>
          </w:p>
        </w:tc>
        <w:tc>
          <w:tcPr>
            <w:tcW w:w="1872" w:type="dxa"/>
          </w:tcPr>
          <w:p w14:paraId="18016EC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1.02</w:t>
            </w:r>
          </w:p>
        </w:tc>
        <w:tc>
          <w:tcPr>
            <w:tcW w:w="1872" w:type="dxa"/>
          </w:tcPr>
          <w:p w14:paraId="2F93602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1.004</w:t>
            </w:r>
          </w:p>
        </w:tc>
        <w:tc>
          <w:tcPr>
            <w:tcW w:w="1872" w:type="dxa"/>
          </w:tcPr>
          <w:p w14:paraId="7B0E344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1.035</w:t>
            </w:r>
          </w:p>
        </w:tc>
        <w:tc>
          <w:tcPr>
            <w:tcW w:w="1872" w:type="dxa"/>
          </w:tcPr>
          <w:p w14:paraId="1580F7C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0.011</w:t>
            </w:r>
          </w:p>
        </w:tc>
      </w:tr>
      <w:tr w14:paraId="279C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4A0E817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Model3 minus LDL</w:t>
            </w:r>
          </w:p>
        </w:tc>
        <w:tc>
          <w:tcPr>
            <w:tcW w:w="1872" w:type="dxa"/>
          </w:tcPr>
          <w:p w14:paraId="61561FD6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1.02</w:t>
            </w:r>
          </w:p>
        </w:tc>
        <w:tc>
          <w:tcPr>
            <w:tcW w:w="1872" w:type="dxa"/>
          </w:tcPr>
          <w:p w14:paraId="60286CD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1.004</w:t>
            </w:r>
          </w:p>
        </w:tc>
        <w:tc>
          <w:tcPr>
            <w:tcW w:w="1872" w:type="dxa"/>
          </w:tcPr>
          <w:p w14:paraId="6FBE4FB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1.035</w:t>
            </w:r>
          </w:p>
        </w:tc>
        <w:tc>
          <w:tcPr>
            <w:tcW w:w="1872" w:type="dxa"/>
          </w:tcPr>
          <w:p w14:paraId="502B58A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0.011</w:t>
            </w:r>
          </w:p>
        </w:tc>
      </w:tr>
      <w:tr w14:paraId="03375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29A5CEEA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Model3 minus TC &amp; LDL</w:t>
            </w:r>
          </w:p>
        </w:tc>
        <w:tc>
          <w:tcPr>
            <w:tcW w:w="1872" w:type="dxa"/>
          </w:tcPr>
          <w:p w14:paraId="0538548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1.02</w:t>
            </w:r>
          </w:p>
        </w:tc>
        <w:tc>
          <w:tcPr>
            <w:tcW w:w="1872" w:type="dxa"/>
          </w:tcPr>
          <w:p w14:paraId="41B9E0B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1.004</w:t>
            </w:r>
          </w:p>
        </w:tc>
        <w:tc>
          <w:tcPr>
            <w:tcW w:w="1872" w:type="dxa"/>
          </w:tcPr>
          <w:p w14:paraId="6EA8FABF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1.035</w:t>
            </w:r>
          </w:p>
        </w:tc>
        <w:tc>
          <w:tcPr>
            <w:tcW w:w="1872" w:type="dxa"/>
          </w:tcPr>
          <w:p w14:paraId="5158C24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0.011</w:t>
            </w:r>
          </w:p>
        </w:tc>
      </w:tr>
    </w:tbl>
    <w:p w14:paraId="43B3BC9D">
      <w:pPr>
        <w:jc w:val="left"/>
      </w:pPr>
      <w:r>
        <w:rPr>
          <w:rFonts w:ascii="Times New Roman" w:hAnsi="Times New Roman" w:eastAsia="Times New Roman"/>
          <w:b w:val="0"/>
          <w:i/>
          <w:sz w:val="20"/>
        </w:rPr>
        <w:t>Note: Because TC and LDL-C showed higher VIFs, we repeated Model 3 excluding TC or LDL-C, respectively. The estimated association between Lp(a) and LEAD remained stable across specifications.</w:t>
      </w:r>
    </w:p>
    <w:p w14:paraId="0952CF6D"/>
    <w:p w14:paraId="7B35A899">
      <w:pPr>
        <w:jc w:val="left"/>
      </w:pPr>
      <w:r>
        <w:rPr>
          <w:rFonts w:ascii="Times New Roman" w:hAnsi="Times New Roman" w:eastAsia="Times New Roman"/>
          <w:b/>
          <w:i w:val="0"/>
          <w:sz w:val="24"/>
        </w:rPr>
        <w:t>Table S4. Summary of model fit and influence diagnostics for Model 3.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5B35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ADF678E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Metric</w:t>
            </w:r>
          </w:p>
        </w:tc>
        <w:tc>
          <w:tcPr>
            <w:tcW w:w="4680" w:type="dxa"/>
          </w:tcPr>
          <w:p w14:paraId="34F4575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Value</w:t>
            </w:r>
          </w:p>
        </w:tc>
      </w:tr>
      <w:tr w14:paraId="59ED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267348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N</w:t>
            </w:r>
          </w:p>
        </w:tc>
        <w:tc>
          <w:tcPr>
            <w:tcW w:w="4680" w:type="dxa"/>
          </w:tcPr>
          <w:p w14:paraId="666FCE0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468</w:t>
            </w:r>
          </w:p>
        </w:tc>
      </w:tr>
      <w:tr w14:paraId="73DE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1D7282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LEAD cases</w:t>
            </w:r>
          </w:p>
        </w:tc>
        <w:tc>
          <w:tcPr>
            <w:tcW w:w="4680" w:type="dxa"/>
          </w:tcPr>
          <w:p w14:paraId="36ADE837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288</w:t>
            </w:r>
          </w:p>
        </w:tc>
      </w:tr>
      <w:tr w14:paraId="75B9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80B1E8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AUC (ROC)</w:t>
            </w:r>
          </w:p>
        </w:tc>
        <w:tc>
          <w:tcPr>
            <w:tcW w:w="4680" w:type="dxa"/>
          </w:tcPr>
          <w:p w14:paraId="471C596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0.784</w:t>
            </w:r>
          </w:p>
        </w:tc>
      </w:tr>
      <w:tr w14:paraId="3905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B506F0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Brier score</w:t>
            </w:r>
          </w:p>
        </w:tc>
        <w:tc>
          <w:tcPr>
            <w:tcW w:w="4680" w:type="dxa"/>
          </w:tcPr>
          <w:p w14:paraId="69BCCD3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0.182</w:t>
            </w:r>
          </w:p>
        </w:tc>
      </w:tr>
      <w:tr w14:paraId="7690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81E6668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Hosmer-Lemeshow χ²</w:t>
            </w:r>
          </w:p>
        </w:tc>
        <w:tc>
          <w:tcPr>
            <w:tcW w:w="4680" w:type="dxa"/>
          </w:tcPr>
          <w:p w14:paraId="1DD43E9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5.87</w:t>
            </w:r>
          </w:p>
        </w:tc>
      </w:tr>
      <w:tr w14:paraId="6CE21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C2CCD93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Hosmer-Lemeshow df</w:t>
            </w:r>
          </w:p>
        </w:tc>
        <w:tc>
          <w:tcPr>
            <w:tcW w:w="4680" w:type="dxa"/>
          </w:tcPr>
          <w:p w14:paraId="2D955B0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8</w:t>
            </w:r>
          </w:p>
        </w:tc>
      </w:tr>
      <w:tr w14:paraId="37C6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138430C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Hosmer-Lemeshow p</w:t>
            </w:r>
          </w:p>
        </w:tc>
        <w:tc>
          <w:tcPr>
            <w:tcW w:w="4680" w:type="dxa"/>
          </w:tcPr>
          <w:p w14:paraId="16634142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0.662</w:t>
            </w:r>
          </w:p>
        </w:tc>
      </w:tr>
      <w:tr w14:paraId="7D5E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F0801E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Log-likelihood</w:t>
            </w:r>
          </w:p>
        </w:tc>
        <w:tc>
          <w:tcPr>
            <w:tcW w:w="4680" w:type="dxa"/>
          </w:tcPr>
          <w:p w14:paraId="58E2D4C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-254</w:t>
            </w:r>
          </w:p>
        </w:tc>
      </w:tr>
      <w:tr w14:paraId="010AF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FB1F14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AIC</w:t>
            </w:r>
          </w:p>
        </w:tc>
        <w:tc>
          <w:tcPr>
            <w:tcW w:w="4680" w:type="dxa"/>
          </w:tcPr>
          <w:p w14:paraId="55FE39D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543</w:t>
            </w:r>
          </w:p>
        </w:tc>
      </w:tr>
      <w:tr w14:paraId="3B1F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953B2B1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BIC</w:t>
            </w:r>
          </w:p>
        </w:tc>
        <w:tc>
          <w:tcPr>
            <w:tcW w:w="4680" w:type="dxa"/>
          </w:tcPr>
          <w:p w14:paraId="23C60235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614</w:t>
            </w:r>
          </w:p>
        </w:tc>
      </w:tr>
      <w:tr w14:paraId="3DE5D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33697DB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Cook's D &gt; 4/n (n)</w:t>
            </w:r>
          </w:p>
        </w:tc>
        <w:tc>
          <w:tcPr>
            <w:tcW w:w="4680" w:type="dxa"/>
          </w:tcPr>
          <w:p w14:paraId="1970C7E4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26</w:t>
            </w:r>
          </w:p>
        </w:tc>
      </w:tr>
      <w:tr w14:paraId="5D79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3BF3869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Leverage &gt; 2k/n (n)</w:t>
            </w:r>
          </w:p>
        </w:tc>
        <w:tc>
          <w:tcPr>
            <w:tcW w:w="4680" w:type="dxa"/>
          </w:tcPr>
          <w:p w14:paraId="36515580"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28</w:t>
            </w:r>
          </w:p>
        </w:tc>
      </w:tr>
    </w:tbl>
    <w:p w14:paraId="64A3347A">
      <w:pPr>
        <w:jc w:val="left"/>
      </w:pPr>
      <w:r>
        <w:rPr>
          <w:rFonts w:ascii="Times New Roman" w:hAnsi="Times New Roman" w:eastAsia="Times New Roman"/>
          <w:b w:val="0"/>
          <w:i/>
          <w:sz w:val="20"/>
        </w:rPr>
        <w:t>Note: AUC, area under the ROC curve; HL, Hosmer–Lemeshow goodness-of-fit test; Brier score, mean squared error of predicted probabilities. Influential observations were screened using Cook’s distance (&gt;4/n) and high leverage (&gt;2k/n), where k is the number of model parameters including the intercept.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83440C"/>
    <w:rsid w:val="6FC5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1831</Characters>
  <Lines>0</Lines>
  <Paragraphs>0</Paragraphs>
  <TotalTime>10</TotalTime>
  <ScaleCrop>false</ScaleCrop>
  <LinksUpToDate>false</LinksUpToDate>
  <CharactersWithSpaces>2044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liuri</cp:lastModifiedBy>
  <dcterms:modified xsi:type="dcterms:W3CDTF">2026-01-18T22:20:55Z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5D98575896D84FE59E15577047F1AF10_13</vt:lpwstr>
  </property>
</Properties>
</file>