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EFB36" w14:textId="77777777" w:rsidR="0085007C" w:rsidRPr="0085007C" w:rsidRDefault="0085007C" w:rsidP="0085007C">
      <w:pPr>
        <w:pStyle w:val="a3"/>
        <w:spacing w:before="0" w:beforeAutospacing="0" w:after="0" w:afterAutospacing="0" w:line="480" w:lineRule="auto"/>
        <w:ind w:firstLine="720"/>
        <w:jc w:val="both"/>
        <w:rPr>
          <w:lang w:val="en-GB"/>
        </w:rPr>
      </w:pPr>
      <w:r w:rsidRPr="0085007C">
        <w:rPr>
          <w:rStyle w:val="a4"/>
          <w:b w:val="0"/>
          <w:bCs w:val="0"/>
          <w:lang w:val="en-GB"/>
        </w:rPr>
        <w:t>Supplementary Material</w:t>
      </w:r>
    </w:p>
    <w:p w14:paraId="2FD80E8D" w14:textId="6BA0FFF1" w:rsidR="0085007C" w:rsidRPr="0085007C" w:rsidRDefault="0085007C" w:rsidP="0085007C">
      <w:pPr>
        <w:pStyle w:val="a3"/>
        <w:spacing w:before="0" w:beforeAutospacing="0" w:after="0" w:afterAutospacing="0" w:line="480" w:lineRule="auto"/>
        <w:ind w:firstLine="720"/>
        <w:jc w:val="both"/>
        <w:rPr>
          <w:lang w:val="en-GB"/>
        </w:rPr>
      </w:pPr>
      <w:r w:rsidRPr="0085007C">
        <w:rPr>
          <w:rStyle w:val="a4"/>
          <w:b w:val="0"/>
          <w:bCs w:val="0"/>
          <w:lang w:val="en-GB"/>
        </w:rPr>
        <w:t xml:space="preserve">Supplementary Table S1. </w:t>
      </w:r>
      <w:r>
        <w:rPr>
          <w:rStyle w:val="a4"/>
          <w:b w:val="0"/>
          <w:bCs w:val="0"/>
          <w:lang w:val="en-GB"/>
        </w:rPr>
        <w:t>D</w:t>
      </w:r>
      <w:r w:rsidRPr="0085007C">
        <w:rPr>
          <w:rStyle w:val="a4"/>
          <w:b w:val="0"/>
          <w:bCs w:val="0"/>
          <w:lang w:val="en-GB"/>
        </w:rPr>
        <w:t>ataset of the study cohort (n=124 neonates)</w:t>
      </w:r>
      <w:r w:rsidRPr="0085007C">
        <w:rPr>
          <w:lang w:val="en-GB"/>
        </w:rPr>
        <w:t xml:space="preserve"> This table presents de-identified patient-level data used for sensitivity analyses. Age was excluded from primary multivariable models (logistic and Cox regression) to assess potential collinearity with surgical timing, illness severity, and CPB duration. In sensitivity analyses excluding postnatal age, the association between age and AKI became non-significant, supporting the interpretation that observed age effects in primary models likely reflect residual confounding rather than independent biological risk.</w:t>
      </w:r>
    </w:p>
    <w:p w14:paraId="1E0323C4" w14:textId="77777777" w:rsidR="007D4D1E" w:rsidRPr="0085007C" w:rsidRDefault="0085007C" w:rsidP="0085007C">
      <w:pPr>
        <w:spacing w:after="0" w:line="480" w:lineRule="auto"/>
        <w:ind w:firstLine="720"/>
        <w:jc w:val="both"/>
        <w:rPr>
          <w:lang w:val="en-GB"/>
        </w:rPr>
      </w:pPr>
    </w:p>
    <w:sectPr w:rsidR="007D4D1E" w:rsidRPr="008500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A64"/>
    <w:rsid w:val="000E4FC9"/>
    <w:rsid w:val="00634186"/>
    <w:rsid w:val="007E3A64"/>
    <w:rsid w:val="0085007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132F"/>
  <w15:chartTrackingRefBased/>
  <w15:docId w15:val="{42A5A9B2-6667-4040-8D15-98655817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007C"/>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character" w:styleId="a4">
    <w:name w:val="Strong"/>
    <w:basedOn w:val="a0"/>
    <w:uiPriority w:val="22"/>
    <w:qFormat/>
    <w:rsid w:val="008500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Stukalyuk</dc:creator>
  <cp:keywords/>
  <dc:description/>
  <cp:lastModifiedBy>Stanislav Stukalyuk</cp:lastModifiedBy>
  <cp:revision>2</cp:revision>
  <dcterms:created xsi:type="dcterms:W3CDTF">2026-01-12T07:28:00Z</dcterms:created>
  <dcterms:modified xsi:type="dcterms:W3CDTF">2026-01-12T07:29:00Z</dcterms:modified>
</cp:coreProperties>
</file>