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DA84E" w14:textId="07A7A17E" w:rsidR="001C171B" w:rsidRDefault="001C171B" w:rsidP="00A34CBA">
      <w:pPr>
        <w:widowControl w:val="0"/>
        <w:autoSpaceDE w:val="0"/>
        <w:autoSpaceDN w:val="0"/>
        <w:adjustRightInd w:val="0"/>
        <w:spacing w:after="24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214545685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Appendix E1</w:t>
      </w:r>
    </w:p>
    <w:bookmarkEnd w:id="0"/>
    <w:p w14:paraId="495BFE45" w14:textId="0BAF1932" w:rsidR="001C171B" w:rsidRPr="006A3A5B" w:rsidRDefault="001C171B" w:rsidP="001C171B">
      <w:pPr>
        <w:widowControl w:val="0"/>
        <w:spacing w:line="480" w:lineRule="auto"/>
        <w:jc w:val="both"/>
        <w:rPr>
          <w:rFonts w:ascii="Times New Roman" w:hAnsi="Times New Roman" w:cs="Times New Roman"/>
        </w:rPr>
      </w:pPr>
      <w:r w:rsidRPr="006A3A5B">
        <w:rPr>
          <w:rFonts w:ascii="Times New Roman" w:hAnsi="Times New Roman" w:cs="Times New Roman"/>
          <w:b/>
          <w:bCs/>
          <w:sz w:val="28"/>
          <w:szCs w:val="28"/>
        </w:rPr>
        <w:t xml:space="preserve">Methods </w:t>
      </w:r>
      <w:r w:rsidR="00392458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6A3A5B">
        <w:rPr>
          <w:rFonts w:ascii="Times New Roman" w:hAnsi="Times New Roman" w:cs="Times New Roman"/>
          <w:b/>
          <w:bCs/>
          <w:sz w:val="28"/>
          <w:szCs w:val="28"/>
        </w:rPr>
        <w:t xml:space="preserve">nd Materials </w:t>
      </w:r>
    </w:p>
    <w:p w14:paraId="69368836" w14:textId="08A57F48" w:rsidR="001C171B" w:rsidRDefault="001C171B" w:rsidP="001C171B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A3A5B">
        <w:rPr>
          <w:rFonts w:ascii="Times New Roman" w:hAnsi="Times New Roman" w:cs="Times New Roman"/>
          <w:b/>
          <w:bCs/>
        </w:rPr>
        <w:t xml:space="preserve">Study </w:t>
      </w:r>
      <w:r w:rsidR="00392458">
        <w:rPr>
          <w:rFonts w:ascii="Times New Roman" w:hAnsi="Times New Roman" w:cs="Times New Roman"/>
          <w:b/>
          <w:bCs/>
        </w:rPr>
        <w:t>Population</w:t>
      </w:r>
    </w:p>
    <w:p w14:paraId="690288A7" w14:textId="48AB1143" w:rsidR="001C171B" w:rsidRPr="00DC218D" w:rsidRDefault="001C171B" w:rsidP="00C61A85">
      <w:pPr>
        <w:widowControl w:val="0"/>
        <w:spacing w:line="480" w:lineRule="auto"/>
        <w:ind w:firstLine="567"/>
        <w:jc w:val="both"/>
        <w:rPr>
          <w:rFonts w:asciiTheme="majorBidi" w:hAnsiTheme="majorBidi" w:cstheme="majorBidi"/>
          <w:color w:val="000000" w:themeColor="text1"/>
          <w:kern w:val="2"/>
        </w:rPr>
      </w:pPr>
      <w:r w:rsidRPr="00DC218D">
        <w:rPr>
          <w:rFonts w:asciiTheme="majorBidi" w:hAnsiTheme="majorBidi" w:cstheme="majorBidi"/>
          <w:color w:val="000000" w:themeColor="text1"/>
          <w:kern w:val="2"/>
        </w:rPr>
        <w:t>The exclusion criteria were: (1)</w:t>
      </w:r>
      <w:r w:rsidR="00C61A85" w:rsidRPr="00DC218D">
        <w:rPr>
          <w:rFonts w:asciiTheme="majorBidi" w:hAnsiTheme="majorBidi" w:cstheme="majorBidi"/>
          <w:color w:val="000000" w:themeColor="text1"/>
          <w:kern w:val="2"/>
        </w:rPr>
        <w:t xml:space="preserve"> Significant coronary artery disease, defined as luminal stenosis &gt;50% on coronary angiography or coronary computed tomography, or evidence of an ischemic late gadolinium enhancement (LGE) pattern (e.g., perfusion defects or segmental endocardial LGE); (2) primary valvular disease; (3) evidence of cardiac amyloidosis, sarcoidosis, myocarditis, hypertensive heart disease, end-stage hypertrophic cardiomyopathy, tachycardia-induced cardiomyopathy, or arrhythmogenic right ventricular cardiomyopathy; (4) congenital heart disease or inflammatory/inﬁltrative diseases; (5) inadequate image quality, presence of arrhythmia, loss to follow-up, or unwillingness to participate; and (6) contraindications for CMR examination or an estimated glomerular filtration rate &lt; 30 ml/min/1.73 m2. </w:t>
      </w: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 </w:t>
      </w:r>
    </w:p>
    <w:p w14:paraId="716F3FEA" w14:textId="2FD4A423" w:rsidR="00926F5E" w:rsidRPr="004F3353" w:rsidRDefault="00926F5E" w:rsidP="00926F5E">
      <w:pPr>
        <w:widowControl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bookmarkStart w:id="1" w:name="_Hlk185414261"/>
      <w:r w:rsidRPr="004F3353">
        <w:rPr>
          <w:rFonts w:asciiTheme="majorBidi" w:hAnsiTheme="majorBidi" w:cstheme="majorBidi"/>
          <w:b/>
          <w:bCs/>
        </w:rPr>
        <w:t>MRI Acquisition</w:t>
      </w:r>
    </w:p>
    <w:p w14:paraId="53F3EF1D" w14:textId="76AA2AAA" w:rsidR="00926F5E" w:rsidRPr="00DC218D" w:rsidRDefault="005261C7" w:rsidP="00926F5E">
      <w:pPr>
        <w:widowControl w:val="0"/>
        <w:spacing w:line="480" w:lineRule="auto"/>
        <w:ind w:firstLine="567"/>
        <w:jc w:val="both"/>
        <w:rPr>
          <w:rFonts w:asciiTheme="majorBidi" w:hAnsiTheme="majorBidi" w:cstheme="majorBidi"/>
          <w:color w:val="000000" w:themeColor="text1"/>
          <w:kern w:val="2"/>
        </w:rPr>
      </w:pP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All </w:t>
      </w:r>
      <w:r w:rsidR="00926F5E" w:rsidRPr="00DC218D">
        <w:rPr>
          <w:rFonts w:asciiTheme="majorBidi" w:hAnsiTheme="majorBidi" w:cstheme="majorBidi"/>
          <w:color w:val="000000" w:themeColor="text1"/>
          <w:kern w:val="2"/>
        </w:rPr>
        <w:t>CMR imaging was acquired using a 3.0-T scanner (MAGNETOM Trio or Skyra, Siemens Healthcare, Erlangen, Germany) with a 32-channel cardiac coil or a 30-channel body coil. Cine images were acquired during multiple breath holds using balanced steady-state free precession imaging with electrocardiographic gating. Short-axis images covered the entire LV, while long</w:t>
      </w:r>
      <w:r w:rsidR="00926F5E" w:rsidRPr="00DC218D">
        <w:rPr>
          <w:rFonts w:asciiTheme="majorBidi" w:hAnsiTheme="majorBidi" w:cstheme="majorBidi"/>
          <w:color w:val="000000" w:themeColor="text1"/>
          <w:kern w:val="2"/>
        </w:rPr>
        <w:noBreakHyphen/>
        <w:t>axis views were obtained as follows: the four-chamber view was acquired from the vertical long</w:t>
      </w:r>
      <w:r w:rsidR="00926F5E" w:rsidRPr="00DC218D">
        <w:rPr>
          <w:rFonts w:asciiTheme="majorBidi" w:hAnsiTheme="majorBidi" w:cstheme="majorBidi"/>
          <w:color w:val="000000" w:themeColor="text1"/>
          <w:kern w:val="2"/>
        </w:rPr>
        <w:noBreakHyphen/>
        <w:t>axis scout, passing through the interior and anterior myocardial walls, and the two</w:t>
      </w:r>
      <w:r w:rsidR="00926F5E" w:rsidRPr="00DC218D">
        <w:rPr>
          <w:rFonts w:asciiTheme="majorBidi" w:hAnsiTheme="majorBidi" w:cstheme="majorBidi"/>
          <w:color w:val="000000" w:themeColor="text1"/>
          <w:kern w:val="2"/>
        </w:rPr>
        <w:noBreakHyphen/>
        <w:t xml:space="preserve">chamber view was acquired through the center of the tricuspid and mitral valves and the apex. </w:t>
      </w:r>
    </w:p>
    <w:p w14:paraId="5C2D3FA3" w14:textId="0BA9B027" w:rsidR="001C3EBD" w:rsidRPr="00DC218D" w:rsidRDefault="00926F5E" w:rsidP="005261C7">
      <w:pPr>
        <w:widowControl w:val="0"/>
        <w:spacing w:line="480" w:lineRule="auto"/>
        <w:ind w:firstLine="567"/>
        <w:jc w:val="both"/>
        <w:rPr>
          <w:rFonts w:asciiTheme="majorBidi" w:hAnsiTheme="majorBidi" w:cstheme="majorBidi"/>
          <w:color w:val="000000" w:themeColor="text1"/>
          <w:kern w:val="2"/>
        </w:rPr>
      </w:pP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The acquisition parameters were as follows: field of view, 280 × 340 mm2; repetition time, 2.6 ms; echo time, 1.3 ms; flip angle, 50°; matrix size, 256 × 144; slice thickness, 8 mm with no gap; temporal resolution, 42 ms; in-plane spatial resolution reconstruction, 1.4 mm × </w:t>
      </w:r>
      <w:r w:rsidRPr="00DC218D">
        <w:rPr>
          <w:rFonts w:asciiTheme="majorBidi" w:hAnsiTheme="majorBidi" w:cstheme="majorBidi"/>
          <w:color w:val="000000" w:themeColor="text1"/>
          <w:kern w:val="2"/>
        </w:rPr>
        <w:lastRenderedPageBreak/>
        <w:t>1.3 mm. Fifteen minutes after gadolinium (Magnevist; Bayer Schering Pharma) injection with a 0.15 mmol/kg bolus, Late gadolinium enhancement (LGE) images were acquired in the long-axis and consecutive short-axis planes using phase-sensitive inversion recovery (PSIR) gradient-echo sequence, covering the entire LV. The typical scan parameters of LGE images were as follows: repetition time, 700 ms; echo time, 2.0 ms; delay time after inversion pulse, 300–380 ms; flip angle, 20°; field of view, 260 × 340 mm2; matrix size, 116 × 192; and slice thickness, 8 mm.</w:t>
      </w:r>
      <w:bookmarkEnd w:id="1"/>
    </w:p>
    <w:p w14:paraId="0FD4C48A" w14:textId="429A3260" w:rsidR="00AA2A67" w:rsidRPr="007825EB" w:rsidRDefault="00AA2A67" w:rsidP="00AA2A67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A67">
        <w:rPr>
          <w:rFonts w:ascii="Times New Roman" w:hAnsi="Times New Roman" w:cs="Times New Roman"/>
          <w:b/>
          <w:bCs/>
          <w:sz w:val="28"/>
          <w:szCs w:val="28"/>
        </w:rPr>
        <w:t>Results</w:t>
      </w:r>
    </w:p>
    <w:p w14:paraId="289DB747" w14:textId="1635CA6A" w:rsidR="00D571D7" w:rsidRDefault="00D571D7" w:rsidP="00D571D7">
      <w:pPr>
        <w:widowControl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4F3353">
        <w:rPr>
          <w:rFonts w:asciiTheme="majorBidi" w:hAnsiTheme="majorBidi" w:cstheme="majorBidi"/>
          <w:b/>
          <w:bCs/>
        </w:rPr>
        <w:t xml:space="preserve">LACI </w:t>
      </w:r>
      <w:r w:rsidR="00392458" w:rsidRPr="004F3353">
        <w:rPr>
          <w:rFonts w:asciiTheme="majorBidi" w:hAnsiTheme="majorBidi" w:cstheme="majorBidi"/>
          <w:b/>
          <w:bCs/>
        </w:rPr>
        <w:t xml:space="preserve">Survival Analysis </w:t>
      </w:r>
      <w:r w:rsidR="00392458">
        <w:rPr>
          <w:rFonts w:asciiTheme="majorBidi" w:hAnsiTheme="majorBidi" w:cstheme="majorBidi"/>
          <w:b/>
          <w:bCs/>
        </w:rPr>
        <w:t>i</w:t>
      </w:r>
      <w:r w:rsidR="00392458" w:rsidRPr="004F3353">
        <w:rPr>
          <w:rFonts w:asciiTheme="majorBidi" w:hAnsiTheme="majorBidi" w:cstheme="majorBidi"/>
          <w:b/>
          <w:bCs/>
        </w:rPr>
        <w:t xml:space="preserve">n </w:t>
      </w:r>
      <w:r w:rsidRPr="004F3353">
        <w:rPr>
          <w:rFonts w:asciiTheme="majorBidi" w:hAnsiTheme="majorBidi" w:cstheme="majorBidi"/>
          <w:b/>
          <w:bCs/>
        </w:rPr>
        <w:t>CMR</w:t>
      </w:r>
    </w:p>
    <w:p w14:paraId="38A87525" w14:textId="154738B2" w:rsidR="00D571D7" w:rsidRPr="00DC218D" w:rsidRDefault="002347A2" w:rsidP="007825EB">
      <w:pPr>
        <w:widowControl w:val="0"/>
        <w:spacing w:line="480" w:lineRule="auto"/>
        <w:ind w:firstLine="567"/>
        <w:jc w:val="both"/>
        <w:rPr>
          <w:rFonts w:asciiTheme="majorBidi" w:hAnsiTheme="majorBidi" w:cstheme="majorBidi"/>
          <w:color w:val="000000" w:themeColor="text1"/>
          <w:kern w:val="2"/>
        </w:rPr>
      </w:pPr>
      <w:r w:rsidRPr="00DC218D">
        <w:rPr>
          <w:rFonts w:asciiTheme="majorBidi" w:hAnsiTheme="majorBidi" w:cstheme="majorBidi"/>
          <w:color w:val="000000" w:themeColor="text1"/>
          <w:kern w:val="2"/>
        </w:rPr>
        <w:t>The Kaplan-Meier survival curve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>s</w:t>
      </w: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 for HF readmission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, HF death, 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 xml:space="preserve">and 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SCD </w:t>
      </w: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stratified by LACI 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>are</w:t>
      </w: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 presented in Figure S1, 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Figure S2, Figure S3, </w:t>
      </w:r>
      <w:r w:rsidRPr="00DC218D">
        <w:rPr>
          <w:rFonts w:asciiTheme="majorBidi" w:hAnsiTheme="majorBidi" w:cstheme="majorBidi"/>
          <w:color w:val="000000" w:themeColor="text1"/>
          <w:kern w:val="2"/>
        </w:rPr>
        <w:t xml:space="preserve">demonstrating significantly lower event-free survival in patients with LACI &gt; 30% </w:t>
      </w:r>
      <w:bookmarkStart w:id="2" w:name="_Hlk214554229"/>
      <w:r w:rsidRPr="00DC218D">
        <w:rPr>
          <w:rFonts w:asciiTheme="majorBidi" w:hAnsiTheme="majorBidi" w:cstheme="majorBidi"/>
          <w:color w:val="000000" w:themeColor="text1"/>
          <w:kern w:val="2"/>
        </w:rPr>
        <w:t>(P = 0.004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>, P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 xml:space="preserve"> 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>&lt; 0.001, P = 0.092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>,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 respectively</w:t>
      </w:r>
      <w:r w:rsidRPr="00DC218D">
        <w:rPr>
          <w:rFonts w:asciiTheme="majorBidi" w:hAnsiTheme="majorBidi" w:cstheme="majorBidi"/>
          <w:color w:val="000000" w:themeColor="text1"/>
          <w:kern w:val="2"/>
        </w:rPr>
        <w:t>).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 </w:t>
      </w:r>
      <w:bookmarkStart w:id="3" w:name="_Hlk214554160"/>
      <w:bookmarkEnd w:id="2"/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 xml:space="preserve">These 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>res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>ults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 show significant </w:t>
      </w:r>
      <w:r w:rsidR="00F025F8" w:rsidRPr="00DC218D">
        <w:rPr>
          <w:rFonts w:asciiTheme="majorBidi" w:hAnsiTheme="majorBidi" w:cstheme="majorBidi"/>
          <w:color w:val="000000" w:themeColor="text1"/>
          <w:kern w:val="2"/>
        </w:rPr>
        <w:t>outcomes for</w:t>
      </w:r>
      <w:r w:rsidR="00AA62D9" w:rsidRPr="00DC218D">
        <w:rPr>
          <w:rFonts w:asciiTheme="majorBidi" w:hAnsiTheme="majorBidi" w:cstheme="majorBidi"/>
          <w:color w:val="000000" w:themeColor="text1"/>
          <w:kern w:val="2"/>
        </w:rPr>
        <w:t xml:space="preserve"> HF readmission, HF death but not for SCD.</w:t>
      </w:r>
      <w:bookmarkEnd w:id="3"/>
    </w:p>
    <w:p w14:paraId="6D346BAA" w14:textId="585E90FF" w:rsidR="007825EB" w:rsidRDefault="002E1E46" w:rsidP="007825EB">
      <w:pPr>
        <w:widowControl w:val="0"/>
        <w:spacing w:line="480" w:lineRule="auto"/>
        <w:jc w:val="both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BF71140" wp14:editId="419F4785">
            <wp:extent cx="5137508" cy="4142509"/>
            <wp:effectExtent l="0" t="0" r="6350" b="0"/>
            <wp:docPr id="461899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73" cy="41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B5F8" w14:textId="33238070" w:rsidR="007825EB" w:rsidRDefault="002E1E46" w:rsidP="007825EB">
      <w:pPr>
        <w:widowControl w:val="0"/>
        <w:spacing w:line="480" w:lineRule="auto"/>
        <w:jc w:val="both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30823E20" wp14:editId="7F5D62BF">
            <wp:extent cx="5308600" cy="4105467"/>
            <wp:effectExtent l="0" t="0" r="6350" b="9525"/>
            <wp:docPr id="16528094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15" cy="41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0559" w14:textId="77777777" w:rsidR="00DC218D" w:rsidRDefault="00DC218D" w:rsidP="007825EB">
      <w:pPr>
        <w:widowControl w:val="0"/>
        <w:spacing w:line="480" w:lineRule="auto"/>
        <w:jc w:val="both"/>
        <w:rPr>
          <w:rFonts w:asciiTheme="majorBidi" w:hAnsiTheme="majorBidi" w:cstheme="majorBidi"/>
        </w:rPr>
      </w:pPr>
    </w:p>
    <w:p w14:paraId="1D2F98F7" w14:textId="526280D1" w:rsidR="00DC218D" w:rsidRDefault="002E1E46" w:rsidP="007825EB">
      <w:pPr>
        <w:widowControl w:val="0"/>
        <w:spacing w:line="480" w:lineRule="auto"/>
        <w:jc w:val="both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22E304EA" wp14:editId="3CA24341">
            <wp:extent cx="5157655" cy="4106333"/>
            <wp:effectExtent l="0" t="0" r="5080" b="8890"/>
            <wp:docPr id="334846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83" cy="412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755CE" w14:textId="77777777" w:rsidR="006A05F7" w:rsidRDefault="006A05F7" w:rsidP="00A34CBA">
      <w:r>
        <w:separator/>
      </w:r>
    </w:p>
  </w:endnote>
  <w:endnote w:type="continuationSeparator" w:id="0">
    <w:p w14:paraId="4F410D1C" w14:textId="77777777" w:rsidR="006A05F7" w:rsidRDefault="006A05F7" w:rsidP="00A3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24BB" w14:textId="77777777" w:rsidR="006A05F7" w:rsidRDefault="006A05F7" w:rsidP="00A34CBA">
      <w:r>
        <w:separator/>
      </w:r>
    </w:p>
  </w:footnote>
  <w:footnote w:type="continuationSeparator" w:id="0">
    <w:p w14:paraId="2A3E2541" w14:textId="77777777" w:rsidR="006A05F7" w:rsidRDefault="006A05F7" w:rsidP="00A34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2E"/>
    <w:rsid w:val="0000595B"/>
    <w:rsid w:val="00044A6E"/>
    <w:rsid w:val="00044C45"/>
    <w:rsid w:val="000621D5"/>
    <w:rsid w:val="00080200"/>
    <w:rsid w:val="000A5038"/>
    <w:rsid w:val="001B1EE5"/>
    <w:rsid w:val="001B489C"/>
    <w:rsid w:val="001C171B"/>
    <w:rsid w:val="001C3EBD"/>
    <w:rsid w:val="001D5A98"/>
    <w:rsid w:val="00203D2B"/>
    <w:rsid w:val="002347A2"/>
    <w:rsid w:val="00251F1B"/>
    <w:rsid w:val="002D5BC8"/>
    <w:rsid w:val="002E10AC"/>
    <w:rsid w:val="002E1E46"/>
    <w:rsid w:val="002E452E"/>
    <w:rsid w:val="002F3633"/>
    <w:rsid w:val="00323206"/>
    <w:rsid w:val="00392458"/>
    <w:rsid w:val="003D3219"/>
    <w:rsid w:val="003E4A19"/>
    <w:rsid w:val="00470BC3"/>
    <w:rsid w:val="004951D8"/>
    <w:rsid w:val="004C59B3"/>
    <w:rsid w:val="00515E4B"/>
    <w:rsid w:val="00524084"/>
    <w:rsid w:val="005261C7"/>
    <w:rsid w:val="00547187"/>
    <w:rsid w:val="005507F8"/>
    <w:rsid w:val="00563886"/>
    <w:rsid w:val="005A6179"/>
    <w:rsid w:val="0061079F"/>
    <w:rsid w:val="006207CA"/>
    <w:rsid w:val="006A05F7"/>
    <w:rsid w:val="006C531F"/>
    <w:rsid w:val="006E07A0"/>
    <w:rsid w:val="006F0A94"/>
    <w:rsid w:val="00712CB5"/>
    <w:rsid w:val="00716EAE"/>
    <w:rsid w:val="00716F8F"/>
    <w:rsid w:val="00730C73"/>
    <w:rsid w:val="007333C0"/>
    <w:rsid w:val="007532F1"/>
    <w:rsid w:val="00763A8C"/>
    <w:rsid w:val="007825EB"/>
    <w:rsid w:val="007A69F1"/>
    <w:rsid w:val="007D06BC"/>
    <w:rsid w:val="008839C4"/>
    <w:rsid w:val="008A1AD1"/>
    <w:rsid w:val="009127D1"/>
    <w:rsid w:val="00926F5E"/>
    <w:rsid w:val="0093229E"/>
    <w:rsid w:val="00941668"/>
    <w:rsid w:val="0096432F"/>
    <w:rsid w:val="009A5C50"/>
    <w:rsid w:val="009F503C"/>
    <w:rsid w:val="00A24E7B"/>
    <w:rsid w:val="00A34CBA"/>
    <w:rsid w:val="00A54819"/>
    <w:rsid w:val="00A70188"/>
    <w:rsid w:val="00A7631B"/>
    <w:rsid w:val="00AA2A67"/>
    <w:rsid w:val="00AA62D9"/>
    <w:rsid w:val="00AE5C4B"/>
    <w:rsid w:val="00B0652E"/>
    <w:rsid w:val="00B402E1"/>
    <w:rsid w:val="00B6691F"/>
    <w:rsid w:val="00B91A74"/>
    <w:rsid w:val="00BA74DE"/>
    <w:rsid w:val="00BE1B33"/>
    <w:rsid w:val="00C11EB2"/>
    <w:rsid w:val="00C2030F"/>
    <w:rsid w:val="00C61A85"/>
    <w:rsid w:val="00C80615"/>
    <w:rsid w:val="00CB1D26"/>
    <w:rsid w:val="00CB4CFA"/>
    <w:rsid w:val="00CC2EEA"/>
    <w:rsid w:val="00D56045"/>
    <w:rsid w:val="00D571D7"/>
    <w:rsid w:val="00DA3561"/>
    <w:rsid w:val="00DC218D"/>
    <w:rsid w:val="00DE5DF1"/>
    <w:rsid w:val="00EC7B7E"/>
    <w:rsid w:val="00F025F8"/>
    <w:rsid w:val="00F907B8"/>
    <w:rsid w:val="00F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FB209"/>
  <w15:chartTrackingRefBased/>
  <w15:docId w15:val="{4101AA96-2652-4251-A4AD-91038F2E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A67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CBA"/>
    <w:pPr>
      <w:tabs>
        <w:tab w:val="center" w:pos="4513"/>
        <w:tab w:val="right" w:pos="9026"/>
      </w:tabs>
    </w:pPr>
    <w:rPr>
      <w:kern w:val="2"/>
      <w:sz w:val="22"/>
      <w:szCs w:val="2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34CBA"/>
  </w:style>
  <w:style w:type="paragraph" w:styleId="Footer">
    <w:name w:val="footer"/>
    <w:basedOn w:val="Normal"/>
    <w:link w:val="FooterChar"/>
    <w:uiPriority w:val="99"/>
    <w:unhideWhenUsed/>
    <w:rsid w:val="00A34CBA"/>
    <w:pPr>
      <w:tabs>
        <w:tab w:val="center" w:pos="4513"/>
        <w:tab w:val="right" w:pos="9026"/>
      </w:tabs>
    </w:pPr>
    <w:rPr>
      <w:kern w:val="2"/>
      <w:sz w:val="22"/>
      <w:szCs w:val="2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34CBA"/>
  </w:style>
  <w:style w:type="paragraph" w:styleId="NormalWeb">
    <w:name w:val="Normal (Web)"/>
    <w:basedOn w:val="Normal"/>
    <w:uiPriority w:val="99"/>
    <w:unhideWhenUsed/>
    <w:rsid w:val="001C3EBD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1C3EBD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03D2B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7631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7631B"/>
    <w:rPr>
      <w:rFonts w:ascii="Arial-ItalicMT" w:hAnsi="Arial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A7631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A7631B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B4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CFA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CFA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D571D7"/>
    <w:pPr>
      <w:spacing w:after="0" w:line="240" w:lineRule="auto"/>
    </w:pPr>
    <w:rPr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5039">
          <w:marLeft w:val="0"/>
          <w:marRight w:val="0"/>
          <w:marTop w:val="7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2945">
              <w:marLeft w:val="0"/>
              <w:marRight w:val="0"/>
              <w:marTop w:val="0"/>
              <w:marBottom w:val="0"/>
              <w:divBdr>
                <w:top w:val="single" w:sz="6" w:space="4" w:color="DCDFE6"/>
                <w:left w:val="single" w:sz="6" w:space="11" w:color="DCDFE6"/>
                <w:bottom w:val="single" w:sz="6" w:space="4" w:color="DCDFE6"/>
                <w:right w:val="single" w:sz="6" w:space="11" w:color="DCDFE6"/>
              </w:divBdr>
            </w:div>
          </w:divsChild>
        </w:div>
      </w:divsChild>
    </w:div>
    <w:div w:id="1190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1182">
          <w:marLeft w:val="0"/>
          <w:marRight w:val="0"/>
          <w:marTop w:val="7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8597">
              <w:marLeft w:val="0"/>
              <w:marRight w:val="0"/>
              <w:marTop w:val="0"/>
              <w:marBottom w:val="0"/>
              <w:divBdr>
                <w:top w:val="single" w:sz="6" w:space="4" w:color="DCDFE6"/>
                <w:left w:val="single" w:sz="6" w:space="11" w:color="DCDFE6"/>
                <w:bottom w:val="single" w:sz="6" w:space="4" w:color="DCDFE6"/>
                <w:right w:val="single" w:sz="6" w:space="11" w:color="DCDFE6"/>
              </w:divBdr>
            </w:div>
          </w:divsChild>
        </w:div>
      </w:divsChild>
    </w:div>
    <w:div w:id="16548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ghaithan saeed</dc:creator>
  <cp:keywords/>
  <dc:description/>
  <cp:lastModifiedBy>ghaithan saeed</cp:lastModifiedBy>
  <cp:revision>13</cp:revision>
  <dcterms:created xsi:type="dcterms:W3CDTF">2025-03-26T07:49:00Z</dcterms:created>
  <dcterms:modified xsi:type="dcterms:W3CDTF">2025-11-21T12:09:00Z</dcterms:modified>
</cp:coreProperties>
</file>