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271F" w14:textId="77777777" w:rsidR="00FE518C" w:rsidRPr="00FE518C" w:rsidRDefault="00FE518C" w:rsidP="00FE518C">
      <w:pPr>
        <w:rPr>
          <w:rFonts w:ascii="Times New Roman" w:eastAsia="Calibri" w:hAnsi="Times New Roman" w:cs="Times New Roman"/>
          <w:b/>
          <w:bCs/>
        </w:rPr>
      </w:pPr>
      <w:r w:rsidRPr="00FE518C">
        <w:rPr>
          <w:rFonts w:ascii="Times New Roman" w:eastAsia="Calibri" w:hAnsi="Times New Roman" w:cs="Times New Roman"/>
          <w:b/>
          <w:bCs/>
        </w:rPr>
        <w:t>APPENDIX A: Search Strategy</w:t>
      </w:r>
    </w:p>
    <w:p w14:paraId="6DA0AAD9" w14:textId="77777777" w:rsidR="00FE518C" w:rsidRPr="00FE518C" w:rsidRDefault="00FE518C" w:rsidP="00FE518C">
      <w:pPr>
        <w:rPr>
          <w:rFonts w:ascii="Times New Roman" w:eastAsia="Calibri" w:hAnsi="Times New Roman" w:cs="Times New Roman"/>
          <w:b/>
          <w:bCs/>
        </w:rPr>
      </w:pPr>
      <w:r w:rsidRPr="00FE518C">
        <w:rPr>
          <w:rFonts w:ascii="Times New Roman" w:eastAsia="Calibri" w:hAnsi="Times New Roman" w:cs="Times New Roman"/>
          <w:b/>
          <w:bCs/>
        </w:rPr>
        <w:t>PubMed</w:t>
      </w:r>
    </w:p>
    <w:p w14:paraId="47C737D3" w14:textId="77777777" w:rsidR="00FE518C" w:rsidRPr="00FE518C" w:rsidRDefault="00FE518C" w:rsidP="00FE518C">
      <w:pPr>
        <w:rPr>
          <w:rFonts w:ascii="Times New Roman" w:eastAsia="Calibri" w:hAnsi="Times New Roman" w:cs="Times New Roman"/>
        </w:rPr>
      </w:pPr>
      <w:r w:rsidRPr="00FE518C">
        <w:rPr>
          <w:rFonts w:ascii="Times New Roman" w:eastAsia="Calibri" w:hAnsi="Times New Roman" w:cs="Times New Roman"/>
          <w:b/>
          <w:bCs/>
        </w:rPr>
        <w:t>[All Fields]</w:t>
      </w:r>
      <w:r w:rsidRPr="00FE518C">
        <w:rPr>
          <w:rFonts w:ascii="Times New Roman" w:eastAsia="Calibri" w:hAnsi="Times New Roman" w:cs="Times New Roman"/>
        </w:rPr>
        <w:t xml:space="preserve"> (Coffee OR caffeine OR caffeinated beverages OR caffeinated drinks OR caffeinated coffee OR decaffeinated coffee OR unfiltered coffee OR filtered coffee OR boiled coffee OR expresso coffee) AND (Cardiovascular health OR cardiovascular diseases OR coronary heart disease OR myocardial infarction OR heart failure OR stroke OR sudden cardiac arrest OR CVD mortality OR cardiovascular death OR arrhythmia OR atrial fibrillation OR atrial flutter OR supraventricular tachycardia OR ventricular tachycardia)</w:t>
      </w:r>
    </w:p>
    <w:p w14:paraId="40B57032" w14:textId="77777777" w:rsidR="00FE518C" w:rsidRPr="00FE518C" w:rsidRDefault="00FE518C" w:rsidP="00FE518C">
      <w:pPr>
        <w:rPr>
          <w:rFonts w:ascii="Times New Roman" w:eastAsia="Calibri" w:hAnsi="Times New Roman" w:cs="Times New Roman"/>
        </w:rPr>
      </w:pPr>
      <w:r w:rsidRPr="00FE518C">
        <w:rPr>
          <w:rFonts w:ascii="Times New Roman" w:eastAsia="Calibri" w:hAnsi="Times New Roman" w:cs="Times New Roman"/>
          <w:b/>
          <w:bCs/>
        </w:rPr>
        <w:t xml:space="preserve">[Title/Abstract] </w:t>
      </w:r>
      <w:r w:rsidRPr="00FE518C">
        <w:rPr>
          <w:rFonts w:ascii="Times New Roman" w:eastAsia="Calibri" w:hAnsi="Times New Roman" w:cs="Times New Roman"/>
        </w:rPr>
        <w:t>(Coffee OR caffeine OR caffeinated beverages OR caffeinated drinks OR caffeinated coffee OR decaffeinated coffee OR unfiltered coffee OR filtered coffee OR boiled coffee OR expresso coffee) AND (Cardiovascular health OR cardiovascular diseases OR coronary heart disease OR myocardial infarction OR heart failure OR stroke OR sudden cardiac arrest OR CVD mortality OR cardiovascular death OR arrhythmia OR atrial fibrillation OR atrial flutter OR supraventricular tachycardia OR ventricular tachycardia)</w:t>
      </w:r>
    </w:p>
    <w:p w14:paraId="0B9E0024" w14:textId="77777777" w:rsidR="00FE518C" w:rsidRPr="00FE518C" w:rsidRDefault="00FE518C" w:rsidP="00FE518C">
      <w:pPr>
        <w:rPr>
          <w:rFonts w:ascii="Times New Roman" w:eastAsia="Calibri" w:hAnsi="Times New Roman" w:cs="Times New Roman"/>
          <w:b/>
          <w:bCs/>
        </w:rPr>
      </w:pPr>
      <w:r w:rsidRPr="00FE518C">
        <w:rPr>
          <w:rFonts w:ascii="Times New Roman" w:eastAsia="Calibri" w:hAnsi="Times New Roman" w:cs="Times New Roman"/>
          <w:b/>
          <w:bCs/>
        </w:rPr>
        <w:t>Web of Science</w:t>
      </w:r>
    </w:p>
    <w:p w14:paraId="47780D9D" w14:textId="77777777" w:rsidR="00FE518C" w:rsidRPr="00FE518C" w:rsidRDefault="00FE518C" w:rsidP="00FE518C">
      <w:pPr>
        <w:rPr>
          <w:rFonts w:ascii="Times New Roman" w:eastAsia="Calibri" w:hAnsi="Times New Roman" w:cs="Times New Roman"/>
        </w:rPr>
      </w:pPr>
      <w:r w:rsidRPr="00FE518C">
        <w:rPr>
          <w:rFonts w:ascii="Times New Roman" w:eastAsia="Calibri" w:hAnsi="Times New Roman" w:cs="Times New Roman"/>
        </w:rPr>
        <w:t>(Coffee OR caffeine OR caffeinated beverages OR caffeinated drinks OR caffeinated coffee OR decaffeinated coffee OR unfiltered coffee OR filtered coffee OR boiled coffee OR expresso coffee) AND (Cardiovascular health OR cardiovascular diseases OR coronary heart disease OR myocardial infarction OR heart failure OR stroke OR sudden cardiac arrest OR CVD mortality OR cardiovascular death OR arrhythmia OR atrial fibrillation OR atrial flutter OR supraventricular tachycardia OR ventricular tachycardia)</w:t>
      </w:r>
    </w:p>
    <w:p w14:paraId="63AF2423" w14:textId="77777777" w:rsidR="00FE518C" w:rsidRPr="00FE518C" w:rsidRDefault="00FE518C" w:rsidP="00FE518C">
      <w:pPr>
        <w:rPr>
          <w:rFonts w:ascii="Times New Roman" w:eastAsia="Calibri" w:hAnsi="Times New Roman" w:cs="Times New Roman"/>
          <w:b/>
          <w:bCs/>
        </w:rPr>
      </w:pPr>
      <w:r w:rsidRPr="00FE518C">
        <w:rPr>
          <w:rFonts w:ascii="Times New Roman" w:eastAsia="Calibri" w:hAnsi="Times New Roman" w:cs="Times New Roman"/>
          <w:b/>
          <w:bCs/>
        </w:rPr>
        <w:t>Cochrane Library</w:t>
      </w:r>
    </w:p>
    <w:p w14:paraId="510A4654" w14:textId="77777777" w:rsidR="00FE518C" w:rsidRPr="00FE518C" w:rsidRDefault="00FE518C" w:rsidP="00FE518C">
      <w:pPr>
        <w:rPr>
          <w:rFonts w:ascii="Times New Roman" w:eastAsia="Calibri" w:hAnsi="Times New Roman" w:cs="Times New Roman"/>
        </w:rPr>
      </w:pPr>
      <w:r w:rsidRPr="00FE518C">
        <w:rPr>
          <w:rFonts w:ascii="Times New Roman" w:eastAsia="Calibri" w:hAnsi="Times New Roman" w:cs="Times New Roman"/>
        </w:rPr>
        <w:t>(Coffee OR caffeine OR caffeinated beverages OR caffeinated drinks OR caffeinated coffee OR decaffeinated coffee OR unfiltered coffee OR filtered coffee OR boiled coffee OR expresso coffee) AND (Cardiovascular health OR cardiovascular diseases OR coronary heart disease OR myocardial infarction OR heart failure OR stroke OR sudden cardiac arrest OR CVD mortality OR cardiovascular death OR arrhythmia OR atrial fibrillation OR atrial flutter OR supraventricular tachycardia OR ventricular tachycardia)</w:t>
      </w:r>
    </w:p>
    <w:p w14:paraId="1238E8C6" w14:textId="77777777" w:rsidR="00FE518C" w:rsidRPr="00FE518C" w:rsidRDefault="00FE518C" w:rsidP="00FE518C">
      <w:pPr>
        <w:rPr>
          <w:rFonts w:ascii="Times New Roman" w:eastAsia="Calibri" w:hAnsi="Times New Roman" w:cs="Times New Roman"/>
          <w:b/>
          <w:bCs/>
        </w:rPr>
      </w:pPr>
      <w:r w:rsidRPr="00FE518C">
        <w:rPr>
          <w:rFonts w:ascii="Times New Roman" w:eastAsia="Calibri" w:hAnsi="Times New Roman" w:cs="Times New Roman"/>
          <w:b/>
          <w:bCs/>
        </w:rPr>
        <w:t>Google Scholar</w:t>
      </w:r>
    </w:p>
    <w:p w14:paraId="2C46A8C1" w14:textId="77777777" w:rsidR="00FE518C" w:rsidRPr="00FE518C" w:rsidRDefault="00FE518C" w:rsidP="00FE518C">
      <w:pPr>
        <w:rPr>
          <w:rFonts w:ascii="Times New Roman" w:eastAsia="Calibri" w:hAnsi="Times New Roman" w:cs="Times New Roman"/>
        </w:rPr>
      </w:pPr>
      <w:r w:rsidRPr="00FE518C">
        <w:rPr>
          <w:rFonts w:ascii="Times New Roman" w:eastAsia="Calibri" w:hAnsi="Times New Roman" w:cs="Times New Roman"/>
        </w:rPr>
        <w:t>(Coffee OR caffeine OR caffeinated beverages OR caffeinated drinks OR caffeinated coffee OR decaffeinated coffee OR unfiltered coffee OR filtered coffee OR boiled coffee OR expresso coffee) AND (Cardiovascular health OR cardiovascular diseases OR coronary heart disease OR myocardial infarction OR heart failure OR stroke OR sudden cardiac arrest OR CVD mortality OR cardiovascular death OR arrhythmia OR atrial fibrillation OR atrial flutter OR supraventricular tachycardia OR ventricular tachycardia)</w:t>
      </w:r>
    </w:p>
    <w:p w14:paraId="2DC4D020" w14:textId="77777777" w:rsidR="00FE518C" w:rsidRPr="00FE518C" w:rsidRDefault="00FE518C" w:rsidP="00FE518C">
      <w:pPr>
        <w:rPr>
          <w:rFonts w:ascii="Times New Roman" w:eastAsia="Calibri" w:hAnsi="Times New Roman" w:cs="Times New Roman"/>
        </w:rPr>
        <w:sectPr w:rsidR="00FE518C" w:rsidRPr="00FE518C" w:rsidSect="00FE518C">
          <w:pgSz w:w="12240" w:h="15840"/>
          <w:pgMar w:top="1440" w:right="1440" w:bottom="1440" w:left="1440" w:header="720" w:footer="720" w:gutter="0"/>
          <w:cols w:space="720"/>
          <w:docGrid w:linePitch="360"/>
        </w:sectPr>
      </w:pPr>
    </w:p>
    <w:p w14:paraId="7271378F" w14:textId="77777777" w:rsidR="00FE518C" w:rsidRPr="00FE518C" w:rsidRDefault="00FE518C" w:rsidP="00FE518C">
      <w:pPr>
        <w:rPr>
          <w:rFonts w:ascii="Times New Roman" w:eastAsia="Calibri" w:hAnsi="Times New Roman" w:cs="Times New Roman"/>
          <w:b/>
          <w:bCs/>
        </w:rPr>
      </w:pPr>
      <w:r w:rsidRPr="00FE518C">
        <w:rPr>
          <w:rFonts w:ascii="Times New Roman" w:eastAsia="Calibri" w:hAnsi="Times New Roman" w:cs="Times New Roman"/>
          <w:b/>
          <w:bCs/>
        </w:rPr>
        <w:lastRenderedPageBreak/>
        <w:t>APPENDIX B: Quality Appraisal</w:t>
      </w:r>
    </w:p>
    <w:p w14:paraId="7C6D6447" w14:textId="77777777" w:rsidR="00FE518C" w:rsidRPr="00FE518C" w:rsidRDefault="00FE518C" w:rsidP="00FE518C">
      <w:pPr>
        <w:rPr>
          <w:rFonts w:ascii="Times New Roman" w:eastAsia="Calibri" w:hAnsi="Times New Roman" w:cs="Times New Roman"/>
          <w:b/>
          <w:bCs/>
        </w:rPr>
      </w:pPr>
      <w:r w:rsidRPr="00FE518C">
        <w:rPr>
          <w:rFonts w:ascii="Times New Roman" w:eastAsia="Calibri" w:hAnsi="Times New Roman" w:cs="Times New Roman"/>
          <w:b/>
          <w:bCs/>
        </w:rPr>
        <w:t>Table 2a: Methodological Quality Appraisal using the Newcastle Ottawa Scale for Cohort Studies</w:t>
      </w:r>
    </w:p>
    <w:tbl>
      <w:tblPr>
        <w:tblStyle w:val="GridTable4-Accent31"/>
        <w:tblW w:w="5963" w:type="pct"/>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1351"/>
        <w:gridCol w:w="1620"/>
        <w:gridCol w:w="1443"/>
        <w:gridCol w:w="1440"/>
        <w:gridCol w:w="1799"/>
        <w:gridCol w:w="1439"/>
        <w:gridCol w:w="1260"/>
        <w:gridCol w:w="1168"/>
        <w:gridCol w:w="899"/>
        <w:gridCol w:w="1044"/>
      </w:tblGrid>
      <w:tr w:rsidR="00FE518C" w:rsidRPr="00FE518C" w14:paraId="485DB9A8" w14:textId="77777777" w:rsidTr="00FE51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0BACF766"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Study ID</w:t>
            </w:r>
          </w:p>
        </w:tc>
        <w:tc>
          <w:tcPr>
            <w:tcW w:w="437" w:type="pct"/>
            <w:hideMark/>
          </w:tcPr>
          <w:p w14:paraId="059BC46C" w14:textId="77777777" w:rsidR="00FE518C" w:rsidRPr="00FE518C" w:rsidRDefault="00FE518C" w:rsidP="00FE518C">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Exposed cohort representativeness</w:t>
            </w:r>
          </w:p>
        </w:tc>
        <w:tc>
          <w:tcPr>
            <w:tcW w:w="524" w:type="pct"/>
            <w:hideMark/>
          </w:tcPr>
          <w:p w14:paraId="43CB17D6" w14:textId="77777777" w:rsidR="00FE518C" w:rsidRPr="00FE518C" w:rsidRDefault="00FE518C" w:rsidP="00FE518C">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Non-exposed cohort selection</w:t>
            </w:r>
          </w:p>
        </w:tc>
        <w:tc>
          <w:tcPr>
            <w:tcW w:w="467" w:type="pct"/>
            <w:hideMark/>
          </w:tcPr>
          <w:p w14:paraId="615E33D9" w14:textId="77777777" w:rsidR="00FE518C" w:rsidRPr="00FE518C" w:rsidRDefault="00FE518C" w:rsidP="00FE518C">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Exposure verification</w:t>
            </w:r>
          </w:p>
        </w:tc>
        <w:tc>
          <w:tcPr>
            <w:tcW w:w="466" w:type="pct"/>
            <w:hideMark/>
          </w:tcPr>
          <w:p w14:paraId="75F7F421" w14:textId="77777777" w:rsidR="00FE518C" w:rsidRPr="00FE518C" w:rsidRDefault="00FE518C" w:rsidP="00FE518C">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Initial outcome absence</w:t>
            </w:r>
          </w:p>
        </w:tc>
        <w:tc>
          <w:tcPr>
            <w:tcW w:w="582" w:type="pct"/>
            <w:hideMark/>
          </w:tcPr>
          <w:p w14:paraId="445D9032" w14:textId="77777777" w:rsidR="00FE518C" w:rsidRPr="00FE518C" w:rsidRDefault="00FE518C" w:rsidP="00FE518C">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Cohort comparability (Design/Analysis adjusted for confounders)</w:t>
            </w:r>
          </w:p>
        </w:tc>
        <w:tc>
          <w:tcPr>
            <w:tcW w:w="466" w:type="pct"/>
            <w:hideMark/>
          </w:tcPr>
          <w:p w14:paraId="5471B1E5" w14:textId="77777777" w:rsidR="00FE518C" w:rsidRPr="00FE518C" w:rsidRDefault="00FE518C" w:rsidP="00FE518C">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Outcome evaluation</w:t>
            </w:r>
          </w:p>
        </w:tc>
        <w:tc>
          <w:tcPr>
            <w:tcW w:w="408" w:type="pct"/>
            <w:hideMark/>
          </w:tcPr>
          <w:p w14:paraId="28C26EF7" w14:textId="77777777" w:rsidR="00FE518C" w:rsidRPr="00FE518C" w:rsidRDefault="00FE518C" w:rsidP="00FE518C">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 xml:space="preserve">Sufficient follow-up </w:t>
            </w:r>
          </w:p>
        </w:tc>
        <w:tc>
          <w:tcPr>
            <w:tcW w:w="378" w:type="pct"/>
            <w:hideMark/>
          </w:tcPr>
          <w:p w14:paraId="4627CC3A" w14:textId="77777777" w:rsidR="00FE518C" w:rsidRPr="00FE518C" w:rsidRDefault="00FE518C" w:rsidP="00FE518C">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 xml:space="preserve">Cohort follow-up </w:t>
            </w:r>
          </w:p>
        </w:tc>
        <w:tc>
          <w:tcPr>
            <w:tcW w:w="291" w:type="pct"/>
            <w:hideMark/>
          </w:tcPr>
          <w:p w14:paraId="7FD2A662" w14:textId="77777777" w:rsidR="00FE518C" w:rsidRPr="00FE518C" w:rsidRDefault="00FE518C" w:rsidP="00FE518C">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Total score</w:t>
            </w:r>
          </w:p>
        </w:tc>
        <w:tc>
          <w:tcPr>
            <w:tcW w:w="338" w:type="pct"/>
          </w:tcPr>
          <w:p w14:paraId="4F45EB39" w14:textId="77777777" w:rsidR="00FE518C" w:rsidRPr="00FE518C" w:rsidRDefault="00FE518C" w:rsidP="00FE518C">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Overall quality</w:t>
            </w:r>
          </w:p>
        </w:tc>
      </w:tr>
      <w:tr w:rsidR="00FE518C" w:rsidRPr="00FE518C" w14:paraId="7E28BB74"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4EA8349A" w14:textId="77777777" w:rsidR="00FE518C" w:rsidRPr="00FE518C" w:rsidRDefault="00FE518C" w:rsidP="00FE518C">
            <w:pPr>
              <w:jc w:val="both"/>
              <w:rPr>
                <w:rFonts w:ascii="Times New Roman" w:eastAsia="Calibri" w:hAnsi="Times New Roman" w:cs="Times New Roman"/>
                <w:lang w:val="fr-FR"/>
              </w:rPr>
            </w:pPr>
            <w:proofErr w:type="gramStart"/>
            <w:r w:rsidRPr="00FE518C">
              <w:rPr>
                <w:rFonts w:ascii="Times New Roman" w:eastAsia="Calibri" w:hAnsi="Times New Roman" w:cs="Times New Roman"/>
                <w:lang w:val="fr-FR"/>
              </w:rPr>
              <w:t>de</w:t>
            </w:r>
            <w:proofErr w:type="gramEnd"/>
            <w:r w:rsidRPr="00FE518C">
              <w:rPr>
                <w:rFonts w:ascii="Times New Roman" w:eastAsia="Calibri" w:hAnsi="Times New Roman" w:cs="Times New Roman"/>
                <w:lang w:val="fr-FR"/>
              </w:rPr>
              <w:t xml:space="preserve"> Koning Gans et al.2010</w:t>
            </w:r>
          </w:p>
        </w:tc>
        <w:tc>
          <w:tcPr>
            <w:tcW w:w="437" w:type="pct"/>
          </w:tcPr>
          <w:p w14:paraId="25F6D83B"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09D21293"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5B1F3B4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58324DF6"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1CE5CC88"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36E4420B"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6DC66228"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6EB08147"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045C7E9A"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6B718C85"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797DEA20"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7BAC5C21" w14:textId="77777777" w:rsidR="00FE518C" w:rsidRPr="00FE518C" w:rsidRDefault="00FE518C" w:rsidP="00FE518C">
            <w:pPr>
              <w:jc w:val="both"/>
              <w:rPr>
                <w:rFonts w:ascii="Times New Roman" w:eastAsia="Calibri" w:hAnsi="Times New Roman" w:cs="Times New Roman"/>
              </w:rPr>
            </w:pPr>
            <w:proofErr w:type="spellStart"/>
            <w:r w:rsidRPr="00FE518C">
              <w:rPr>
                <w:rFonts w:ascii="Times New Roman" w:eastAsia="Calibri" w:hAnsi="Times New Roman" w:cs="Times New Roman"/>
              </w:rPr>
              <w:t>Grioni</w:t>
            </w:r>
            <w:proofErr w:type="spellEnd"/>
            <w:r w:rsidRPr="00FE518C">
              <w:rPr>
                <w:rFonts w:ascii="Times New Roman" w:eastAsia="Calibri" w:hAnsi="Times New Roman" w:cs="Times New Roman"/>
              </w:rPr>
              <w:t xml:space="preserve"> et al.2015</w:t>
            </w:r>
          </w:p>
        </w:tc>
        <w:tc>
          <w:tcPr>
            <w:tcW w:w="437" w:type="pct"/>
          </w:tcPr>
          <w:p w14:paraId="1E575C18"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1874D32C"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54D5F947"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2FC8FEC6"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4CE2AD92"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2F29AA5C"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6C79499C"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0409DCBD"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0965E3E7"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24E4D2F6"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15563506"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6E8BC7C1" w14:textId="77777777" w:rsidR="00FE518C" w:rsidRPr="00FE518C" w:rsidRDefault="00FE518C" w:rsidP="00FE518C">
            <w:pPr>
              <w:jc w:val="both"/>
              <w:rPr>
                <w:rFonts w:ascii="Times New Roman" w:eastAsia="Calibri" w:hAnsi="Times New Roman" w:cs="Times New Roman"/>
              </w:rPr>
            </w:pPr>
            <w:proofErr w:type="spellStart"/>
            <w:r w:rsidRPr="00FE518C">
              <w:rPr>
                <w:rFonts w:ascii="Times New Roman" w:eastAsia="Calibri" w:hAnsi="Times New Roman" w:cs="Times New Roman"/>
              </w:rPr>
              <w:t>Floegel</w:t>
            </w:r>
            <w:proofErr w:type="spellEnd"/>
            <w:r w:rsidRPr="00FE518C">
              <w:rPr>
                <w:rFonts w:ascii="Times New Roman" w:eastAsia="Calibri" w:hAnsi="Times New Roman" w:cs="Times New Roman"/>
              </w:rPr>
              <w:t xml:space="preserve"> et al.2012</w:t>
            </w:r>
          </w:p>
        </w:tc>
        <w:tc>
          <w:tcPr>
            <w:tcW w:w="437" w:type="pct"/>
          </w:tcPr>
          <w:p w14:paraId="037B3A5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2978EB00"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1EDC33F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00C28A30"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423C05CA"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13B6F2A0"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6C8693B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01DD475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2106C4A0"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1BB1F6CF"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2676528F"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273CE825" w14:textId="77777777" w:rsidR="00FE518C" w:rsidRPr="00FE518C" w:rsidRDefault="00FE518C" w:rsidP="00FE518C">
            <w:pPr>
              <w:jc w:val="both"/>
              <w:rPr>
                <w:rFonts w:ascii="Times New Roman" w:eastAsia="Calibri" w:hAnsi="Times New Roman" w:cs="Times New Roman"/>
              </w:rPr>
            </w:pPr>
            <w:proofErr w:type="spellStart"/>
            <w:r w:rsidRPr="00FE518C">
              <w:rPr>
                <w:rFonts w:ascii="Times New Roman" w:eastAsia="Calibri" w:hAnsi="Times New Roman" w:cs="Times New Roman"/>
              </w:rPr>
              <w:t>Kleemola</w:t>
            </w:r>
            <w:proofErr w:type="spellEnd"/>
            <w:r w:rsidRPr="00FE518C">
              <w:rPr>
                <w:rFonts w:ascii="Times New Roman" w:eastAsia="Calibri" w:hAnsi="Times New Roman" w:cs="Times New Roman"/>
              </w:rPr>
              <w:t xml:space="preserve"> et al.2000</w:t>
            </w:r>
          </w:p>
        </w:tc>
        <w:tc>
          <w:tcPr>
            <w:tcW w:w="437" w:type="pct"/>
          </w:tcPr>
          <w:p w14:paraId="66A2996C"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06E4B71A"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0F512562"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3713D846"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0F5CCDB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764BFE7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5C6D8B58"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71879BB0"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7A6C9E47"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34010700"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6E90CBEE"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2449FD56"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Kokubo et al.2013</w:t>
            </w:r>
          </w:p>
        </w:tc>
        <w:tc>
          <w:tcPr>
            <w:tcW w:w="437" w:type="pct"/>
          </w:tcPr>
          <w:p w14:paraId="4588875C"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21BDBA5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06A1DD32"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0AAF6EE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073D6B8F"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5A53FACE"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62C990F8"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69CB55A7"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38A1E686"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36156A03"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3871B634"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43EC574E"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Lopez-Garcia et al.2006</w:t>
            </w:r>
          </w:p>
        </w:tc>
        <w:tc>
          <w:tcPr>
            <w:tcW w:w="437" w:type="pct"/>
          </w:tcPr>
          <w:p w14:paraId="5CDE304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52EE6DE1"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1FFA2E07"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5BC47B7D"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1BC2460D"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070619D2"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10195081"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363215B8"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3A77F7CE"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276A6A0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40DCBE32"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7D67BCCF"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Rosner et al.2006</w:t>
            </w:r>
          </w:p>
        </w:tc>
        <w:tc>
          <w:tcPr>
            <w:tcW w:w="437" w:type="pct"/>
          </w:tcPr>
          <w:p w14:paraId="0FC33BD3"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524" w:type="pct"/>
          </w:tcPr>
          <w:p w14:paraId="4FDAD36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18ED411B"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60E77A1B"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2B443AB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738D87AC"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179AC1BB"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2706DA4F"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4CF1C517"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6</w:t>
            </w:r>
          </w:p>
        </w:tc>
        <w:tc>
          <w:tcPr>
            <w:tcW w:w="338" w:type="pct"/>
          </w:tcPr>
          <w:p w14:paraId="7222ECA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Fair</w:t>
            </w:r>
          </w:p>
        </w:tc>
      </w:tr>
      <w:tr w:rsidR="00FE518C" w:rsidRPr="00FE518C" w14:paraId="562F3FD2"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6F79589B"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Zhang et al.2009-A</w:t>
            </w:r>
          </w:p>
        </w:tc>
        <w:tc>
          <w:tcPr>
            <w:tcW w:w="437" w:type="pct"/>
          </w:tcPr>
          <w:p w14:paraId="1D492759"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524" w:type="pct"/>
          </w:tcPr>
          <w:p w14:paraId="1A7750AF"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6E5F0AC2"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4F2CB5BA"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01448727"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3D0189D5"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7F117FBA"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5D5DF595"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78A34E6F"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6</w:t>
            </w:r>
          </w:p>
        </w:tc>
        <w:tc>
          <w:tcPr>
            <w:tcW w:w="338" w:type="pct"/>
          </w:tcPr>
          <w:p w14:paraId="2C04FB7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Fair</w:t>
            </w:r>
          </w:p>
        </w:tc>
      </w:tr>
      <w:tr w:rsidR="00FE518C" w:rsidRPr="00FE518C" w14:paraId="520253BE"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6DB03B58"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Zhang et al.2009-B</w:t>
            </w:r>
          </w:p>
        </w:tc>
        <w:tc>
          <w:tcPr>
            <w:tcW w:w="437" w:type="pct"/>
          </w:tcPr>
          <w:p w14:paraId="1CE199EE"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524" w:type="pct"/>
          </w:tcPr>
          <w:p w14:paraId="15DAF5C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0C13EDF3"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739C3327"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4A6361FE"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61B32CCE"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31CACB6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378" w:type="pct"/>
          </w:tcPr>
          <w:p w14:paraId="4BE91B55"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48CA769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5</w:t>
            </w:r>
          </w:p>
        </w:tc>
        <w:tc>
          <w:tcPr>
            <w:tcW w:w="338" w:type="pct"/>
          </w:tcPr>
          <w:p w14:paraId="1A33D86B"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Fair</w:t>
            </w:r>
          </w:p>
        </w:tc>
      </w:tr>
      <w:tr w:rsidR="00FE518C" w:rsidRPr="00FE518C" w14:paraId="2EE6603C"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3E5375D1"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Zhang et al.2021</w:t>
            </w:r>
          </w:p>
        </w:tc>
        <w:tc>
          <w:tcPr>
            <w:tcW w:w="437" w:type="pct"/>
          </w:tcPr>
          <w:p w14:paraId="22DBABF1"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60600E4C"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601159F7"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14B5493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09C5F5A8"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0A6DF67E"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3795E5B0"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0C996755"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741DEBE9"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3AF04726"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6D8D835F"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5706B90F"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Larsson et al.2011</w:t>
            </w:r>
          </w:p>
        </w:tc>
        <w:tc>
          <w:tcPr>
            <w:tcW w:w="437" w:type="pct"/>
          </w:tcPr>
          <w:p w14:paraId="37F6576E"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524" w:type="pct"/>
          </w:tcPr>
          <w:p w14:paraId="0084EEC8"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06C91DA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6C82CBC8"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70D0ADA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10A1E65D"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2E0F2E6A"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17746DEE"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68A9F9A2"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6</w:t>
            </w:r>
          </w:p>
        </w:tc>
        <w:tc>
          <w:tcPr>
            <w:tcW w:w="338" w:type="pct"/>
          </w:tcPr>
          <w:p w14:paraId="5BDAA23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Fair</w:t>
            </w:r>
          </w:p>
        </w:tc>
      </w:tr>
      <w:tr w:rsidR="00FE518C" w:rsidRPr="00FE518C" w14:paraId="4DF2816A"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68F5D596"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Lopez-Garcia et al.2009</w:t>
            </w:r>
          </w:p>
        </w:tc>
        <w:tc>
          <w:tcPr>
            <w:tcW w:w="437" w:type="pct"/>
          </w:tcPr>
          <w:p w14:paraId="3A0FC1EB"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524" w:type="pct"/>
          </w:tcPr>
          <w:p w14:paraId="098F39D4"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56AA2B3E"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5949D05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7FC9E214"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7EF328F9"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5177E7A5"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7FFE8346"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61FF0891"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6</w:t>
            </w:r>
          </w:p>
        </w:tc>
        <w:tc>
          <w:tcPr>
            <w:tcW w:w="338" w:type="pct"/>
          </w:tcPr>
          <w:p w14:paraId="0FF8917F"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Fair</w:t>
            </w:r>
          </w:p>
        </w:tc>
      </w:tr>
      <w:tr w:rsidR="00FE518C" w:rsidRPr="00FE518C" w14:paraId="77AD8BB7"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6B5B95E6"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Larsson et al.2008</w:t>
            </w:r>
          </w:p>
        </w:tc>
        <w:tc>
          <w:tcPr>
            <w:tcW w:w="437" w:type="pct"/>
          </w:tcPr>
          <w:p w14:paraId="339282F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524" w:type="pct"/>
          </w:tcPr>
          <w:p w14:paraId="16B6A1C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77695902"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1F889C63"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56E442C7"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0DE2AAB5"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4BBB9022"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759552E6"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7C9A26A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6</w:t>
            </w:r>
          </w:p>
        </w:tc>
        <w:tc>
          <w:tcPr>
            <w:tcW w:w="338" w:type="pct"/>
          </w:tcPr>
          <w:p w14:paraId="40C8F00A"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Fair</w:t>
            </w:r>
          </w:p>
        </w:tc>
      </w:tr>
      <w:tr w:rsidR="00FE518C" w:rsidRPr="00FE518C" w14:paraId="3190A009"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57D5F4BF"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Bodar et al.2020</w:t>
            </w:r>
          </w:p>
        </w:tc>
        <w:tc>
          <w:tcPr>
            <w:tcW w:w="437" w:type="pct"/>
          </w:tcPr>
          <w:p w14:paraId="461B3A99"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524" w:type="pct"/>
          </w:tcPr>
          <w:p w14:paraId="1DA3D90D"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31CA768E"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3F32ED38"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1FC349B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21EF0F07"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6B203F74"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4F2F4305"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632AF6A6"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6</w:t>
            </w:r>
          </w:p>
        </w:tc>
        <w:tc>
          <w:tcPr>
            <w:tcW w:w="338" w:type="pct"/>
          </w:tcPr>
          <w:p w14:paraId="0245245C"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Fair</w:t>
            </w:r>
          </w:p>
        </w:tc>
      </w:tr>
      <w:tr w:rsidR="00FE518C" w:rsidRPr="00FE518C" w14:paraId="122D5794"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14583F1C"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lastRenderedPageBreak/>
              <w:t>Levitan et al.2011</w:t>
            </w:r>
          </w:p>
        </w:tc>
        <w:tc>
          <w:tcPr>
            <w:tcW w:w="437" w:type="pct"/>
          </w:tcPr>
          <w:p w14:paraId="1879C46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524" w:type="pct"/>
          </w:tcPr>
          <w:p w14:paraId="126F815A"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5AC2117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6223FB48"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196BF43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5D83B90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215DB7A8"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235B5C6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02F4DA5A"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6</w:t>
            </w:r>
          </w:p>
        </w:tc>
        <w:tc>
          <w:tcPr>
            <w:tcW w:w="338" w:type="pct"/>
          </w:tcPr>
          <w:p w14:paraId="066956A3"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Fair</w:t>
            </w:r>
          </w:p>
        </w:tc>
      </w:tr>
      <w:tr w:rsidR="00FE518C" w:rsidRPr="00FE518C" w14:paraId="681C800C"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70858140"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Ahmed et al.2009</w:t>
            </w:r>
          </w:p>
        </w:tc>
        <w:tc>
          <w:tcPr>
            <w:tcW w:w="437" w:type="pct"/>
          </w:tcPr>
          <w:p w14:paraId="4CBC638E"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524" w:type="pct"/>
          </w:tcPr>
          <w:p w14:paraId="7244250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3B4CC98B"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0BDCB13E"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2C883F89"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01FA4476"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79212699"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07D2C395"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3BA5E93F"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6</w:t>
            </w:r>
          </w:p>
        </w:tc>
        <w:tc>
          <w:tcPr>
            <w:tcW w:w="338" w:type="pct"/>
          </w:tcPr>
          <w:p w14:paraId="66F1DF9D"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Fair</w:t>
            </w:r>
          </w:p>
        </w:tc>
      </w:tr>
      <w:tr w:rsidR="00FE518C" w:rsidRPr="00FE518C" w14:paraId="695A2E25"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2869296C"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Wang et al.2011</w:t>
            </w:r>
          </w:p>
        </w:tc>
        <w:tc>
          <w:tcPr>
            <w:tcW w:w="437" w:type="pct"/>
          </w:tcPr>
          <w:p w14:paraId="6566DEA3"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3677FB37"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33ED4B5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316F303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11990333"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361C79DE"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7D7C1848"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1CBC6BCF"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03809C2D"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77F411C2"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07965CBE"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43A92638"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Han et al.2023</w:t>
            </w:r>
          </w:p>
        </w:tc>
        <w:tc>
          <w:tcPr>
            <w:tcW w:w="437" w:type="pct"/>
          </w:tcPr>
          <w:p w14:paraId="4B2C17F2"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759F8470"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03A8C19D"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7C186080"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4E3AFEBE"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484B9CC2"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17C9A13C"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2D3B3DB6"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54BB2A76"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2B58C550"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0DA3C2CD"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2E708DDC"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Conen et al.2010</w:t>
            </w:r>
          </w:p>
        </w:tc>
        <w:tc>
          <w:tcPr>
            <w:tcW w:w="437" w:type="pct"/>
          </w:tcPr>
          <w:p w14:paraId="2EFF0A8A"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524" w:type="pct"/>
          </w:tcPr>
          <w:p w14:paraId="09440CE7"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12AFB94F"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7A64D8CC"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09DE06CB"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25B756D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058A44D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247F35A2"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3F395FAB"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6</w:t>
            </w:r>
          </w:p>
        </w:tc>
        <w:tc>
          <w:tcPr>
            <w:tcW w:w="338" w:type="pct"/>
          </w:tcPr>
          <w:p w14:paraId="1717F878"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Fair</w:t>
            </w:r>
          </w:p>
        </w:tc>
      </w:tr>
      <w:tr w:rsidR="00FE518C" w:rsidRPr="00FE518C" w14:paraId="48CFA425"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5E74F695"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Xu et al.2019</w:t>
            </w:r>
          </w:p>
        </w:tc>
        <w:tc>
          <w:tcPr>
            <w:tcW w:w="437" w:type="pct"/>
          </w:tcPr>
          <w:p w14:paraId="4824903D"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3DBE5365"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49921E5C"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05A39301"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6F4B5032"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37508F44"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2894FC58"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76A1913C"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2F4D9FC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4FF6C425"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5D93ED02"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60D8FE13"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Bazal et al.2021</w:t>
            </w:r>
          </w:p>
        </w:tc>
        <w:tc>
          <w:tcPr>
            <w:tcW w:w="437" w:type="pct"/>
          </w:tcPr>
          <w:p w14:paraId="7F98088C"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068CE76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6696670E"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32FC81F7"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1C12C09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16723A5E"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3735EAC3"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2A7C00AD"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7232AB6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1CE6CEB0"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02630BB0"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0EF852FA"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Bodar et al.2019</w:t>
            </w:r>
          </w:p>
        </w:tc>
        <w:tc>
          <w:tcPr>
            <w:tcW w:w="437" w:type="pct"/>
          </w:tcPr>
          <w:p w14:paraId="6793EDDA"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524" w:type="pct"/>
          </w:tcPr>
          <w:p w14:paraId="3118A468"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1967E5F4"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41ED6FA6"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4CE0FB0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6E0A7568"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2247166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1C329455"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5B71357A"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6</w:t>
            </w:r>
          </w:p>
        </w:tc>
        <w:tc>
          <w:tcPr>
            <w:tcW w:w="338" w:type="pct"/>
          </w:tcPr>
          <w:p w14:paraId="211D76CB"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Fair</w:t>
            </w:r>
          </w:p>
        </w:tc>
      </w:tr>
      <w:tr w:rsidR="00FE518C" w:rsidRPr="00FE518C" w14:paraId="4915873E"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2CC40C6C"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Kim et al.2021</w:t>
            </w:r>
          </w:p>
        </w:tc>
        <w:tc>
          <w:tcPr>
            <w:tcW w:w="437" w:type="pct"/>
          </w:tcPr>
          <w:p w14:paraId="781D4886"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167443DA"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055BCFC0"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2E3DAC27"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0F021EE0"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5F672E85"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14709888"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3E9868AE"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77F4BBCA"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02D539C2"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339C6B6B"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59F21F1B"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Klatsky et al.2011</w:t>
            </w:r>
          </w:p>
        </w:tc>
        <w:tc>
          <w:tcPr>
            <w:tcW w:w="437" w:type="pct"/>
          </w:tcPr>
          <w:p w14:paraId="38A02786"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73191BEA"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2550D0DA"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286903F4"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5FC9696D"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4CDE66DE"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0B1D3E8C"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7BF549E9"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0C2173AC"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7A5F430E"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0151417E"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12D1C11D" w14:textId="77777777" w:rsidR="00FE518C" w:rsidRPr="00FE518C" w:rsidRDefault="00FE518C" w:rsidP="00FE518C">
            <w:pPr>
              <w:jc w:val="both"/>
              <w:rPr>
                <w:rFonts w:ascii="Times New Roman" w:eastAsia="Calibri" w:hAnsi="Times New Roman" w:cs="Times New Roman"/>
              </w:rPr>
            </w:pPr>
            <w:proofErr w:type="spellStart"/>
            <w:r w:rsidRPr="00FE518C">
              <w:rPr>
                <w:rFonts w:ascii="Times New Roman" w:eastAsia="Calibri" w:hAnsi="Times New Roman" w:cs="Times New Roman"/>
              </w:rPr>
              <w:t>Mostofsky</w:t>
            </w:r>
            <w:proofErr w:type="spellEnd"/>
            <w:r w:rsidRPr="00FE518C">
              <w:rPr>
                <w:rFonts w:ascii="Times New Roman" w:eastAsia="Calibri" w:hAnsi="Times New Roman" w:cs="Times New Roman"/>
              </w:rPr>
              <w:t xml:space="preserve"> et al.2016</w:t>
            </w:r>
          </w:p>
        </w:tc>
        <w:tc>
          <w:tcPr>
            <w:tcW w:w="437" w:type="pct"/>
          </w:tcPr>
          <w:p w14:paraId="13EA35D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1B1FB3A6"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2A3BB28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4F3CF355"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704FDB3E"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429AD1C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486ED407"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5EC8D95F"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5A4800A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174D08A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4820B646"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254A1DF2"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Larsson et al.2015</w:t>
            </w:r>
          </w:p>
        </w:tc>
        <w:tc>
          <w:tcPr>
            <w:tcW w:w="437" w:type="pct"/>
          </w:tcPr>
          <w:p w14:paraId="276B95F9"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65653441"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76928C0C"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6F139634"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5D762DD1"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19C89E8B"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4076F86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2F23C927"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0AE8B92F"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1D14F5A7"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4F503B07"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29FD7485"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Chieng et al.2022</w:t>
            </w:r>
          </w:p>
        </w:tc>
        <w:tc>
          <w:tcPr>
            <w:tcW w:w="437" w:type="pct"/>
          </w:tcPr>
          <w:p w14:paraId="7B6BEB07"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76246E2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6EA24BFE"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634A454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3350DEA8"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407AA467"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3C01E74C"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30132D52"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6ABE6D0A"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266A1910"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60CD971F"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53F54892"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Frost et al.2005</w:t>
            </w:r>
          </w:p>
        </w:tc>
        <w:tc>
          <w:tcPr>
            <w:tcW w:w="437" w:type="pct"/>
          </w:tcPr>
          <w:p w14:paraId="03EDD864"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56933584"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6878E3D7"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00C9959D"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507D47BB"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7135A467"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31F0F60F"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041C73FF"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529AA93F"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125BA4CA"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717CA51F"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4A2B73E0"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Tsujimoto et al.2017</w:t>
            </w:r>
          </w:p>
        </w:tc>
        <w:tc>
          <w:tcPr>
            <w:tcW w:w="437" w:type="pct"/>
          </w:tcPr>
          <w:p w14:paraId="00093CA2"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7D67C7AC"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116413DD"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475AC8A5"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00D0471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514445CD"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43369A66"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20CE0097"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19F969EA"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1060ED4F"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69E77CEA"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55D783A8"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Neves et al.2018</w:t>
            </w:r>
          </w:p>
        </w:tc>
        <w:tc>
          <w:tcPr>
            <w:tcW w:w="437" w:type="pct"/>
          </w:tcPr>
          <w:p w14:paraId="47E2A55D"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5CEEB8C0"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4D328108"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258CDD3C"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28100BA8"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0A9C031A"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1E2FB279"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378" w:type="pct"/>
          </w:tcPr>
          <w:p w14:paraId="26DE7E03"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4094F974"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6</w:t>
            </w:r>
          </w:p>
        </w:tc>
        <w:tc>
          <w:tcPr>
            <w:tcW w:w="338" w:type="pct"/>
          </w:tcPr>
          <w:p w14:paraId="2E32B21B"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Fair</w:t>
            </w:r>
          </w:p>
        </w:tc>
      </w:tr>
      <w:tr w:rsidR="00FE518C" w:rsidRPr="00FE518C" w14:paraId="06DCD051"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70B0054E"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Chen et al.2022</w:t>
            </w:r>
          </w:p>
        </w:tc>
        <w:tc>
          <w:tcPr>
            <w:tcW w:w="437" w:type="pct"/>
          </w:tcPr>
          <w:p w14:paraId="2BC87B8C"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4538673A"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1FDCECD8"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7976ECF6"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626D990B"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2195289E"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72440545"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368B1A09"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11728963"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720D64B1"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r w:rsidR="00FE518C" w:rsidRPr="00FE518C" w14:paraId="0B023912" w14:textId="77777777" w:rsidTr="00976698">
        <w:tc>
          <w:tcPr>
            <w:cnfStyle w:val="001000000000" w:firstRow="0" w:lastRow="0" w:firstColumn="1" w:lastColumn="0" w:oddVBand="0" w:evenVBand="0" w:oddHBand="0" w:evenHBand="0" w:firstRowFirstColumn="0" w:firstRowLastColumn="0" w:lastRowFirstColumn="0" w:lastRowLastColumn="0"/>
            <w:tcW w:w="641" w:type="pct"/>
          </w:tcPr>
          <w:p w14:paraId="60306A32"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Wang et al.2024</w:t>
            </w:r>
          </w:p>
        </w:tc>
        <w:tc>
          <w:tcPr>
            <w:tcW w:w="437" w:type="pct"/>
          </w:tcPr>
          <w:p w14:paraId="3C66F7E6"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5541166F"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3D067F09"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3D444686"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7F525CBD"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15BCCB9A"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06DBA00D"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378" w:type="pct"/>
          </w:tcPr>
          <w:p w14:paraId="3297C2AE"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03144A48"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6</w:t>
            </w:r>
          </w:p>
        </w:tc>
        <w:tc>
          <w:tcPr>
            <w:tcW w:w="338" w:type="pct"/>
          </w:tcPr>
          <w:p w14:paraId="3C72610E" w14:textId="77777777" w:rsidR="00FE518C" w:rsidRPr="00FE518C" w:rsidRDefault="00FE518C" w:rsidP="00FE518C">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Fair</w:t>
            </w:r>
          </w:p>
        </w:tc>
      </w:tr>
      <w:tr w:rsidR="00FE518C" w:rsidRPr="00FE518C" w14:paraId="4DCA50B7"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pct"/>
          </w:tcPr>
          <w:p w14:paraId="6F542FFE" w14:textId="77777777" w:rsidR="00FE518C" w:rsidRPr="00FE518C" w:rsidRDefault="00FE518C" w:rsidP="00FE518C">
            <w:pPr>
              <w:jc w:val="both"/>
              <w:rPr>
                <w:rFonts w:ascii="Times New Roman" w:eastAsia="Calibri" w:hAnsi="Times New Roman" w:cs="Times New Roman"/>
              </w:rPr>
            </w:pPr>
            <w:r w:rsidRPr="00FE518C">
              <w:rPr>
                <w:rFonts w:ascii="Times New Roman" w:eastAsia="Calibri" w:hAnsi="Times New Roman" w:cs="Times New Roman"/>
              </w:rPr>
              <w:t>Yao et al.2024</w:t>
            </w:r>
          </w:p>
        </w:tc>
        <w:tc>
          <w:tcPr>
            <w:tcW w:w="437" w:type="pct"/>
          </w:tcPr>
          <w:p w14:paraId="0BC215EB"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24" w:type="pct"/>
          </w:tcPr>
          <w:p w14:paraId="2FCF888D"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67" w:type="pct"/>
          </w:tcPr>
          <w:p w14:paraId="47B65B32"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466" w:type="pct"/>
          </w:tcPr>
          <w:p w14:paraId="39D55C10"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582" w:type="pct"/>
          </w:tcPr>
          <w:p w14:paraId="4939B5EB"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2</w:t>
            </w:r>
          </w:p>
        </w:tc>
        <w:tc>
          <w:tcPr>
            <w:tcW w:w="466" w:type="pct"/>
          </w:tcPr>
          <w:p w14:paraId="4604C59F"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0</w:t>
            </w:r>
          </w:p>
        </w:tc>
        <w:tc>
          <w:tcPr>
            <w:tcW w:w="408" w:type="pct"/>
          </w:tcPr>
          <w:p w14:paraId="401E490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378" w:type="pct"/>
          </w:tcPr>
          <w:p w14:paraId="64E3F9A4"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1</w:t>
            </w:r>
          </w:p>
        </w:tc>
        <w:tc>
          <w:tcPr>
            <w:tcW w:w="291" w:type="pct"/>
          </w:tcPr>
          <w:p w14:paraId="18ECE498"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7</w:t>
            </w:r>
          </w:p>
        </w:tc>
        <w:tc>
          <w:tcPr>
            <w:tcW w:w="338" w:type="pct"/>
          </w:tcPr>
          <w:p w14:paraId="530A50CB" w14:textId="77777777" w:rsidR="00FE518C" w:rsidRPr="00FE518C" w:rsidRDefault="00FE518C" w:rsidP="00FE518C">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Cs w:val="32"/>
              </w:rPr>
            </w:pPr>
            <w:r w:rsidRPr="00FE518C">
              <w:rPr>
                <w:rFonts w:ascii="Times New Roman" w:eastAsia="Calibri" w:hAnsi="Times New Roman" w:cs="Times New Roman"/>
                <w:szCs w:val="32"/>
              </w:rPr>
              <w:t>Good</w:t>
            </w:r>
          </w:p>
        </w:tc>
      </w:tr>
    </w:tbl>
    <w:p w14:paraId="65875591" w14:textId="77777777" w:rsidR="00FE518C" w:rsidRPr="00FE518C" w:rsidRDefault="00FE518C" w:rsidP="00FE518C">
      <w:pPr>
        <w:rPr>
          <w:rFonts w:ascii="Times New Roman" w:eastAsia="Calibri" w:hAnsi="Times New Roman" w:cs="Times New Roman"/>
        </w:rPr>
      </w:pPr>
    </w:p>
    <w:p w14:paraId="13EA9AC2" w14:textId="77777777" w:rsidR="00FE518C" w:rsidRPr="00FE518C" w:rsidRDefault="00FE518C" w:rsidP="00FE518C">
      <w:pPr>
        <w:rPr>
          <w:rFonts w:ascii="Times New Roman" w:eastAsia="Calibri" w:hAnsi="Times New Roman" w:cs="Times New Roman"/>
          <w:b/>
          <w:bCs/>
        </w:rPr>
      </w:pPr>
    </w:p>
    <w:p w14:paraId="2A3FBA5A" w14:textId="77777777" w:rsidR="00FE518C" w:rsidRPr="00FE518C" w:rsidRDefault="00FE518C" w:rsidP="00FE518C">
      <w:pPr>
        <w:rPr>
          <w:rFonts w:ascii="Times New Roman" w:eastAsia="Calibri" w:hAnsi="Times New Roman" w:cs="Times New Roman"/>
          <w:b/>
          <w:bCs/>
        </w:rPr>
      </w:pPr>
    </w:p>
    <w:p w14:paraId="69DCD92C" w14:textId="77777777" w:rsidR="00FE518C" w:rsidRPr="00FE518C" w:rsidRDefault="00FE518C" w:rsidP="00FE518C">
      <w:pPr>
        <w:rPr>
          <w:rFonts w:ascii="Times New Roman" w:eastAsia="Calibri" w:hAnsi="Times New Roman" w:cs="Times New Roman"/>
          <w:b/>
          <w:bCs/>
        </w:rPr>
      </w:pPr>
    </w:p>
    <w:p w14:paraId="58845BF4" w14:textId="77777777" w:rsidR="00FE518C" w:rsidRPr="00FE518C" w:rsidRDefault="00FE518C" w:rsidP="00FE518C">
      <w:pPr>
        <w:rPr>
          <w:rFonts w:ascii="Times New Roman" w:eastAsia="Calibri" w:hAnsi="Times New Roman" w:cs="Times New Roman"/>
          <w:b/>
          <w:bCs/>
        </w:rPr>
      </w:pPr>
    </w:p>
    <w:p w14:paraId="68C879DA" w14:textId="77777777" w:rsidR="00FE518C" w:rsidRPr="00FE518C" w:rsidRDefault="00FE518C" w:rsidP="00FE518C">
      <w:pPr>
        <w:rPr>
          <w:rFonts w:ascii="Times New Roman" w:eastAsia="Calibri" w:hAnsi="Times New Roman" w:cs="Times New Roman"/>
          <w:b/>
          <w:bCs/>
        </w:rPr>
      </w:pPr>
    </w:p>
    <w:p w14:paraId="6DF794B5" w14:textId="77777777" w:rsidR="00FE518C" w:rsidRPr="00FE518C" w:rsidRDefault="00FE518C" w:rsidP="00FE518C">
      <w:pPr>
        <w:rPr>
          <w:rFonts w:ascii="Times New Roman" w:eastAsia="Calibri" w:hAnsi="Times New Roman" w:cs="Times New Roman"/>
        </w:rPr>
      </w:pPr>
      <w:r w:rsidRPr="00FE518C">
        <w:rPr>
          <w:rFonts w:ascii="Times New Roman" w:eastAsia="Calibri" w:hAnsi="Times New Roman" w:cs="Times New Roman"/>
          <w:b/>
          <w:bCs/>
        </w:rPr>
        <w:t>Table 2b:</w:t>
      </w:r>
      <w:r w:rsidRPr="00FE518C">
        <w:rPr>
          <w:rFonts w:ascii="Times New Roman" w:eastAsia="Calibri" w:hAnsi="Times New Roman" w:cs="Times New Roman"/>
        </w:rPr>
        <w:t xml:space="preserve"> </w:t>
      </w:r>
      <w:r w:rsidRPr="00FE518C">
        <w:rPr>
          <w:rFonts w:ascii="Times New Roman" w:eastAsia="Calibri" w:hAnsi="Times New Roman" w:cs="Times New Roman"/>
          <w:b/>
          <w:bCs/>
        </w:rPr>
        <w:t>Methodological quality appraisal using the JBI checklist for Case-control studies</w:t>
      </w:r>
    </w:p>
    <w:tbl>
      <w:tblPr>
        <w:tblStyle w:val="GridTable4-Accent31"/>
        <w:tblW w:w="6069" w:type="pct"/>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1310"/>
        <w:gridCol w:w="1226"/>
        <w:gridCol w:w="1157"/>
        <w:gridCol w:w="1654"/>
        <w:gridCol w:w="1302"/>
        <w:gridCol w:w="1368"/>
        <w:gridCol w:w="1217"/>
        <w:gridCol w:w="1418"/>
        <w:gridCol w:w="1305"/>
        <w:gridCol w:w="1496"/>
        <w:gridCol w:w="1314"/>
      </w:tblGrid>
      <w:tr w:rsidR="00FE518C" w:rsidRPr="00FE518C" w14:paraId="71B52C86" w14:textId="77777777" w:rsidTr="00FE51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 w:type="pct"/>
            <w:hideMark/>
          </w:tcPr>
          <w:p w14:paraId="4E10CEE7" w14:textId="77777777" w:rsidR="00FE518C" w:rsidRPr="00FE518C" w:rsidRDefault="00FE518C" w:rsidP="00FE518C">
            <w:pPr>
              <w:rPr>
                <w:rFonts w:ascii="Times New Roman" w:eastAsia="Calibri" w:hAnsi="Times New Roman" w:cs="Times New Roman"/>
                <w:lang w:val="en-IN"/>
              </w:rPr>
            </w:pPr>
            <w:r w:rsidRPr="00FE518C">
              <w:rPr>
                <w:rFonts w:ascii="Times New Roman" w:eastAsia="Calibri" w:hAnsi="Times New Roman" w:cs="Times New Roman"/>
                <w:lang w:val="en-IN"/>
              </w:rPr>
              <w:t>Study ID</w:t>
            </w:r>
          </w:p>
        </w:tc>
        <w:tc>
          <w:tcPr>
            <w:tcW w:w="417" w:type="pct"/>
            <w:hideMark/>
          </w:tcPr>
          <w:p w14:paraId="75DE442A" w14:textId="77777777" w:rsidR="00FE518C" w:rsidRPr="00FE518C" w:rsidRDefault="00FE518C" w:rsidP="00FE518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Comparable groups</w:t>
            </w:r>
          </w:p>
        </w:tc>
        <w:tc>
          <w:tcPr>
            <w:tcW w:w="390" w:type="pct"/>
            <w:hideMark/>
          </w:tcPr>
          <w:p w14:paraId="6AE9EDB3" w14:textId="77777777" w:rsidR="00FE518C" w:rsidRPr="00FE518C" w:rsidRDefault="00FE518C" w:rsidP="00FE518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Matched cases and controls</w:t>
            </w:r>
          </w:p>
        </w:tc>
        <w:tc>
          <w:tcPr>
            <w:tcW w:w="368" w:type="pct"/>
            <w:hideMark/>
          </w:tcPr>
          <w:p w14:paraId="2B50E257" w14:textId="77777777" w:rsidR="00FE518C" w:rsidRPr="00FE518C" w:rsidRDefault="00FE518C" w:rsidP="00FE518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Same criteria for cases and controls</w:t>
            </w:r>
          </w:p>
        </w:tc>
        <w:tc>
          <w:tcPr>
            <w:tcW w:w="526" w:type="pct"/>
            <w:hideMark/>
          </w:tcPr>
          <w:p w14:paraId="5907F640" w14:textId="77777777" w:rsidR="00FE518C" w:rsidRPr="00FE518C" w:rsidRDefault="00FE518C" w:rsidP="00FE518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Measurement of exposure in a standard, valid, and reliable way</w:t>
            </w:r>
          </w:p>
        </w:tc>
        <w:tc>
          <w:tcPr>
            <w:tcW w:w="414" w:type="pct"/>
          </w:tcPr>
          <w:p w14:paraId="217EDC81" w14:textId="77777777" w:rsidR="00FE518C" w:rsidRPr="00FE518C" w:rsidRDefault="00FE518C" w:rsidP="00FE518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Exposure measured in same way in controls and cases</w:t>
            </w:r>
          </w:p>
        </w:tc>
        <w:tc>
          <w:tcPr>
            <w:tcW w:w="435" w:type="pct"/>
            <w:hideMark/>
          </w:tcPr>
          <w:p w14:paraId="1ADDFFE1" w14:textId="77777777" w:rsidR="00FE518C" w:rsidRPr="00FE518C" w:rsidRDefault="00FE518C" w:rsidP="00FE518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Confounding factors identified</w:t>
            </w:r>
          </w:p>
        </w:tc>
        <w:tc>
          <w:tcPr>
            <w:tcW w:w="387" w:type="pct"/>
            <w:hideMark/>
          </w:tcPr>
          <w:p w14:paraId="51AE2B5C" w14:textId="77777777" w:rsidR="00FE518C" w:rsidRPr="00FE518C" w:rsidRDefault="00FE518C" w:rsidP="00FE518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Strategies to deal with confounder stated</w:t>
            </w:r>
          </w:p>
        </w:tc>
        <w:tc>
          <w:tcPr>
            <w:tcW w:w="451" w:type="pct"/>
            <w:hideMark/>
          </w:tcPr>
          <w:p w14:paraId="21C25359" w14:textId="77777777" w:rsidR="00FE518C" w:rsidRPr="00FE518C" w:rsidRDefault="00FE518C" w:rsidP="00FE518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 xml:space="preserve">Measurement of outcomes </w:t>
            </w:r>
          </w:p>
        </w:tc>
        <w:tc>
          <w:tcPr>
            <w:tcW w:w="415" w:type="pct"/>
            <w:hideMark/>
          </w:tcPr>
          <w:p w14:paraId="37043887" w14:textId="77777777" w:rsidR="00FE518C" w:rsidRPr="00FE518C" w:rsidRDefault="00FE518C" w:rsidP="00FE518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Appropriate statistical analysis</w:t>
            </w:r>
          </w:p>
        </w:tc>
        <w:tc>
          <w:tcPr>
            <w:tcW w:w="476" w:type="pct"/>
          </w:tcPr>
          <w:p w14:paraId="37F9598D" w14:textId="77777777" w:rsidR="00FE518C" w:rsidRPr="00FE518C" w:rsidRDefault="00FE518C" w:rsidP="00FE518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Exposure period appropriate</w:t>
            </w:r>
          </w:p>
        </w:tc>
        <w:tc>
          <w:tcPr>
            <w:tcW w:w="418" w:type="pct"/>
            <w:hideMark/>
          </w:tcPr>
          <w:p w14:paraId="73ED4D23" w14:textId="77777777" w:rsidR="00FE518C" w:rsidRPr="00FE518C" w:rsidRDefault="00FE518C" w:rsidP="00FE518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Overall Appraisal</w:t>
            </w:r>
          </w:p>
        </w:tc>
      </w:tr>
      <w:tr w:rsidR="00FE518C" w:rsidRPr="00FE518C" w14:paraId="3A43B033"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 w:type="pct"/>
          </w:tcPr>
          <w:p w14:paraId="4E7A17C6" w14:textId="77777777" w:rsidR="00FE518C" w:rsidRPr="00FE518C" w:rsidRDefault="00FE518C" w:rsidP="00FE518C">
            <w:pPr>
              <w:rPr>
                <w:rFonts w:ascii="Times New Roman" w:eastAsia="Calibri" w:hAnsi="Times New Roman" w:cs="Times New Roman"/>
                <w:lang w:val="en-IN"/>
              </w:rPr>
            </w:pPr>
            <w:r w:rsidRPr="00FE518C">
              <w:rPr>
                <w:rFonts w:ascii="Times New Roman" w:eastAsia="Calibri" w:hAnsi="Times New Roman" w:cs="Times New Roman"/>
              </w:rPr>
              <w:t>Azevedo et al.2006</w:t>
            </w:r>
          </w:p>
        </w:tc>
        <w:tc>
          <w:tcPr>
            <w:tcW w:w="417" w:type="pct"/>
          </w:tcPr>
          <w:p w14:paraId="3CEEF3F3"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390" w:type="pct"/>
          </w:tcPr>
          <w:p w14:paraId="36119622"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No</w:t>
            </w:r>
          </w:p>
        </w:tc>
        <w:tc>
          <w:tcPr>
            <w:tcW w:w="368" w:type="pct"/>
          </w:tcPr>
          <w:p w14:paraId="5BB95C8F"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526" w:type="pct"/>
          </w:tcPr>
          <w:p w14:paraId="7120BB5A"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No</w:t>
            </w:r>
          </w:p>
        </w:tc>
        <w:tc>
          <w:tcPr>
            <w:tcW w:w="414" w:type="pct"/>
          </w:tcPr>
          <w:p w14:paraId="0FC070FF"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35" w:type="pct"/>
          </w:tcPr>
          <w:p w14:paraId="64BB9F81"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387" w:type="pct"/>
          </w:tcPr>
          <w:p w14:paraId="0CE312E6"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51" w:type="pct"/>
          </w:tcPr>
          <w:p w14:paraId="7E58BEC5"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15" w:type="pct"/>
          </w:tcPr>
          <w:p w14:paraId="2D9B74C4"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76" w:type="pct"/>
          </w:tcPr>
          <w:p w14:paraId="3FDB5DF1"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Unclear</w:t>
            </w:r>
          </w:p>
        </w:tc>
        <w:tc>
          <w:tcPr>
            <w:tcW w:w="418" w:type="pct"/>
          </w:tcPr>
          <w:p w14:paraId="5DAFBF1D"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lang w:val="en-IN"/>
              </w:rPr>
            </w:pPr>
            <w:r w:rsidRPr="00FE518C">
              <w:rPr>
                <w:rFonts w:ascii="Times New Roman" w:eastAsia="Calibri" w:hAnsi="Times New Roman" w:cs="Times New Roman"/>
                <w:b/>
                <w:bCs/>
                <w:lang w:val="en-IN"/>
              </w:rPr>
              <w:t>Include</w:t>
            </w:r>
          </w:p>
        </w:tc>
      </w:tr>
      <w:tr w:rsidR="00FE518C" w:rsidRPr="00FE518C" w14:paraId="7E7FB855" w14:textId="77777777" w:rsidTr="00976698">
        <w:tc>
          <w:tcPr>
            <w:cnfStyle w:val="001000000000" w:firstRow="0" w:lastRow="0" w:firstColumn="1" w:lastColumn="0" w:oddVBand="0" w:evenVBand="0" w:oddHBand="0" w:evenHBand="0" w:firstRowFirstColumn="0" w:firstRowLastColumn="0" w:lastRowFirstColumn="0" w:lastRowLastColumn="0"/>
            <w:tcW w:w="303" w:type="pct"/>
          </w:tcPr>
          <w:p w14:paraId="51CB673F" w14:textId="77777777" w:rsidR="00FE518C" w:rsidRPr="00FE518C" w:rsidRDefault="00FE518C" w:rsidP="00FE518C">
            <w:pPr>
              <w:rPr>
                <w:rFonts w:ascii="Times New Roman" w:eastAsia="Calibri" w:hAnsi="Times New Roman" w:cs="Times New Roman"/>
              </w:rPr>
            </w:pPr>
            <w:r w:rsidRPr="00FE518C">
              <w:rPr>
                <w:rFonts w:ascii="Times New Roman" w:eastAsia="Calibri" w:hAnsi="Times New Roman" w:cs="Times New Roman"/>
              </w:rPr>
              <w:t>Cornelis et al.2006</w:t>
            </w:r>
          </w:p>
        </w:tc>
        <w:tc>
          <w:tcPr>
            <w:tcW w:w="417" w:type="pct"/>
          </w:tcPr>
          <w:p w14:paraId="0344CA1C"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390" w:type="pct"/>
          </w:tcPr>
          <w:p w14:paraId="010A4F12"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368" w:type="pct"/>
          </w:tcPr>
          <w:p w14:paraId="0388102E"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526" w:type="pct"/>
          </w:tcPr>
          <w:p w14:paraId="15E16663"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No</w:t>
            </w:r>
          </w:p>
        </w:tc>
        <w:tc>
          <w:tcPr>
            <w:tcW w:w="414" w:type="pct"/>
          </w:tcPr>
          <w:p w14:paraId="032194BA"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35" w:type="pct"/>
          </w:tcPr>
          <w:p w14:paraId="3A536869"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387" w:type="pct"/>
          </w:tcPr>
          <w:p w14:paraId="2CD96310"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51" w:type="pct"/>
          </w:tcPr>
          <w:p w14:paraId="2ABA347B"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15" w:type="pct"/>
          </w:tcPr>
          <w:p w14:paraId="447C1A17"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76" w:type="pct"/>
          </w:tcPr>
          <w:p w14:paraId="6801C22A"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Unclear</w:t>
            </w:r>
          </w:p>
        </w:tc>
        <w:tc>
          <w:tcPr>
            <w:tcW w:w="418" w:type="pct"/>
          </w:tcPr>
          <w:p w14:paraId="2682AEFC"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lang w:val="en-IN"/>
              </w:rPr>
            </w:pPr>
            <w:r w:rsidRPr="00FE518C">
              <w:rPr>
                <w:rFonts w:ascii="Times New Roman" w:eastAsia="Calibri" w:hAnsi="Times New Roman" w:cs="Times New Roman"/>
                <w:b/>
                <w:bCs/>
                <w:lang w:val="en-IN"/>
              </w:rPr>
              <w:t>Include</w:t>
            </w:r>
          </w:p>
        </w:tc>
      </w:tr>
      <w:tr w:rsidR="00FE518C" w:rsidRPr="00FE518C" w14:paraId="70127107"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 w:type="pct"/>
          </w:tcPr>
          <w:p w14:paraId="04CF9D54" w14:textId="77777777" w:rsidR="00FE518C" w:rsidRPr="00FE518C" w:rsidRDefault="00FE518C" w:rsidP="00FE518C">
            <w:pPr>
              <w:rPr>
                <w:rFonts w:ascii="Times New Roman" w:eastAsia="Calibri" w:hAnsi="Times New Roman" w:cs="Times New Roman"/>
              </w:rPr>
            </w:pPr>
            <w:r w:rsidRPr="00FE518C">
              <w:rPr>
                <w:rFonts w:ascii="Times New Roman" w:eastAsia="Calibri" w:hAnsi="Times New Roman" w:cs="Times New Roman"/>
              </w:rPr>
              <w:t>Nilsson et al.2010</w:t>
            </w:r>
          </w:p>
        </w:tc>
        <w:tc>
          <w:tcPr>
            <w:tcW w:w="417" w:type="pct"/>
          </w:tcPr>
          <w:p w14:paraId="2BD34A27"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390" w:type="pct"/>
          </w:tcPr>
          <w:p w14:paraId="63D07B34"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368" w:type="pct"/>
          </w:tcPr>
          <w:p w14:paraId="50136D34"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526" w:type="pct"/>
          </w:tcPr>
          <w:p w14:paraId="145152A3"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No</w:t>
            </w:r>
          </w:p>
        </w:tc>
        <w:tc>
          <w:tcPr>
            <w:tcW w:w="414" w:type="pct"/>
          </w:tcPr>
          <w:p w14:paraId="0EDBFC87"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35" w:type="pct"/>
          </w:tcPr>
          <w:p w14:paraId="28737B32"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387" w:type="pct"/>
          </w:tcPr>
          <w:p w14:paraId="7149F0D2"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51" w:type="pct"/>
          </w:tcPr>
          <w:p w14:paraId="3CA8A951"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15" w:type="pct"/>
          </w:tcPr>
          <w:p w14:paraId="2D745A2D"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76" w:type="pct"/>
          </w:tcPr>
          <w:p w14:paraId="63B42A57"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18" w:type="pct"/>
          </w:tcPr>
          <w:p w14:paraId="11C93C13"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lang w:val="en-IN"/>
              </w:rPr>
            </w:pPr>
            <w:r w:rsidRPr="00FE518C">
              <w:rPr>
                <w:rFonts w:ascii="Times New Roman" w:eastAsia="Calibri" w:hAnsi="Times New Roman" w:cs="Times New Roman"/>
                <w:b/>
                <w:bCs/>
                <w:lang w:val="en-IN"/>
              </w:rPr>
              <w:t>Include</w:t>
            </w:r>
          </w:p>
        </w:tc>
      </w:tr>
      <w:tr w:rsidR="00FE518C" w:rsidRPr="00FE518C" w14:paraId="097884E7" w14:textId="77777777" w:rsidTr="00976698">
        <w:tc>
          <w:tcPr>
            <w:cnfStyle w:val="001000000000" w:firstRow="0" w:lastRow="0" w:firstColumn="1" w:lastColumn="0" w:oddVBand="0" w:evenVBand="0" w:oddHBand="0" w:evenHBand="0" w:firstRowFirstColumn="0" w:firstRowLastColumn="0" w:lastRowFirstColumn="0" w:lastRowLastColumn="0"/>
            <w:tcW w:w="303" w:type="pct"/>
          </w:tcPr>
          <w:p w14:paraId="0E87085E" w14:textId="77777777" w:rsidR="00FE518C" w:rsidRPr="00FE518C" w:rsidRDefault="00FE518C" w:rsidP="00FE518C">
            <w:pPr>
              <w:rPr>
                <w:rFonts w:ascii="Times New Roman" w:eastAsia="Calibri" w:hAnsi="Times New Roman" w:cs="Times New Roman"/>
              </w:rPr>
            </w:pPr>
            <w:r w:rsidRPr="00FE518C">
              <w:rPr>
                <w:rFonts w:ascii="Times New Roman" w:eastAsia="Calibri" w:hAnsi="Times New Roman" w:cs="Times New Roman"/>
              </w:rPr>
              <w:t>Tavani et al.2001</w:t>
            </w:r>
          </w:p>
        </w:tc>
        <w:tc>
          <w:tcPr>
            <w:tcW w:w="417" w:type="pct"/>
          </w:tcPr>
          <w:p w14:paraId="6D58A422"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390" w:type="pct"/>
          </w:tcPr>
          <w:p w14:paraId="7C9DB012"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No</w:t>
            </w:r>
          </w:p>
        </w:tc>
        <w:tc>
          <w:tcPr>
            <w:tcW w:w="368" w:type="pct"/>
          </w:tcPr>
          <w:p w14:paraId="4878AF54"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526" w:type="pct"/>
          </w:tcPr>
          <w:p w14:paraId="58EB0F0B"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No</w:t>
            </w:r>
          </w:p>
        </w:tc>
        <w:tc>
          <w:tcPr>
            <w:tcW w:w="414" w:type="pct"/>
          </w:tcPr>
          <w:p w14:paraId="4CACF78E"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35" w:type="pct"/>
          </w:tcPr>
          <w:p w14:paraId="22A1E545"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387" w:type="pct"/>
          </w:tcPr>
          <w:p w14:paraId="37E54403"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51" w:type="pct"/>
          </w:tcPr>
          <w:p w14:paraId="716EE68D"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15" w:type="pct"/>
          </w:tcPr>
          <w:p w14:paraId="468FA9A8"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76" w:type="pct"/>
          </w:tcPr>
          <w:p w14:paraId="106C6461"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Unclear</w:t>
            </w:r>
          </w:p>
        </w:tc>
        <w:tc>
          <w:tcPr>
            <w:tcW w:w="418" w:type="pct"/>
          </w:tcPr>
          <w:p w14:paraId="2953A89E" w14:textId="77777777" w:rsidR="00FE518C" w:rsidRPr="00FE518C" w:rsidRDefault="00FE518C" w:rsidP="00FE518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lang w:val="en-IN"/>
              </w:rPr>
            </w:pPr>
            <w:r w:rsidRPr="00FE518C">
              <w:rPr>
                <w:rFonts w:ascii="Times New Roman" w:eastAsia="Calibri" w:hAnsi="Times New Roman" w:cs="Times New Roman"/>
                <w:b/>
                <w:bCs/>
                <w:lang w:val="en-IN"/>
              </w:rPr>
              <w:t>Include</w:t>
            </w:r>
          </w:p>
        </w:tc>
      </w:tr>
      <w:tr w:rsidR="00FE518C" w:rsidRPr="00FE518C" w14:paraId="4E4201FB" w14:textId="77777777" w:rsidTr="00FE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 w:type="pct"/>
          </w:tcPr>
          <w:p w14:paraId="6F8F3AAD" w14:textId="77777777" w:rsidR="00FE518C" w:rsidRPr="00FE518C" w:rsidRDefault="00FE518C" w:rsidP="00FE518C">
            <w:pPr>
              <w:rPr>
                <w:rFonts w:ascii="Times New Roman" w:eastAsia="Calibri" w:hAnsi="Times New Roman" w:cs="Times New Roman"/>
              </w:rPr>
            </w:pPr>
            <w:r w:rsidRPr="00FE518C">
              <w:rPr>
                <w:rFonts w:ascii="Times New Roman" w:eastAsia="Calibri" w:hAnsi="Times New Roman" w:cs="Times New Roman"/>
              </w:rPr>
              <w:t>Tavani et al.2004</w:t>
            </w:r>
          </w:p>
        </w:tc>
        <w:tc>
          <w:tcPr>
            <w:tcW w:w="417" w:type="pct"/>
          </w:tcPr>
          <w:p w14:paraId="64CAF7DB"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390" w:type="pct"/>
          </w:tcPr>
          <w:p w14:paraId="599373E2"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No</w:t>
            </w:r>
          </w:p>
        </w:tc>
        <w:tc>
          <w:tcPr>
            <w:tcW w:w="368" w:type="pct"/>
          </w:tcPr>
          <w:p w14:paraId="08D19174"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526" w:type="pct"/>
          </w:tcPr>
          <w:p w14:paraId="6AC5B547"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No</w:t>
            </w:r>
          </w:p>
        </w:tc>
        <w:tc>
          <w:tcPr>
            <w:tcW w:w="414" w:type="pct"/>
          </w:tcPr>
          <w:p w14:paraId="3DC85017"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35" w:type="pct"/>
          </w:tcPr>
          <w:p w14:paraId="48B56064"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387" w:type="pct"/>
          </w:tcPr>
          <w:p w14:paraId="713FB497"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51" w:type="pct"/>
          </w:tcPr>
          <w:p w14:paraId="34000403"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15" w:type="pct"/>
          </w:tcPr>
          <w:p w14:paraId="7FA6A401"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Yes</w:t>
            </w:r>
          </w:p>
        </w:tc>
        <w:tc>
          <w:tcPr>
            <w:tcW w:w="476" w:type="pct"/>
          </w:tcPr>
          <w:p w14:paraId="36EEAE0E"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IN"/>
              </w:rPr>
            </w:pPr>
            <w:r w:rsidRPr="00FE518C">
              <w:rPr>
                <w:rFonts w:ascii="Times New Roman" w:eastAsia="Calibri" w:hAnsi="Times New Roman" w:cs="Times New Roman"/>
                <w:lang w:val="en-IN"/>
              </w:rPr>
              <w:t>Unclear</w:t>
            </w:r>
          </w:p>
        </w:tc>
        <w:tc>
          <w:tcPr>
            <w:tcW w:w="418" w:type="pct"/>
          </w:tcPr>
          <w:p w14:paraId="7D9813F1" w14:textId="77777777" w:rsidR="00FE518C" w:rsidRPr="00FE518C" w:rsidRDefault="00FE518C" w:rsidP="00FE518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lang w:val="en-IN"/>
              </w:rPr>
            </w:pPr>
            <w:r w:rsidRPr="00FE518C">
              <w:rPr>
                <w:rFonts w:ascii="Times New Roman" w:eastAsia="Calibri" w:hAnsi="Times New Roman" w:cs="Times New Roman"/>
                <w:b/>
                <w:bCs/>
                <w:lang w:val="en-IN"/>
              </w:rPr>
              <w:t>Include</w:t>
            </w:r>
          </w:p>
        </w:tc>
      </w:tr>
    </w:tbl>
    <w:p w14:paraId="5552D6B8" w14:textId="77777777" w:rsidR="00FE518C" w:rsidRPr="00FE518C" w:rsidRDefault="00FE518C" w:rsidP="00FE518C">
      <w:pPr>
        <w:rPr>
          <w:rFonts w:ascii="Times New Roman" w:eastAsia="Calibri" w:hAnsi="Times New Roman" w:cs="Times New Roman"/>
        </w:rPr>
      </w:pPr>
    </w:p>
    <w:p w14:paraId="1B63087C" w14:textId="77777777" w:rsidR="000B4D3A" w:rsidRDefault="000B4D3A" w:rsidP="000B4D3A">
      <w:pPr>
        <w:rPr>
          <w:rFonts w:ascii="Times New Roman" w:eastAsia="Calibri" w:hAnsi="Times New Roman" w:cs="Times New Roman"/>
          <w:b/>
          <w:bCs/>
        </w:rPr>
      </w:pPr>
    </w:p>
    <w:p w14:paraId="71391F81" w14:textId="77777777" w:rsidR="000B4D3A" w:rsidRDefault="000B4D3A" w:rsidP="000B4D3A">
      <w:pPr>
        <w:rPr>
          <w:rFonts w:ascii="Times New Roman" w:eastAsia="Calibri" w:hAnsi="Times New Roman" w:cs="Times New Roman"/>
          <w:b/>
          <w:bCs/>
        </w:rPr>
      </w:pPr>
    </w:p>
    <w:p w14:paraId="714042ED" w14:textId="77777777" w:rsidR="000B4D3A" w:rsidRDefault="000B4D3A" w:rsidP="000B4D3A">
      <w:pPr>
        <w:rPr>
          <w:rFonts w:ascii="Times New Roman" w:eastAsia="Calibri" w:hAnsi="Times New Roman" w:cs="Times New Roman"/>
          <w:b/>
          <w:bCs/>
        </w:rPr>
      </w:pPr>
    </w:p>
    <w:p w14:paraId="46EBDF69" w14:textId="77777777" w:rsidR="000B4D3A" w:rsidRDefault="000B4D3A" w:rsidP="000B4D3A">
      <w:pPr>
        <w:rPr>
          <w:rFonts w:ascii="Times New Roman" w:eastAsia="Calibri" w:hAnsi="Times New Roman" w:cs="Times New Roman"/>
          <w:b/>
          <w:bCs/>
        </w:rPr>
      </w:pPr>
    </w:p>
    <w:p w14:paraId="2AD8AEEF" w14:textId="3DF85F78" w:rsidR="000B4D3A" w:rsidRPr="00FE518C" w:rsidRDefault="000B4D3A" w:rsidP="000B4D3A">
      <w:pPr>
        <w:rPr>
          <w:rFonts w:ascii="Times New Roman" w:eastAsia="Calibri" w:hAnsi="Times New Roman" w:cs="Times New Roman"/>
          <w:b/>
          <w:bCs/>
        </w:rPr>
      </w:pPr>
      <w:r w:rsidRPr="00FE518C">
        <w:rPr>
          <w:rFonts w:ascii="Times New Roman" w:eastAsia="Calibri" w:hAnsi="Times New Roman" w:cs="Times New Roman"/>
          <w:b/>
          <w:bCs/>
        </w:rPr>
        <w:lastRenderedPageBreak/>
        <w:t xml:space="preserve">APPENDIX </w:t>
      </w:r>
      <w:r>
        <w:rPr>
          <w:rFonts w:ascii="Times New Roman" w:eastAsia="Calibri" w:hAnsi="Times New Roman" w:cs="Times New Roman"/>
          <w:b/>
          <w:bCs/>
        </w:rPr>
        <w:t>C</w:t>
      </w:r>
      <w:r w:rsidRPr="00FE518C">
        <w:rPr>
          <w:rFonts w:ascii="Times New Roman" w:eastAsia="Calibri" w:hAnsi="Times New Roman" w:cs="Times New Roman"/>
          <w:b/>
          <w:bCs/>
        </w:rPr>
        <w:t xml:space="preserve">: </w:t>
      </w:r>
      <w:r>
        <w:rPr>
          <w:rFonts w:ascii="Times New Roman" w:eastAsia="Calibri" w:hAnsi="Times New Roman" w:cs="Times New Roman"/>
          <w:b/>
          <w:bCs/>
        </w:rPr>
        <w:t xml:space="preserve">Excluded Studies </w:t>
      </w:r>
    </w:p>
    <w:p w14:paraId="66043732" w14:textId="61E6971C" w:rsidR="00FE518C" w:rsidRPr="000B4D3A" w:rsidRDefault="000B4D3A" w:rsidP="000B4D3A">
      <w:pPr>
        <w:rPr>
          <w:rFonts w:ascii="Times New Roman" w:eastAsia="Calibri" w:hAnsi="Times New Roman" w:cs="Times New Roman"/>
          <w:b/>
          <w:bCs/>
        </w:rPr>
      </w:pPr>
      <w:r w:rsidRPr="00FE518C">
        <w:rPr>
          <w:rFonts w:ascii="Times New Roman" w:eastAsia="Calibri" w:hAnsi="Times New Roman" w:cs="Times New Roman"/>
          <w:b/>
          <w:bCs/>
        </w:rPr>
        <w:t xml:space="preserve">Table </w:t>
      </w:r>
      <w:r>
        <w:rPr>
          <w:rFonts w:ascii="Times New Roman" w:eastAsia="Calibri" w:hAnsi="Times New Roman" w:cs="Times New Roman"/>
          <w:b/>
          <w:bCs/>
        </w:rPr>
        <w:t>3</w:t>
      </w:r>
      <w:r w:rsidRPr="00FE518C">
        <w:rPr>
          <w:rFonts w:ascii="Times New Roman" w:eastAsia="Calibri" w:hAnsi="Times New Roman" w:cs="Times New Roman"/>
          <w:b/>
          <w:bCs/>
        </w:rPr>
        <w:t xml:space="preserve">: </w:t>
      </w:r>
      <w:r w:rsidRPr="000B4D3A">
        <w:rPr>
          <w:b/>
          <w:bCs/>
        </w:rPr>
        <w:t>Studies excluded after eligibility assessment and reasons for exclusion.</w:t>
      </w:r>
    </w:p>
    <w:tbl>
      <w:tblPr>
        <w:tblStyle w:val="TableGrid"/>
        <w:tblW w:w="11430" w:type="dxa"/>
        <w:tblInd w:w="-1175" w:type="dxa"/>
        <w:tblLook w:val="04A0" w:firstRow="1" w:lastRow="0" w:firstColumn="1" w:lastColumn="0" w:noHBand="0" w:noVBand="1"/>
      </w:tblPr>
      <w:tblGrid>
        <w:gridCol w:w="2970"/>
        <w:gridCol w:w="8460"/>
      </w:tblGrid>
      <w:tr w:rsidR="000B4D3A" w:rsidRPr="007D63B8" w14:paraId="1CEF4E00" w14:textId="77777777" w:rsidTr="00666B63">
        <w:tc>
          <w:tcPr>
            <w:tcW w:w="2970" w:type="dxa"/>
          </w:tcPr>
          <w:p w14:paraId="78C5BFDC" w14:textId="77777777" w:rsidR="000B4D3A" w:rsidRPr="007D63B8" w:rsidRDefault="000B4D3A" w:rsidP="00666B63">
            <w:pPr>
              <w:rPr>
                <w:b/>
                <w:bCs/>
              </w:rPr>
            </w:pPr>
            <w:r w:rsidRPr="007D63B8">
              <w:rPr>
                <w:b/>
                <w:bCs/>
              </w:rPr>
              <w:t>Study ID</w:t>
            </w:r>
          </w:p>
        </w:tc>
        <w:tc>
          <w:tcPr>
            <w:tcW w:w="8460" w:type="dxa"/>
          </w:tcPr>
          <w:p w14:paraId="555E47A4" w14:textId="77777777" w:rsidR="000B4D3A" w:rsidRPr="007D63B8" w:rsidRDefault="000B4D3A" w:rsidP="00666B63">
            <w:pPr>
              <w:rPr>
                <w:b/>
                <w:bCs/>
              </w:rPr>
            </w:pPr>
            <w:r w:rsidRPr="007D63B8">
              <w:rPr>
                <w:b/>
                <w:bCs/>
              </w:rPr>
              <w:t>Reasons for exclusion</w:t>
            </w:r>
          </w:p>
        </w:tc>
      </w:tr>
      <w:tr w:rsidR="000B4D3A" w14:paraId="04F82817" w14:textId="77777777" w:rsidTr="00666B63">
        <w:tc>
          <w:tcPr>
            <w:tcW w:w="2970" w:type="dxa"/>
          </w:tcPr>
          <w:p w14:paraId="23900D4D" w14:textId="77777777" w:rsidR="000B4D3A" w:rsidRDefault="000B4D3A" w:rsidP="00666B63">
            <w:hyperlink r:id="rId4" w:history="1">
              <w:proofErr w:type="spellStart"/>
              <w:r w:rsidRPr="002217C6">
                <w:rPr>
                  <w:rStyle w:val="Hyperlink"/>
                  <w:color w:val="auto"/>
                </w:rPr>
                <w:t>Ilbäck</w:t>
              </w:r>
              <w:proofErr w:type="spellEnd"/>
            </w:hyperlink>
            <w:r w:rsidRPr="002217C6">
              <w:t xml:space="preserve"> </w:t>
            </w:r>
            <w:r>
              <w:t>et al.2007</w:t>
            </w:r>
            <w:r>
              <w:fldChar w:fldCharType="begin"/>
            </w:r>
            <w:r>
              <w:instrText xml:space="preserve"> ADDIN ZOTERO_ITEM CSL_CITATION {"citationID":"U05sryVE","properties":{"formattedCitation":"(1)","plainCitation":"(1)","noteIndex":0},"citationItems":[{"id":18193,"uris":["http://zotero.org/users/local/lRqU69pQ/items/UAA442D6"],"itemData":{"id":18193,"type":"article-journal","abstract":"Caffeine (1,3,7 trimethylxanthine) affects the cardiovascular system, with potential toxic effects ranging from a moderate increase in heart rate to more severe cardiac arrhythmias. Telemetry transmitters were implanted in Wistar rats in the peritoneal cavity with a pressure catheter in the aorta and electrodes for electrocardiogram (ECG) recording subcutaneously. After a single oral administration of saline, each rat was administered single oral doses of 5, 15 and 45 mg/kg b.w. of caffeine. Caffeine was found to induce, to various degrees, a dose-dependent early increase in spontaneous physical activity, heart rate, dp/dt and systolic-diastolic blood pressure. No arrhythmias or visual changes were observed in the ECG complex. High doses induced more strong responses and of longer duration. The increase in systolic blood pressure at the median dose remained in the rats until 20 h after administration. However, the highest dose of caffeine (45 mg/kg b.w.) induced a biphasic response, with an early and pronounced increase in body temperature, spontaneous physical activity, systolic and diastolic blood pressure that later decreased, except for the systolic blood pressure. The results show that the dose level for long-lasting signs of intoxication to develop in the rat, in terms of effects on spontaneous physical activity, body temperature and cardiovascular function, was reached after a single oral dose of caffeine at 45 mg/kg b.w.","container-title":"Food and Chemical Toxicology: An International Journal Published for the British Industrial Biological Research Association","DOI":"10.1016/j.fct.2006.11.001","ISSN":"0278-6915","issue":"5","journalAbbreviation":"Food Chem Toxicol","language":"eng","note":"PMID: 17175084","page":"834-842","source":"PubMed","title":"Evaluation of cardiovascular effects of caffeine using telemetric monitoring in the conscious rat","volume":"45","author":[{"family":"Ilbäck","given":"Nils-Gunnar"},{"family":"Siller","given":"Max"},{"family":"Stålhandske","given":"Torbjörn"}],"issued":{"date-parts":[["2007",5]]}}}],"schema":"https://github.com/citation-style-language/schema/raw/master/csl-citation.json"} </w:instrText>
            </w:r>
            <w:r>
              <w:fldChar w:fldCharType="separate"/>
            </w:r>
            <w:r w:rsidRPr="00C00DB1">
              <w:rPr>
                <w:rFonts w:ascii="Calibri" w:hAnsi="Calibri" w:cs="Calibri"/>
              </w:rPr>
              <w:t>(</w:t>
            </w:r>
            <w:r>
              <w:rPr>
                <w:rFonts w:ascii="Calibri" w:hAnsi="Calibri" w:cs="Calibri"/>
              </w:rPr>
              <w:t>72</w:t>
            </w:r>
            <w:r w:rsidRPr="00C00DB1">
              <w:rPr>
                <w:rFonts w:ascii="Calibri" w:hAnsi="Calibri" w:cs="Calibri"/>
              </w:rPr>
              <w:t>)</w:t>
            </w:r>
            <w:r>
              <w:fldChar w:fldCharType="end"/>
            </w:r>
          </w:p>
        </w:tc>
        <w:tc>
          <w:tcPr>
            <w:tcW w:w="8460" w:type="dxa"/>
          </w:tcPr>
          <w:p w14:paraId="685AF865" w14:textId="77777777" w:rsidR="000B4D3A" w:rsidRDefault="000B4D3A" w:rsidP="00666B63">
            <w:r>
              <w:t>Animal study</w:t>
            </w:r>
          </w:p>
        </w:tc>
      </w:tr>
      <w:tr w:rsidR="000B4D3A" w14:paraId="67F5A72D" w14:textId="77777777" w:rsidTr="00666B63">
        <w:tc>
          <w:tcPr>
            <w:tcW w:w="2970" w:type="dxa"/>
          </w:tcPr>
          <w:p w14:paraId="3F26B553" w14:textId="77777777" w:rsidR="000B4D3A" w:rsidRPr="002217C6" w:rsidRDefault="000B4D3A" w:rsidP="00666B63">
            <w:r>
              <w:t>Li et al.2025</w:t>
            </w:r>
            <w:r>
              <w:fldChar w:fldCharType="begin"/>
            </w:r>
            <w:r>
              <w:instrText xml:space="preserve"> ADDIN ZOTERO_ITEM CSL_CITATION {"citationID":"1p4rd9mh","properties":{"formattedCitation":"(2)","plainCitation":"(2)","noteIndex":0},"citationItems":[{"id":18195,"uris":["http://zotero.org/users/local/lRqU69pQ/items/VGTADF48"],"itemData":{"id":18195,"type":"article-journal","abstract":"Figura Central:Estudo sobre os Níveis Urinários de Cafeína e seus Metabólitos em Adultos Americanos com Doença Cardíaca Coronária: Estudo Transversal NHANES (2009-2014)","container-title":"Arquivos Brasileiros de Cardiologia","DOI":"10.36660/abc.20240425","ISSN":"0066-782X","issue":"6","journalAbbreviation":"Arq Bras Cardiol","note":"PMID: 41379169\nPMCID: PMC12217927","page":"e20240425","source":"PubMed Central","title":"Estudo sobre os Níveis Urinários de Cafeína e seus Metabólitos em Adultos Americanos com Doença Cardíaca Coronária: Estudo Transversal NHANES (2009-2014)","title-short":"Estudo sobre os Níveis Urinários de Cafeína e seus Metabólitos em Adultos Americanos com Doença Cardíaca Coronária","volume":"122","author":[{"family":"Li","given":"Qianqian"},{"family":"Ke","given":"Gan"},{"family":"Liu","given":"Mengdie"},{"family":"Chen","given":"Yanjun"},{"family":"Luo","given":"Ye"},{"family":"Qiu","given":"Liangxian"}],"issued":{"date-parts":[["2025",6,4]]}}}],"schema":"https://github.com/citation-style-language/schema/raw/master/csl-citation.json"} </w:instrText>
            </w:r>
            <w:r>
              <w:fldChar w:fldCharType="separate"/>
            </w:r>
            <w:r w:rsidRPr="0025095A">
              <w:rPr>
                <w:rFonts w:ascii="Calibri" w:hAnsi="Calibri" w:cs="Calibri"/>
              </w:rPr>
              <w:t>(</w:t>
            </w:r>
            <w:r>
              <w:rPr>
                <w:rFonts w:ascii="Calibri" w:hAnsi="Calibri" w:cs="Calibri"/>
              </w:rPr>
              <w:t>73</w:t>
            </w:r>
            <w:r w:rsidRPr="0025095A">
              <w:rPr>
                <w:rFonts w:ascii="Calibri" w:hAnsi="Calibri" w:cs="Calibri"/>
              </w:rPr>
              <w:t>)</w:t>
            </w:r>
            <w:r>
              <w:fldChar w:fldCharType="end"/>
            </w:r>
          </w:p>
        </w:tc>
        <w:tc>
          <w:tcPr>
            <w:tcW w:w="8460" w:type="dxa"/>
          </w:tcPr>
          <w:p w14:paraId="4B07091E" w14:textId="77777777" w:rsidR="000B4D3A" w:rsidRDefault="000B4D3A" w:rsidP="00666B63">
            <w:r>
              <w:t>Published in Portuguese</w:t>
            </w:r>
          </w:p>
        </w:tc>
      </w:tr>
      <w:tr w:rsidR="000B4D3A" w14:paraId="3F8B71D7" w14:textId="77777777" w:rsidTr="00666B63">
        <w:tc>
          <w:tcPr>
            <w:tcW w:w="2970" w:type="dxa"/>
          </w:tcPr>
          <w:p w14:paraId="561B5D09" w14:textId="77777777" w:rsidR="000B4D3A" w:rsidRDefault="000B4D3A" w:rsidP="00666B63">
            <w:r>
              <w:t>Agaty et al.2015</w:t>
            </w:r>
            <w:r>
              <w:fldChar w:fldCharType="begin"/>
            </w:r>
            <w:r>
              <w:instrText xml:space="preserve"> ADDIN ZOTERO_ITEM CSL_CITATION {"citationID":"HBYZizC9","properties":{"formattedCitation":"(3)","plainCitation":"(3)","noteIndex":0},"citationItems":[{"id":18199,"uris":["http://zotero.org/users/local/lRqU69pQ/items/VJ7V2MZE"],"itemData":{"id":18199,"type":"article-journal","abstract":"AIM: To evaluate the possible beneficial effect of long-term caffeine administration on cardiovascular system in aged rats.\nMETHODS: This study was carried out on 20 senile male albino rats, aged 18-20 months. Rats were divided into caffeine-treated group, which received 25 mg/kg caffeine by gavage daily for 6 weeks, and control group. All rats were subjected to the following in vivo measurements: body weight, arterial blood pressure, heart rate and ECG recording. In vitro measurements included studying isolated hearts in a Langendorff apparatus for their intrinsic properties as well as plasma levels of lipids, malondialdehyde and nitrate.\nRESULTS: Caffeine administration to aged rats significantly enhanced the baseline and maximum values achieved in response to isoproterenol infusion in isolated heart preparation for both maximum rate of tension development (dT/dt max) and time to peak tension (TPT). The responses of hearts isolated from caffeine group to the three doses of isoproterenol infusion also showed a significantly higher dT/dt max with shorter TPT and half relaxation time (1/2 RT) compared to controls. Plasma nitrate was significantly increased and ECG recording was nonsignificantly affected in caffeine group. The plasma levels of total cholesterol, LDL cholesterol as well as in vivo heart rate and systolic, diastolic and mean arterial blood pressures were all significantly increased associated with a significant decrease in HDL cholesterol in caffeine group.\nCONCLUSION: Long-term caffeine administration in aged rats increased cardiac inotropy, lusitropy and preserved NO level, which points to a promising potential favorable effect on cardiac intrinsic properties.","container-title":"Irish Journal of Medical Science","DOI":"10.1007/s11845-014-1098-z","ISSN":"1863-4362","issue":"2","journalAbbreviation":"Ir J Med Sci","language":"eng","note":"PMID: 24639015","page":"265-272","source":"PubMed","title":"Cardiovascular effects of long-term caffeine administration in aged rats","volume":"184","author":[{"family":"El Agaty","given":"S. M. T."},{"family":"Seif","given":"A. A."}],"issued":{"date-parts":[["2015",6]]}}}],"schema":"https://github.com/citation-style-language/schema/raw/master/csl-citation.json"} </w:instrText>
            </w:r>
            <w:r>
              <w:fldChar w:fldCharType="separate"/>
            </w:r>
            <w:r w:rsidRPr="00713B09">
              <w:rPr>
                <w:rFonts w:ascii="Calibri" w:hAnsi="Calibri" w:cs="Calibri"/>
              </w:rPr>
              <w:t>(</w:t>
            </w:r>
            <w:r>
              <w:rPr>
                <w:rFonts w:ascii="Calibri" w:hAnsi="Calibri" w:cs="Calibri"/>
              </w:rPr>
              <w:t>74</w:t>
            </w:r>
            <w:r w:rsidRPr="00713B09">
              <w:rPr>
                <w:rFonts w:ascii="Calibri" w:hAnsi="Calibri" w:cs="Calibri"/>
              </w:rPr>
              <w:t>)</w:t>
            </w:r>
            <w:r>
              <w:fldChar w:fldCharType="end"/>
            </w:r>
          </w:p>
        </w:tc>
        <w:tc>
          <w:tcPr>
            <w:tcW w:w="8460" w:type="dxa"/>
          </w:tcPr>
          <w:p w14:paraId="72CD0D7D" w14:textId="77777777" w:rsidR="000B4D3A" w:rsidRDefault="000B4D3A" w:rsidP="00666B63">
            <w:r>
              <w:t>Animal study</w:t>
            </w:r>
          </w:p>
        </w:tc>
      </w:tr>
      <w:tr w:rsidR="000B4D3A" w14:paraId="62ED66F2" w14:textId="77777777" w:rsidTr="00666B63">
        <w:tc>
          <w:tcPr>
            <w:tcW w:w="2970" w:type="dxa"/>
          </w:tcPr>
          <w:p w14:paraId="639B21A4" w14:textId="77777777" w:rsidR="000B4D3A" w:rsidRDefault="000B4D3A" w:rsidP="00666B63">
            <w:hyperlink r:id="rId5" w:anchor="auth-Haidi_M_-Abo_Elghait-Aff1" w:history="1">
              <w:r w:rsidRPr="00F10C93">
                <w:rPr>
                  <w:rStyle w:val="Hyperlink"/>
                  <w:color w:val="auto"/>
                </w:rPr>
                <w:t>Abo-</w:t>
              </w:r>
              <w:proofErr w:type="spellStart"/>
              <w:r w:rsidRPr="00F10C93">
                <w:rPr>
                  <w:rStyle w:val="Hyperlink"/>
                  <w:color w:val="auto"/>
                </w:rPr>
                <w:t>Elghait</w:t>
              </w:r>
              <w:proofErr w:type="spellEnd"/>
            </w:hyperlink>
            <w:r>
              <w:t xml:space="preserve"> et al.2025</w:t>
            </w:r>
            <w:r>
              <w:fldChar w:fldCharType="begin"/>
            </w:r>
            <w:r>
              <w:instrText xml:space="preserve"> ADDIN ZOTERO_ITEM CSL_CITATION {"citationID":"BBOvksdl","properties":{"formattedCitation":"(4)","plainCitation":"(4)","noteIndex":0},"citationItems":[{"id":18204,"uris":["http://zotero.org/users/local/lRqU69pQ/items/ZKMDHDUB"],"itemData":{"id":18204,"type":"article-journal","abstract":"Caffeine is a popular psychoactive substance that when used excessively can cause anxiety, insomnia, gastrointestinal disorders, and cardiovascular issues. Despite its ubiquitous use, the metabolic consequences of caffeine at different doses remain poorly understood. This study aims to address this gap by looking into the effects of caffeine on metabolic parameters in Sprague-Dawley rats.","container-title":"The Journal of Basic and Applied Zoology","DOI":"10.1186/s41936-025-00496-9","ISSN":"2090-990X","issue":"1","journalAbbreviation":"JoBAZ","language":"en","page":"77","source":"Springer Link","title":"Influence of caffeine on certain biochemical factors in rat model","volume":"86","author":[{"family":"Abo-Elghait","given":"Haidi M."},{"family":"Hussein","given":"Eslam A."},{"family":"Mohamad","given":"Dina M."},{"family":"Mohamed","given":"Kholoud G."},{"family":"Salah","given":"Asia K."},{"family":"Kasem","given":"Esraa A."},{"family":"Fathy","given":"Samah M."},{"family":"Mohamed","given":"Zaher A."}],"issued":{"date-parts":[["2025",10,3]]}}}],"schema":"https://github.com/citation-style-language/schema/raw/master/csl-citation.json"} </w:instrText>
            </w:r>
            <w:r>
              <w:fldChar w:fldCharType="separate"/>
            </w:r>
            <w:r w:rsidRPr="00475A2B">
              <w:rPr>
                <w:rFonts w:ascii="Calibri" w:hAnsi="Calibri" w:cs="Calibri"/>
              </w:rPr>
              <w:t>(</w:t>
            </w:r>
            <w:r>
              <w:rPr>
                <w:rFonts w:ascii="Calibri" w:hAnsi="Calibri" w:cs="Calibri"/>
              </w:rPr>
              <w:t>75</w:t>
            </w:r>
            <w:r w:rsidRPr="00475A2B">
              <w:rPr>
                <w:rFonts w:ascii="Calibri" w:hAnsi="Calibri" w:cs="Calibri"/>
              </w:rPr>
              <w:t>)</w:t>
            </w:r>
            <w:r>
              <w:fldChar w:fldCharType="end"/>
            </w:r>
          </w:p>
        </w:tc>
        <w:tc>
          <w:tcPr>
            <w:tcW w:w="8460" w:type="dxa"/>
          </w:tcPr>
          <w:p w14:paraId="516676EE" w14:textId="77777777" w:rsidR="000B4D3A" w:rsidRDefault="000B4D3A" w:rsidP="00666B63">
            <w:r>
              <w:t>Animal study</w:t>
            </w:r>
          </w:p>
        </w:tc>
      </w:tr>
      <w:tr w:rsidR="000B4D3A" w14:paraId="278EBBAD" w14:textId="77777777" w:rsidTr="00666B63">
        <w:tc>
          <w:tcPr>
            <w:tcW w:w="2970" w:type="dxa"/>
          </w:tcPr>
          <w:p w14:paraId="48932DA0" w14:textId="77777777" w:rsidR="000B4D3A" w:rsidRPr="00F10C93" w:rsidRDefault="000B4D3A" w:rsidP="00666B63">
            <w:r>
              <w:t>Fang et al.2016</w:t>
            </w:r>
            <w:r>
              <w:fldChar w:fldCharType="begin"/>
            </w:r>
            <w:r>
              <w:instrText xml:space="preserve"> ADDIN ZOTERO_ITEM CSL_CITATION {"citationID":"4uQdfjUx","properties":{"formattedCitation":"(5)","plainCitation":"(5)","noteIndex":0},"citationItems":[{"id":18206,"uris":["http://zotero.org/users/local/lRqU69pQ/items/QJEADTX7"],"itemData":{"id":18206,"type":"article-journal","abstract":"Each year millions of pregnant woman are exposed to caffeine, which acts to antagonize adenosine action. The long-term consequences of this exposure on the developing fetus are largely unknown, although in animal models we have found adverse effects on cardiac function. To assess if these effects are transmitted transgenerationally, we exposed pregnant mice to caffeine equivalent to 2–4 cups of coffee at two embryonic stages. Embryos (F1 generation) exposed to caffeine early from embryonic (E) day 6.5–9.5 developed a phenotype similar to dilated cardiomyopathy by 1 year of age. Embryos exposed to caffeine later (E10.5–13.5) were not affected. We next examined the F2 generation and F3 generation of mice exposed to caffeine from E10.5–13.5, as this coincides with germ cell development. These F2 generation adult mice developed a cardiac phenotype similar to hypertrophic cardiomyopathy. The F3 generation exhibited morphological changes in adult hearts, including increased mass. This report shows that in utero caffeine exposure has long-term effects into adulthood and that prenatal caffeine exposure can exert adverse transgenerational effects on adult cardiac function.","container-title":"Scientific Reports","DOI":"10.1038/srep34106","ISSN":"2045-2322","issue":"1","journalAbbreviation":"Sci Rep","language":"en","license":"2016 The Author(s)","note":"publisher: Nature Publishing Group","page":"34106","source":"www.nature.com","title":"In Utero Caffeine Exposure Induces Transgenerational Effects on the Adult Heart","volume":"6","author":[{"family":"Fang","given":"Xiefan"},{"family":"Poulsen","given":"Ryan R."},{"family":"Rivkees","given":"Scott A."},{"family":"Wendler","given":"Christopher C."}],"issued":{"date-parts":[["2016",9,28]]}}}],"schema":"https://github.com/citation-style-language/schema/raw/master/csl-citation.json"} </w:instrText>
            </w:r>
            <w:r>
              <w:fldChar w:fldCharType="separate"/>
            </w:r>
            <w:r w:rsidRPr="00F34DA6">
              <w:rPr>
                <w:rFonts w:ascii="Calibri" w:hAnsi="Calibri" w:cs="Calibri"/>
              </w:rPr>
              <w:t>(</w:t>
            </w:r>
            <w:r>
              <w:rPr>
                <w:rFonts w:ascii="Calibri" w:hAnsi="Calibri" w:cs="Calibri"/>
              </w:rPr>
              <w:t>76</w:t>
            </w:r>
            <w:r w:rsidRPr="00F34DA6">
              <w:rPr>
                <w:rFonts w:ascii="Calibri" w:hAnsi="Calibri" w:cs="Calibri"/>
              </w:rPr>
              <w:t>)</w:t>
            </w:r>
            <w:r>
              <w:fldChar w:fldCharType="end"/>
            </w:r>
          </w:p>
        </w:tc>
        <w:tc>
          <w:tcPr>
            <w:tcW w:w="8460" w:type="dxa"/>
          </w:tcPr>
          <w:p w14:paraId="514A398D" w14:textId="77777777" w:rsidR="000B4D3A" w:rsidRDefault="000B4D3A" w:rsidP="00666B63">
            <w:r>
              <w:t>Animal study</w:t>
            </w:r>
          </w:p>
        </w:tc>
      </w:tr>
      <w:tr w:rsidR="000B4D3A" w14:paraId="71E7BB57" w14:textId="77777777" w:rsidTr="00666B63">
        <w:tc>
          <w:tcPr>
            <w:tcW w:w="2970" w:type="dxa"/>
          </w:tcPr>
          <w:p w14:paraId="29C2B371" w14:textId="77777777" w:rsidR="000B4D3A" w:rsidRDefault="000B4D3A" w:rsidP="00666B63">
            <w:r>
              <w:t>Ding et al.2014</w:t>
            </w:r>
            <w:r>
              <w:fldChar w:fldCharType="begin"/>
            </w:r>
            <w:r>
              <w:instrText xml:space="preserve"> ADDIN ZOTERO_ITEM CSL_CITATION {"citationID":"WlJIdF0n","properties":{"formattedCitation":"(6)","plainCitation":"(6)","noteIndex":0},"citationItems":[{"id":18215,"uris":["http://zotero.org/users/local/lRqU69pQ/items/8NBJCZPZ"],"itemData":{"id":18215,"type":"article-journal","abstract":"BACKGROUND: Considerable controversy exists on the association between coffee consumption and cardiovascular disease (CVD) risk. A meta-analysis was performed to assess the dose-response relationship of long-term coffee consumption with CVD risk.\nMETHODS AND RESULTS: PubMed and EMBASE were searched for prospective cohort studies of the relationship between coffee consumption and CVD risk, which included coronary heart disease, stroke, heart failure, and CVD mortality. Thirty-six studies were included with 1 279 804 participants and 36 352 CVD cases. A nonlinear relationship of coffee consumption with CVD risk was identified (P for heterogeneity=0.09, P for trend &lt;0.001, P for nonlinearity &lt;0.001). Compared with the lowest category of coffee consumption (median, 0 cups per day), the relative risk of CVD was 0.95 (95% confidence interval, 0.87-1.03) for the highest category (median, 5 cups per day) category, 0.85 (95% confidence interval, 0.80-0.90) for the second highest category (median, 3.5 cups per day), and 0.89 (95% confidence interval, 0.84-0.94) for the third highest category (median, 1.5 cups per day). Looking at separate outcomes, coffee consumption was nonlinearly associated with both coronary heart disease (P for heterogeneity=0.001, P for trend &lt;0.001, P for nonlinearity &lt;0.001) and stroke (P for heterogeneity=0.07, P for trend &lt;0.001, P for nonlinearity &lt;0.001; P for trend differences &gt;0.05) risks.\nCONCLUSIONS: A nonlinear association between coffee consumption and CVD risk was observed in this meta-analysis. Moderate coffee consumption was inversely significantly associated with CVD risk, with the lowest CVD risk at 3 to 5 cups per day, and heavy coffee consumption was not associated with elevated CVD risk.","container-title":"Circulation","DOI":"10.1161/CIRCULATIONAHA.113.005925","ISSN":"1524-4539","issue":"6","journalAbbreviation":"Circulation","language":"eng","note":"PMID: 24201300\nPMCID: PMC3945962","page":"643-659","source":"PubMed","title":"Long-term coffee consumption and risk of cardiovascular disease: a systematic review and a dose-response meta-analysis of prospective cohort studies","title-short":"Long-term coffee consumption and risk of cardiovascular disease","volume":"129","author":[{"family":"Ding","given":"Ming"},{"family":"Bhupathiraju","given":"Shilpa N."},{"family":"Satija","given":"Ambika"},{"family":"Dam","given":"Rob M.","non-dropping-particle":"van"},{"family":"Hu","given":"Frank B."}],"issued":{"date-parts":[["2014",2,11]]}}}],"schema":"https://github.com/citation-style-language/schema/raw/master/csl-citation.json"} </w:instrText>
            </w:r>
            <w:r>
              <w:fldChar w:fldCharType="separate"/>
            </w:r>
            <w:r w:rsidRPr="001A17AD">
              <w:rPr>
                <w:rFonts w:ascii="Calibri" w:hAnsi="Calibri" w:cs="Calibri"/>
              </w:rPr>
              <w:t>(</w:t>
            </w:r>
            <w:r>
              <w:rPr>
                <w:rFonts w:ascii="Calibri" w:hAnsi="Calibri" w:cs="Calibri"/>
              </w:rPr>
              <w:t>77</w:t>
            </w:r>
            <w:r w:rsidRPr="001A17AD">
              <w:rPr>
                <w:rFonts w:ascii="Calibri" w:hAnsi="Calibri" w:cs="Calibri"/>
              </w:rPr>
              <w:t>)</w:t>
            </w:r>
            <w:r>
              <w:fldChar w:fldCharType="end"/>
            </w:r>
          </w:p>
        </w:tc>
        <w:tc>
          <w:tcPr>
            <w:tcW w:w="8460" w:type="dxa"/>
          </w:tcPr>
          <w:p w14:paraId="2D6AB67E" w14:textId="77777777" w:rsidR="000B4D3A" w:rsidRDefault="000B4D3A" w:rsidP="00666B63">
            <w:r>
              <w:t>Designed as a systematic review and meta-analysis</w:t>
            </w:r>
          </w:p>
        </w:tc>
      </w:tr>
      <w:tr w:rsidR="000B4D3A" w14:paraId="35B5517E" w14:textId="77777777" w:rsidTr="00666B63">
        <w:tc>
          <w:tcPr>
            <w:tcW w:w="2970" w:type="dxa"/>
          </w:tcPr>
          <w:p w14:paraId="620AE1F4" w14:textId="77777777" w:rsidR="000B4D3A" w:rsidRDefault="000B4D3A" w:rsidP="00666B63">
            <w:proofErr w:type="spellStart"/>
            <w:r>
              <w:t>Zuchinali</w:t>
            </w:r>
            <w:proofErr w:type="spellEnd"/>
            <w:r>
              <w:t xml:space="preserve"> et al.2016</w:t>
            </w:r>
            <w:r>
              <w:fldChar w:fldCharType="begin"/>
            </w:r>
            <w:r>
              <w:instrText xml:space="preserve"> ADDIN ZOTERO_ITEM CSL_CITATION {"citationID":"r7RJ6xjR","properties":{"formattedCitation":"(7)","plainCitation":"(7)","noteIndex":0},"citationItems":[{"id":18217,"uris":["http://zotero.org/users/local/lRqU69pQ/items/4RBGUX74"],"itemData":{"id":18217,"type":"article-journal","abstract":"AIMS: The relationship between caffeine consumption and the occurrence of arrhythmias remains controversial. Despite this lack of scientific evidence, counselling to reduce caffeine consumption is still widely advised in clinical practice. We conducted a systematical review and meta-analysis of interventional studies of the caffeine effects on ventricular arrhythmias.\nMETHODS AND RESULTS: The search was performed on Pubmed, Embase, and Cochrane database, and terms related to coffee, caffeine, and cardiac arrhythmias were used. Methodological quality was assessed based on The Cochrane Collaboration recommendations and the ARRIVE guidelines. There were 2016 citations retrieved on the initial research. After full-text assessment, seven human and two animal studies were included in the meta-analysis. In animal studies, the main outcome reported was the ventricular fibrillation threshold. We observed a significant mean difference of -2.15 mA (95% CI -3.43 to -0.87; I(2) 0.0%, P for heterogeneity = 0.37). The main outcome evaluated in human studies was the rate of ventricular premature beats (VPBs). The overall relative risk for occurrence of VPBs in 24 h attributed to caffeine exposure was 1.00 (95% CI 0.94-1.06; I(2) 13.5%, P for heterogeneity = 0.32). Sensitivity analysis for caffeine dose, different designs, and subject profile was performed and no major differences were observed.\nCONCLUSION: Our meta-analysis demonstrates that data from human interventional studies do not show a significant effect of caffeine consumption on the occurrence of VBPs. The effects observed in animal studies are most probably the result of very high caffeine doses that are not regularly consumed in a daily basis by humans.","container-title":"Europace: European Pacing, Arrhythmias, and Cardiac Electrophysiology: Journal of the Working Groups on Cardiac Pacing, Arrhythmias, and Cardiac Cellular Electrophysiology of the European Society of Cardiology","DOI":"10.1093/europace/euv261","ISSN":"1532-2092","issue":"2","journalAbbreviation":"Europace","language":"eng","note":"PMID: 26443445","page":"257-266","source":"PubMed","title":"Effect of caffeine on ventricular arrhythmia: a systematic review and meta-analysis of experimental and clinical studies","title-short":"Effect of caffeine on ventricular arrhythmia","volume":"18","author":[{"family":"Zuchinali","given":"Priccila"},{"family":"Ribeiro","given":"Paula A. B."},{"family":"Pimentel","given":"Maurício"},{"family":"Rosa","given":"Priscila R.","non-dropping-particle":"da"},{"family":"Zimerman","given":"Leandro I."},{"family":"Rohde","given":"Luis E."}],"issued":{"date-parts":[["2016",2]]}}}],"schema":"https://github.com/citation-style-language/schema/raw/master/csl-citation.json"} </w:instrText>
            </w:r>
            <w:r>
              <w:fldChar w:fldCharType="separate"/>
            </w:r>
            <w:r w:rsidRPr="00004653">
              <w:rPr>
                <w:rFonts w:ascii="Calibri" w:hAnsi="Calibri" w:cs="Calibri"/>
              </w:rPr>
              <w:t>(</w:t>
            </w:r>
            <w:r>
              <w:rPr>
                <w:rFonts w:ascii="Calibri" w:hAnsi="Calibri" w:cs="Calibri"/>
              </w:rPr>
              <w:t>78</w:t>
            </w:r>
            <w:r w:rsidRPr="00004653">
              <w:rPr>
                <w:rFonts w:ascii="Calibri" w:hAnsi="Calibri" w:cs="Calibri"/>
              </w:rPr>
              <w:t>)</w:t>
            </w:r>
            <w:r>
              <w:fldChar w:fldCharType="end"/>
            </w:r>
          </w:p>
        </w:tc>
        <w:tc>
          <w:tcPr>
            <w:tcW w:w="8460" w:type="dxa"/>
          </w:tcPr>
          <w:p w14:paraId="568B3677" w14:textId="77777777" w:rsidR="000B4D3A" w:rsidRDefault="000B4D3A" w:rsidP="00666B63">
            <w:r>
              <w:t>Designed as a systematic review and meta-analysis</w:t>
            </w:r>
          </w:p>
        </w:tc>
      </w:tr>
      <w:tr w:rsidR="000B4D3A" w14:paraId="275A48EB" w14:textId="77777777" w:rsidTr="00666B63">
        <w:tc>
          <w:tcPr>
            <w:tcW w:w="2970" w:type="dxa"/>
          </w:tcPr>
          <w:p w14:paraId="08041596" w14:textId="77777777" w:rsidR="000B4D3A" w:rsidRDefault="000B4D3A" w:rsidP="00666B63">
            <w:r>
              <w:t>Kim et al.2012</w:t>
            </w:r>
            <w:r>
              <w:fldChar w:fldCharType="begin"/>
            </w:r>
            <w:r>
              <w:instrText xml:space="preserve"> ADDIN ZOTERO_ITEM CSL_CITATION {"citationID":"Y03Z22p6","properties":{"formattedCitation":"(8)","plainCitation":"(8)","noteIndex":0},"citationItems":[{"id":18220,"uris":["http://zotero.org/users/local/lRqU69pQ/items/TV2UUFKT"],"itemData":{"id":18220,"type":"article-journal","abstract":"BACKGROUND: Coffee is one of the most widely consumed beverages in the world, and contains caffeine and phenolic compounds. Many studies on the association between coffee consumption and risk of stroke have been reported, however, more research is needed to further explore many studies' inconsistent results. Therefore, we conducted a meta-analysis to verify the relationship between coffee consumption and stroke.\nMETHODS: We searched MEDLINE (PubMed), EMBASE, and the Cochrane Library, using the keywords \"coffee\" or \"caffeine\" for the exposure factors, and \"transient ischemic attack\" or \"stroke\" or \"acute cerebral infarction\" or \"cardiovascular events\" for the outcome factors. We included prospective cohort and case-control studies published between 2001 and July 2011 in this review. The search was limited to English language.\nRESULTS: Among 27 articles identified for this review, only 9 studies met the inclusion criteria, all of which were cohort studies. When using all cohort studies, the pooled relative risk (RR) of stroke for the highest vs. lowest category of coffee consumption was 0.83 (95% confidence interval [CI], 0.76 to 0.91). When subgroup analysis was performed, for Europeans, increased coffee drinking showed a preventive effect on stroke occurrence with RR 0.82 (95% CI, 0.74 to 0.92); RR for women 0.81 (95% CI, 0.70 to 0.93); for ischemic stroke 0.80 (95% CI, 0.71 to 0.90); and for those drinking 4 cups or more per day 0.83 (95% CI, 0.75 to 0.91).\nCONCLUSION: We found that coffee consumption of 4 cups or more per day showed a preventive effect on stroke in this meta-analysis.","container-title":"Korean Journal of Family Medicine","DOI":"10.4082/kjfm.2012.33.6.356","ISSN":"2005-6443","issue":"6","journalAbbreviation":"Korean J Fam Med","language":"eng","note":"PMID: 23267421\nPMCID: PMC3526718","page":"356-365","source":"PubMed","title":"Coffee Consumption and Stroke Risk: A Meta-analysis of Epidemiologic Studies","title-short":"Coffee Consumption and Stroke Risk","volume":"33","author":[{"family":"Kim","given":"Byungsung"},{"family":"Nam","given":"Yunjung"},{"family":"Kim","given":"Junga"},{"family":"Choi","given":"Hyunrim"},{"family":"Won","given":"Changwon"}],"issued":{"date-parts":[["2012",11]]}}}],"schema":"https://github.com/citation-style-language/schema/raw/master/csl-citation.json"} </w:instrText>
            </w:r>
            <w:r>
              <w:fldChar w:fldCharType="separate"/>
            </w:r>
            <w:r w:rsidRPr="00CA53E8">
              <w:rPr>
                <w:rFonts w:ascii="Calibri" w:hAnsi="Calibri" w:cs="Calibri"/>
              </w:rPr>
              <w:t>(</w:t>
            </w:r>
            <w:r>
              <w:rPr>
                <w:rFonts w:ascii="Calibri" w:hAnsi="Calibri" w:cs="Calibri"/>
              </w:rPr>
              <w:t>79</w:t>
            </w:r>
            <w:r w:rsidRPr="00CA53E8">
              <w:rPr>
                <w:rFonts w:ascii="Calibri" w:hAnsi="Calibri" w:cs="Calibri"/>
              </w:rPr>
              <w:t>)</w:t>
            </w:r>
            <w:r>
              <w:fldChar w:fldCharType="end"/>
            </w:r>
          </w:p>
        </w:tc>
        <w:tc>
          <w:tcPr>
            <w:tcW w:w="8460" w:type="dxa"/>
          </w:tcPr>
          <w:p w14:paraId="1FBCC18F" w14:textId="77777777" w:rsidR="000B4D3A" w:rsidRDefault="000B4D3A" w:rsidP="00666B63">
            <w:r>
              <w:t>Designed as a systematic review and meta-analysis</w:t>
            </w:r>
          </w:p>
        </w:tc>
      </w:tr>
      <w:tr w:rsidR="000B4D3A" w14:paraId="7948781D" w14:textId="77777777" w:rsidTr="00666B63">
        <w:tc>
          <w:tcPr>
            <w:tcW w:w="2970" w:type="dxa"/>
          </w:tcPr>
          <w:p w14:paraId="4DAC1B2A" w14:textId="77777777" w:rsidR="000B4D3A" w:rsidRDefault="000B4D3A" w:rsidP="00666B63">
            <w:r>
              <w:t>Chan et al.2021</w:t>
            </w:r>
            <w:r>
              <w:fldChar w:fldCharType="begin"/>
            </w:r>
            <w:r>
              <w:instrText xml:space="preserve"> ADDIN ZOTERO_ITEM CSL_CITATION {"citationID":"uNSAzbcL","properties":{"formattedCitation":"(9)","plainCitation":"(9)","noteIndex":0},"citationItems":[{"id":18224,"uris":["http://zotero.org/users/local/lRqU69pQ/items/8V9JXTVH"],"itemData":{"id":18224,"type":"article-journal","abstract":"Stroke is a crucial health threat to adults worldwide. Despite extensive knowledge of risk-factor mitigation, no primary prevention exists for healthy people. Coffee is a widely consumed beverage globally. Health benefit of coffee for several neurological diseases has been identified; however, the association between stroke risk and coffee consumption in healthy people has not been determined. We investigated the effect of coffee on stroke risk by conducting a meta-analysis of prospective cohort studies.","container-title":"BMC Neurology","DOI":"10.1186/s12883-021-02411-5","ISSN":"1471-2377","issue":"1","journalAbbreviation":"BMC Neurol","language":"en","page":"380","source":"Springer Link","title":"Coffee consumption and the risk of cerebrovascular disease: a meta-analysis of prospective cohort studies","title-short":"Coffee consumption and the risk of cerebrovascular disease","volume":"21","author":[{"family":"Chan","given":"Lung"},{"family":"Hong","given":"Chien-Tai"},{"family":"Bai","given":"Chyi-Huey"}],"issued":{"date-parts":[["2021",10,2]]}}}],"schema":"https://github.com/citation-style-language/schema/raw/master/csl-citation.json"} </w:instrText>
            </w:r>
            <w:r>
              <w:fldChar w:fldCharType="separate"/>
            </w:r>
            <w:r w:rsidRPr="00713746">
              <w:rPr>
                <w:rFonts w:ascii="Calibri" w:hAnsi="Calibri" w:cs="Calibri"/>
              </w:rPr>
              <w:t>(</w:t>
            </w:r>
            <w:r>
              <w:rPr>
                <w:rFonts w:ascii="Calibri" w:hAnsi="Calibri" w:cs="Calibri"/>
              </w:rPr>
              <w:t>80</w:t>
            </w:r>
            <w:r w:rsidRPr="00713746">
              <w:rPr>
                <w:rFonts w:ascii="Calibri" w:hAnsi="Calibri" w:cs="Calibri"/>
              </w:rPr>
              <w:t>)</w:t>
            </w:r>
            <w:r>
              <w:fldChar w:fldCharType="end"/>
            </w:r>
          </w:p>
        </w:tc>
        <w:tc>
          <w:tcPr>
            <w:tcW w:w="8460" w:type="dxa"/>
          </w:tcPr>
          <w:p w14:paraId="5E9AF226" w14:textId="77777777" w:rsidR="000B4D3A" w:rsidRDefault="000B4D3A" w:rsidP="00666B63">
            <w:r>
              <w:t>Designed as a systematic review and meta-analysis</w:t>
            </w:r>
          </w:p>
        </w:tc>
      </w:tr>
      <w:tr w:rsidR="000B4D3A" w14:paraId="7058A675" w14:textId="77777777" w:rsidTr="00666B63">
        <w:tc>
          <w:tcPr>
            <w:tcW w:w="2970" w:type="dxa"/>
          </w:tcPr>
          <w:p w14:paraId="6C34E858" w14:textId="77777777" w:rsidR="000B4D3A" w:rsidRDefault="000B4D3A" w:rsidP="00666B63">
            <w:r>
              <w:t>Park et al.2023</w:t>
            </w:r>
            <w:r>
              <w:fldChar w:fldCharType="begin"/>
            </w:r>
            <w:r>
              <w:instrText xml:space="preserve"> ADDIN ZOTERO_ITEM CSL_CITATION {"citationID":"dPQiwiMj","properties":{"formattedCitation":"(10)","plainCitation":"(10)","noteIndex":0},"citationItems":[{"id":18226,"uris":["http://zotero.org/users/local/lRqU69pQ/items/GILH2KRF"],"itemData":{"id":18226,"type":"article-journal","abstract":"Previous prospective studies have reported inconsistent findings on the association between coffee consumption and the risk of coronary heart disease (CHD). This study aimed to investigate their association using a meta-analysis of prospective studies. We searched PubMed and EMBASE for prospective cohort studies of the association between coffee consumption and the risk of CHD in the general population. We conducted a random-effects meta-analysis and also subgroup meta-analyses by various factors. Of 870 studies searched from databases, 32 prospective cohort studies were included in the final analysis. In the main meta-analysis of all studies, no significant association between coffee consumption and the risk of CHD was observed (relative risk [RR] 1.05, 95% confidence interval [CI] 0.97 to 1.14, I2 = 64.9%). In the subgroup meta-analyses by gender, coffee consumption significantly increased the risk of CHD in men (RR 1.19, 95% CI 1.05 to 1.35, n = 17), whereas a nonsignificantly decreased risk of CHD was observed in women (RR 0.91, 95% CI 0.77 to 1.08, n = 11). Also, in the subgroup meta-analyses by follow-up period, coffee consumption significantly increased the risk of CHD in the follow-up of 20 years or longer (RR 1.16, 95% CI 1.06 to 1.27, n = 4) regardless of gender. In conclusion, in the current meta-analysis of prospective studies, we found that, overall, no significant association between coffee consumption and the risk of CHD was observed. However, coffee consumption showed a differential effect by gender, with an increased risk of CHD in men and a potentially decreased risk in women.","container-title":"The American Journal of Cardiology","DOI":"10.1016/j.amjcard.2022.10.010","ISSN":"1879-1913","journalAbbreviation":"Am J Cardiol","language":"eng","note":"PMID: 36334434","page":"17-29","source":"PubMed","title":"Effect of Coffee Consumption on Risk of Coronary Heart Disease in a Systematic Review and Meta-Analysis of Prospective Cohort Studies","volume":"186","author":[{"family":"Park","given":"Yunseo"},{"family":"Cho","given":"Heram"},{"family":"Myung","given":"Seung-Kwon"}],"issued":{"date-parts":[["2023",1,1]]}}}],"schema":"https://github.com/citation-style-language/schema/raw/master/csl-citation.json"} </w:instrText>
            </w:r>
            <w:r>
              <w:fldChar w:fldCharType="separate"/>
            </w:r>
            <w:r w:rsidRPr="00BE4471">
              <w:rPr>
                <w:rFonts w:ascii="Calibri" w:hAnsi="Calibri" w:cs="Calibri"/>
              </w:rPr>
              <w:t>(</w:t>
            </w:r>
            <w:r>
              <w:rPr>
                <w:rFonts w:ascii="Calibri" w:hAnsi="Calibri" w:cs="Calibri"/>
              </w:rPr>
              <w:t>81</w:t>
            </w:r>
            <w:r w:rsidRPr="00BE4471">
              <w:rPr>
                <w:rFonts w:ascii="Calibri" w:hAnsi="Calibri" w:cs="Calibri"/>
              </w:rPr>
              <w:t>)</w:t>
            </w:r>
            <w:r>
              <w:fldChar w:fldCharType="end"/>
            </w:r>
          </w:p>
        </w:tc>
        <w:tc>
          <w:tcPr>
            <w:tcW w:w="8460" w:type="dxa"/>
          </w:tcPr>
          <w:p w14:paraId="44C262E4" w14:textId="77777777" w:rsidR="000B4D3A" w:rsidRDefault="000B4D3A" w:rsidP="00666B63">
            <w:r>
              <w:t>Designed as a systematic review and meta-analysis</w:t>
            </w:r>
          </w:p>
        </w:tc>
      </w:tr>
      <w:tr w:rsidR="000B4D3A" w14:paraId="65D541C4" w14:textId="77777777" w:rsidTr="00666B63">
        <w:tc>
          <w:tcPr>
            <w:tcW w:w="2970" w:type="dxa"/>
          </w:tcPr>
          <w:p w14:paraId="13F6CA59" w14:textId="77777777" w:rsidR="000B4D3A" w:rsidRDefault="000B4D3A" w:rsidP="00666B63">
            <w:r>
              <w:t>Kim et al.2019</w:t>
            </w:r>
            <w:r>
              <w:fldChar w:fldCharType="begin"/>
            </w:r>
            <w:r>
              <w:instrText xml:space="preserve"> ADDIN ZOTERO_ITEM CSL_CITATION {"citationID":"NW4QTfuq","properties":{"formattedCitation":"(11)","plainCitation":"(11)","noteIndex":0},"citationItems":[{"id":18228,"uris":["http://zotero.org/users/local/lRqU69pQ/items/E5682SNV"],"itemData":{"id":18228,"type":"article-journal","abstract":"Coffee consumption has been associated with decreased mortality in previous studies. As aging, obesity, and lifestyle factors affect the risk of mortality, the association between coffee and mortality needs to be examined in various subpopulations by characteristics of subjects. To quantitatively assess this association, we conducted an updated meta-analysis including stratified analyses by potential modifiers. We searched in the PubMed and Web of Science databases through March 8, 2019, and conducted meta-analysis including linear and non-linear dose-response analyses. We identified 40 studies including 3,852,651 subjects and 450,256 all-cause and cause-specific deaths. Non-linear inverse associations between coffee consumption and mortality from all-causes, cardiovascular disease (CVD), and cancers were found. The lowest relative risk (RR) was at intakes of 3.5 cups/day for all-cause mortality (RR</w:instrText>
            </w:r>
            <w:r>
              <w:rPr>
                <w:rFonts w:ascii="Arial" w:hAnsi="Arial" w:cs="Arial"/>
              </w:rPr>
              <w:instrText> </w:instrText>
            </w:r>
            <w:r>
              <w:instrText>=</w:instrText>
            </w:r>
            <w:r>
              <w:rPr>
                <w:rFonts w:ascii="Arial" w:hAnsi="Arial" w:cs="Arial"/>
              </w:rPr>
              <w:instrText> </w:instrText>
            </w:r>
            <w:r>
              <w:instrText>0.85, 95% CI 0.82-0.89), 2.5</w:instrText>
            </w:r>
            <w:r>
              <w:rPr>
                <w:rFonts w:ascii="Aptos" w:hAnsi="Aptos" w:cs="Aptos"/>
              </w:rPr>
              <w:instrText> </w:instrText>
            </w:r>
            <w:r>
              <w:instrText>cups/day for CVD mortality (RR</w:instrText>
            </w:r>
            <w:r>
              <w:rPr>
                <w:rFonts w:ascii="Arial" w:hAnsi="Arial" w:cs="Arial"/>
              </w:rPr>
              <w:instrText> </w:instrText>
            </w:r>
            <w:r>
              <w:instrText>=</w:instrText>
            </w:r>
            <w:r>
              <w:rPr>
                <w:rFonts w:ascii="Arial" w:hAnsi="Arial" w:cs="Arial"/>
              </w:rPr>
              <w:instrText> </w:instrText>
            </w:r>
            <w:r>
              <w:instrText>0.83, 95% CI 0.80-0.87), and 2</w:instrText>
            </w:r>
            <w:r>
              <w:rPr>
                <w:rFonts w:ascii="Aptos" w:hAnsi="Aptos" w:cs="Aptos"/>
              </w:rPr>
              <w:instrText> </w:instrText>
            </w:r>
            <w:r>
              <w:instrText>cups/day for cancer mortality (RR</w:instrText>
            </w:r>
            <w:r>
              <w:rPr>
                <w:rFonts w:ascii="Arial" w:hAnsi="Arial" w:cs="Arial"/>
              </w:rPr>
              <w:instrText> </w:instrText>
            </w:r>
            <w:r>
              <w:instrText>=</w:instrText>
            </w:r>
            <w:r>
              <w:rPr>
                <w:rFonts w:ascii="Arial" w:hAnsi="Arial" w:cs="Arial"/>
              </w:rPr>
              <w:instrText> </w:instrText>
            </w:r>
            <w:r>
              <w:instrText xml:space="preserve">0.96, 95% CI 0.94-0.99), while additional intakes were not associated with further lower mortality. An inverse association between coffee consumption and all-cause mortality was maintained irrespective of age, overweight status, alcohol drinking, smoking status, and caffeine content of coffee. By region, Europe and Asia showed stronger inverse associations than US. A non-linear inverse association was found for mortality from respiratory disease and diabetes, while linear inverse association was found for mortality from non-CVD, non-cancer causes. Moderate coffee consumption (e.g. 2-4 cups/day) was associated with reduced all-cause and cause-specific mortality, compared to no coffee consumption. The inverse association between coffee and all-cause mortality was consistent by potential modifiers except region.","container-title":"European Journal of Epidemiology","DOI":"10.1007/s10654-019-00524-3","ISSN":"1573-7284","issue":"8","journalAbbreviation":"Eur J Epidemiol","language":"eng","note":"PMID: 31055709","page":"731-752","source":"PubMed","title":"Coffee consumption and all-cause and cause-specific mortality: a meta-analysis by potential modifiers","title-short":"Coffee consumption and all-cause and cause-specific mortality","volume":"34","author":[{"family":"Kim","given":"Youngyo"},{"family":"Je","given":"Youjin"},{"family":"Giovannucci","given":"Edward"}],"issued":{"date-parts":[["2019",8]]}}}],"schema":"https://github.com/citation-style-language/schema/raw/master/csl-citation.json"} </w:instrText>
            </w:r>
            <w:r>
              <w:fldChar w:fldCharType="separate"/>
            </w:r>
            <w:r w:rsidRPr="006214BC">
              <w:rPr>
                <w:rFonts w:ascii="Calibri" w:hAnsi="Calibri" w:cs="Calibri"/>
              </w:rPr>
              <w:t>(</w:t>
            </w:r>
            <w:r>
              <w:rPr>
                <w:rFonts w:ascii="Calibri" w:hAnsi="Calibri" w:cs="Calibri"/>
              </w:rPr>
              <w:t>82</w:t>
            </w:r>
            <w:r w:rsidRPr="006214BC">
              <w:rPr>
                <w:rFonts w:ascii="Calibri" w:hAnsi="Calibri" w:cs="Calibri"/>
              </w:rPr>
              <w:t>)</w:t>
            </w:r>
            <w:r>
              <w:fldChar w:fldCharType="end"/>
            </w:r>
          </w:p>
        </w:tc>
        <w:tc>
          <w:tcPr>
            <w:tcW w:w="8460" w:type="dxa"/>
          </w:tcPr>
          <w:p w14:paraId="7DBD64E9" w14:textId="77777777" w:rsidR="000B4D3A" w:rsidRDefault="000B4D3A" w:rsidP="00666B63">
            <w:r>
              <w:t>Designed as a systematic review and meta-analysis</w:t>
            </w:r>
          </w:p>
        </w:tc>
      </w:tr>
      <w:tr w:rsidR="000B4D3A" w14:paraId="42790987" w14:textId="77777777" w:rsidTr="00666B63">
        <w:tc>
          <w:tcPr>
            <w:tcW w:w="2970" w:type="dxa"/>
          </w:tcPr>
          <w:p w14:paraId="4148F79C" w14:textId="77777777" w:rsidR="000B4D3A" w:rsidRDefault="000B4D3A" w:rsidP="00666B63">
            <w:r>
              <w:t>Grosso et al.2017</w:t>
            </w:r>
            <w:r>
              <w:fldChar w:fldCharType="begin"/>
            </w:r>
            <w:r>
              <w:instrText xml:space="preserve"> ADDIN ZOTERO_ITEM CSL_CITATION {"citationID":"otLZQXUF","properties":{"formattedCitation":"(12)","plainCitation":"(12)","noteIndex":0},"citationItems":[{"id":18230,"uris":["http://zotero.org/users/local/lRqU69pQ/items/HM4ZT28R"],"itemData":{"id":18230,"type":"article-journal","abstract":"To evaluate the associations between coffee and caffeine consumption and various health outcomes, we performed an umbrella review of the evidence from meta-analyses of observational studies and randomized controlled trials (RCTs). Of the 59 unique outcomes examined in the selected 112 meta-analyses of observational studies, coffee was associated with a probable decreased risk of breast, colorectal, colon, endometrial, and prostate cancers; cardiovascular disease and mortality; Parkinson's disease; and type-2 diabetes. Of the 14 unique outcomes examined in the 20 selected meta-analyses of observational studies, caffeine was associated with a probable decreased risk of Parkinson's disease and type-2 diabetes and an increased risk of pregnancy loss. Of the 12 unique acute outcomes examined in the selected 9 meta-analyses of RCTs, coffee was associated with a rise in serum lipids, but this result was affected by significant heterogeneity, and caffeine was associated with a rise in blood pressure. Given the spectrum of conditions studied and the robustness of many of the results, these findings indicate that coffee can be part of a healthful diet.","container-title":"Annual Review of Nutrition","DOI":"10.1146/annurev-nutr-071816-064941","ISSN":"1545-4312","journalAbbreviation":"Annu Rev Nutr","language":"eng","note":"PMID: 28826374","page":"131-156","source":"PubMed","title":"Coffee, Caffeine, and Health Outcomes: An Umbrella Review","title-short":"Coffee, Caffeine, and Health Outcomes","volume":"37","author":[{"family":"Grosso","given":"Giuseppe"},{"family":"Godos","given":"Justyna"},{"family":"Galvano","given":"Fabio"},{"family":"Giovannucci","given":"Edward L."}],"issued":{"date-parts":[["2017",8,21]]}}}],"schema":"https://github.com/citation-style-language/schema/raw/master/csl-citation.json"} </w:instrText>
            </w:r>
            <w:r>
              <w:fldChar w:fldCharType="separate"/>
            </w:r>
            <w:r w:rsidRPr="00AA5B9A">
              <w:rPr>
                <w:rFonts w:ascii="Calibri" w:hAnsi="Calibri" w:cs="Calibri"/>
              </w:rPr>
              <w:t>(</w:t>
            </w:r>
            <w:r>
              <w:rPr>
                <w:rFonts w:ascii="Calibri" w:hAnsi="Calibri" w:cs="Calibri"/>
              </w:rPr>
              <w:t>83</w:t>
            </w:r>
            <w:r w:rsidRPr="00AA5B9A">
              <w:rPr>
                <w:rFonts w:ascii="Calibri" w:hAnsi="Calibri" w:cs="Calibri"/>
              </w:rPr>
              <w:t>)</w:t>
            </w:r>
            <w:r>
              <w:fldChar w:fldCharType="end"/>
            </w:r>
          </w:p>
        </w:tc>
        <w:tc>
          <w:tcPr>
            <w:tcW w:w="8460" w:type="dxa"/>
          </w:tcPr>
          <w:p w14:paraId="274FFBBB" w14:textId="77777777" w:rsidR="000B4D3A" w:rsidRDefault="000B4D3A" w:rsidP="00666B63">
            <w:r>
              <w:t>Designed as an umbrella review</w:t>
            </w:r>
          </w:p>
        </w:tc>
      </w:tr>
      <w:tr w:rsidR="000B4D3A" w14:paraId="44694746" w14:textId="77777777" w:rsidTr="00666B63">
        <w:tc>
          <w:tcPr>
            <w:tcW w:w="2970" w:type="dxa"/>
          </w:tcPr>
          <w:p w14:paraId="386F5CA8" w14:textId="77777777" w:rsidR="000B4D3A" w:rsidRDefault="000B4D3A" w:rsidP="00666B63">
            <w:r>
              <w:t>Harmeet et al.2024</w:t>
            </w:r>
            <w:r>
              <w:fldChar w:fldCharType="begin"/>
            </w:r>
            <w:r>
              <w:instrText xml:space="preserve"> ADDIN ZOTERO_ITEM CSL_CITATION {"citationID":"AVds4SJj","properties":{"formattedCitation":"(13)","plainCitation":"(13)","noteIndex":0},"citationItems":[{"id":18232,"uris":["http://zotero.org/users/local/lRqU69pQ/items/C6S4WGFU"],"itemData":{"id":18232,"type":"article-journal","abstract":"Coffee has long been popular worldwide. The rise in lifestyle-related diseases such as cardiovascular disease, diabetes, stroke, dementia, and others has motivated coffee usage and illness prevalence studies. Some studies show coffee consumers are at risk for such diseases, whereas others show its active components protect them. Policymakers and the public need a comprehensive umbrella review to make healthy choices and enjoy coffee. Coffee consumption and stroke, CHD, and dementia outcomes have been distinguished using the PICO search strategy in PubMed with a filter for meta-analysis. We included 10 years of investigations until October 2023. MeSH terms “coffee intake,” “stroke, dementia,” and “transient ischemic attack,” comparing stroke risk with coffee consumption were used. The study excluded case reports and non-human, non-English observational research. The stroke risk of coffee was examined using RevMan software. Coffee consumption’s stroke risk ratio (RR), 95% CI, and I2 were estimated. Forest plots with P values ≤ 0.05 are significant. The umbrella review includes 11 meta-analyses from 457052 papers, totalling 11.96 million individuals. Drinking up to 4 cups of coffee daily reduced stroke risk by 12% compared with not drinking any coffee (0.88 (CI of 0.84-0.92, I2 of 13%, P &lt; 0.00001)). Coffee drinkers had a 1.19 risk ratio for cardiovascular diseases compared to non-coffee drinkers (CI: 0.99–1.38, I2 = 84%, P &lt; 0.00001). The dementia risk ratio for caffeine users was 0.90 (95% CI: 0.82-0.97, I2 = 46%, P &lt; 0.00001) compared with non-consumers. Our analysis covering 5.42 million individuals found that 4 cups of coffee consumed a day reduced stroke risk by 12%. Coffee may reduce ischemic and haemorrhagic strokes by preserving endothelium and antioxidants. Coffee may lessen dementia risk, according to our study’s 0.94 pooled risk ratio after sensitivity analysis. Heavy coffee drinkers had a greater CHD risk, as per our findings. Heavy coffee drinkers were more at risk.","container-title":"Journal of Family Medicine and Primary Care","DOI":"10.4103/jfmpc.jfmpc_654_24","ISSN":"2249-4863","issue":"11","language":"en-US","page":"4783","source":"journals.lww.com","title":"An umbrella review of meta-analysis to understand the effect of coffee consumption and the relationship between stroke, cardiovascular heart disease, and dementia among its global users","volume":"13","author":[{"family":"Gill","given":"Harmeet"},{"family":"Patel","given":"Neel"},{"family":"Naik","given":"Nishthaben"},{"family":"Vala","given":"Lovekumar"},{"family":"Rana","given":"Rishabh K."},{"family":"Jain","given":"Sakshi"},{"family":"Sirekulam","given":"Vaishnavi"},{"family":"Jain","given":"Shika M."},{"family":"Khan","given":"Tanzina"},{"family":"Kinthada","given":"Sudharani"},{"family":"Patel","given":"Rashi B."},{"family":"Nanjundappa","given":"Athmananda"},{"family":"Siripuram","given":"Chandu"},{"family":"Patel","given":"Urvish"}],"issued":{"date-parts":[["2024",11]]}}}],"schema":"https://github.com/citation-style-language/schema/raw/master/csl-citation.json"} </w:instrText>
            </w:r>
            <w:r>
              <w:fldChar w:fldCharType="separate"/>
            </w:r>
            <w:r w:rsidRPr="00BC086C">
              <w:rPr>
                <w:rFonts w:ascii="Calibri" w:hAnsi="Calibri" w:cs="Calibri"/>
              </w:rPr>
              <w:t>(</w:t>
            </w:r>
            <w:r>
              <w:rPr>
                <w:rFonts w:ascii="Calibri" w:hAnsi="Calibri" w:cs="Calibri"/>
              </w:rPr>
              <w:t>84</w:t>
            </w:r>
            <w:r w:rsidRPr="00BC086C">
              <w:rPr>
                <w:rFonts w:ascii="Calibri" w:hAnsi="Calibri" w:cs="Calibri"/>
              </w:rPr>
              <w:t>)</w:t>
            </w:r>
            <w:r>
              <w:fldChar w:fldCharType="end"/>
            </w:r>
          </w:p>
        </w:tc>
        <w:tc>
          <w:tcPr>
            <w:tcW w:w="8460" w:type="dxa"/>
          </w:tcPr>
          <w:p w14:paraId="23425FFE" w14:textId="77777777" w:rsidR="000B4D3A" w:rsidRDefault="000B4D3A" w:rsidP="00666B63">
            <w:r>
              <w:t>Designed as an umbrella review</w:t>
            </w:r>
          </w:p>
        </w:tc>
      </w:tr>
      <w:tr w:rsidR="000B4D3A" w14:paraId="52D7CEC5" w14:textId="77777777" w:rsidTr="00666B63">
        <w:tc>
          <w:tcPr>
            <w:tcW w:w="2970" w:type="dxa"/>
          </w:tcPr>
          <w:p w14:paraId="15E02485" w14:textId="77777777" w:rsidR="000B4D3A" w:rsidRDefault="000B4D3A" w:rsidP="00666B63">
            <w:r>
              <w:t>Li et al.2011</w:t>
            </w:r>
            <w:r>
              <w:fldChar w:fldCharType="begin"/>
            </w:r>
            <w:r>
              <w:instrText xml:space="preserve"> ADDIN ZOTERO_ITEM CSL_CITATION {"citationID":"BDEqHcaR","properties":{"formattedCitation":"(14)","plainCitation":"(14)","noteIndex":0},"citationItems":[{"id":18235,"uris":["http://zotero.org/users/local/lRqU69pQ/items/9Q656FCG"],"itemData":{"id":18235,"type":"article-journal","abstract":"Many studies have examined the association between coffee consumption and risk of cardiovascular disease, but the results remain controversial. Caffeine is one of the main biologically active compounds of coffee. The aim of this study was to investigate the potential role of caffeine on myocardial ischemia/reperfusion (I/R) injury in the rats. We administered caffeine (25 mg/kg per day) or saline in rats for 4 weeks before myocardial ischemia/reperfusion operation. Compared with the sham group, caffeine treatment decreased ischemia-associated infarct size, serum creatine kinase, and lactate dehydrogenase 3-h reperfusion after 30-min ischemia. Myocardial neutrophil infiltration (assessed by myeloperoxidase activity) was significantly decreased compared with the control group. Meanwhile, caffeine reduced the myocardial apoptosis and suppressed the activation of caspase 3 during myocardial I/R. Importantly, we observed a strong poly(ADP-ribose) polymerase (PARP) activation during myocardial I/R, and caffeine administration inhibited PARP activation and attenuated the expression of PARP-related proinflammatory mediators such as inducible nitric oxide synthetase, IL-6, and TNF-α, all of which may be correlated with downregulated nuclear factor κB activity. We concluded that caffeine protected against myocardial I/R injury by inhibiting inflammation and apoptosis.\n          ABBREVIATIONS-AAR - area at risk; CK - creatine kinase; iNOS - inducible nitric oxide synthetase; IA - infarct area; I/R- ischemia/reperfusion; LCA - left coronary artery; LDH - lactate dehydrogenase; MPO - myeloperoxidase; MI - myocardial infarction; NF-κB - nuclear factor κB; PARP - poly(ADP-ribose) polymerase; TUNEL - terminal dUTP nick end-labeling","container-title":"Shock","DOI":"10.1097/SHK.0b013e3182222915","ISSN":"1540-0514","issue":"3","language":"en-US","page":"289","source":"journals.lww.com","title":"Protective Effect of Caffeine Administration on Myocardial Ischemia/Reperfusion Injury in Rats","volume":"36","author":[{"family":"Li","given":"Xu-Yong"},{"family":"Xu","given":"Lin"},{"family":"Lin","given":"Guo-Sheng"},{"family":"Li","given":"Xiao-Yan"},{"family":"Jiang","given":"Xue-Jun"},{"family":"Wang","given":"Tao"},{"family":"Lü","given":"Jing-Jun"},{"family":"Zeng","given":"Bin"}],"issued":{"date-parts":[["2011",9]]}}}],"schema":"https://github.com/citation-style-language/schema/raw/master/csl-citation.json"} </w:instrText>
            </w:r>
            <w:r>
              <w:fldChar w:fldCharType="separate"/>
            </w:r>
            <w:r w:rsidRPr="00607E14">
              <w:rPr>
                <w:rFonts w:ascii="Calibri" w:hAnsi="Calibri" w:cs="Calibri"/>
              </w:rPr>
              <w:t>(</w:t>
            </w:r>
            <w:r>
              <w:rPr>
                <w:rFonts w:ascii="Calibri" w:hAnsi="Calibri" w:cs="Calibri"/>
              </w:rPr>
              <w:t>85</w:t>
            </w:r>
            <w:r w:rsidRPr="00607E14">
              <w:rPr>
                <w:rFonts w:ascii="Calibri" w:hAnsi="Calibri" w:cs="Calibri"/>
              </w:rPr>
              <w:t>)</w:t>
            </w:r>
            <w:r>
              <w:fldChar w:fldCharType="end"/>
            </w:r>
          </w:p>
        </w:tc>
        <w:tc>
          <w:tcPr>
            <w:tcW w:w="8460" w:type="dxa"/>
          </w:tcPr>
          <w:p w14:paraId="52E5BEDC" w14:textId="77777777" w:rsidR="000B4D3A" w:rsidRDefault="000B4D3A" w:rsidP="00666B63">
            <w:r>
              <w:t>Animal study</w:t>
            </w:r>
          </w:p>
        </w:tc>
      </w:tr>
      <w:tr w:rsidR="000B4D3A" w14:paraId="02E83215" w14:textId="77777777" w:rsidTr="00666B63">
        <w:tc>
          <w:tcPr>
            <w:tcW w:w="2970" w:type="dxa"/>
          </w:tcPr>
          <w:p w14:paraId="3C243508" w14:textId="77777777" w:rsidR="000B4D3A" w:rsidRDefault="000B4D3A" w:rsidP="00666B63">
            <w:r>
              <w:t>Zhang et al.2020</w:t>
            </w:r>
            <w:r>
              <w:fldChar w:fldCharType="begin"/>
            </w:r>
            <w:r>
              <w:instrText xml:space="preserve"> ADDIN ZOTERO_ITEM CSL_CITATION {"citationID":"100XIJKz","properties":{"formattedCitation":"(15)","plainCitation":"(15)","noteIndex":0},"citationItems":[{"id":18238,"uris":["http://zotero.org/users/local/lRqU69pQ/items/V6QHVS9V"],"itemData":{"id":18238,"type":"article-journal","abstract":"Background\nBidirectional ventricular tachycardia (BD-VT) is an intriguing arrhythmia, characterized by a beat-to-beat alternation of the QRS polarity on electrocardiogram. Currently there is no simple BD-VT animal model.\nObjective\nWe report a simple animal model of BD-VT induced by caffeine and dobutamine (C+D) challenge in normal rats in which the arrhythmia can be attenuated by dantrolene (a ryanodine receptor stabilizer) treatment, but not by the pacemaker channel blocker ivabradine treatment.\nMethods\nAdult (4–5 months old) Sprague-Dawley rats (both sexes) were randomized into C+D (n = 8, received caffeine 120 mg/kg intraperitoneally [IP] and dobutamine 60 μg/kg IP, sequentially) and control (n = 8) groups. In addition, a group of 7 rats were pretreated with dantrolene (10 mg/kg, IP) 30 minutes before the C+D challenge and another group of 8 rats were pretreated with ivabradine (5 mg/kg, IP) 30 minutes before the C+D challenge.\nResults\nC+D challenge induced spontaneous premature ventricular contractions (PVCs) in 7 of 8 rats and BD-VT (lasted 4.3 ± 2.9 minutes, terminated spontaneously) in 6 of 8 (75%) rats. No ventricular arrhythmia was induced in the control group (P &lt; .05 vs C+D group). Dantrolene treatment significantly decreased BD-VT (1 of 7 rats in the Dantrolene+C+D group vs 6 of 8 rats in C+D group, P &lt; .05). Ivabradine treatment did not affect C+D-induced BD-VT (7 of 8 rats in the Ivabradine+C+D group vs 6 of 8 in the C+D group, P &gt; .05).\nConclusion\nCaffeine and dobutamine challenge induces BD-VT in a majority of normal rats. Stabilizing cardiac ryanodine receptors with dantrolene treatment can significantly decrease the occurrence of BD-VT, but pacemaker channel blocker ivabradine treatment does not have effect in this animal model.","container-title":"Heart Rhythm O2","DOI":"10.1016/j.hroo.2020.08.005","ISSN":"2666-5018","issue":"5","journalAbbreviation":"Heart Rhythm O2","page":"359-367","source":"ScienceDirect","title":"Caffeine and dobutamine challenge induces bidirectional ventricular tachycardia in normal rats","volume":"1","author":[{"family":"Zhang","given":"Chenyu"},{"family":"Zhang","given":"Youhua"}],"issued":{"date-parts":[["2020",12,1]]}}}],"schema":"https://github.com/citation-style-language/schema/raw/master/csl-citation.json"} </w:instrText>
            </w:r>
            <w:r>
              <w:fldChar w:fldCharType="separate"/>
            </w:r>
            <w:r w:rsidRPr="0059003F">
              <w:rPr>
                <w:rFonts w:ascii="Calibri" w:hAnsi="Calibri" w:cs="Calibri"/>
              </w:rPr>
              <w:t>(</w:t>
            </w:r>
            <w:r>
              <w:rPr>
                <w:rFonts w:ascii="Calibri" w:hAnsi="Calibri" w:cs="Calibri"/>
              </w:rPr>
              <w:t>86</w:t>
            </w:r>
            <w:r w:rsidRPr="0059003F">
              <w:rPr>
                <w:rFonts w:ascii="Calibri" w:hAnsi="Calibri" w:cs="Calibri"/>
              </w:rPr>
              <w:t>)</w:t>
            </w:r>
            <w:r>
              <w:fldChar w:fldCharType="end"/>
            </w:r>
          </w:p>
        </w:tc>
        <w:tc>
          <w:tcPr>
            <w:tcW w:w="8460" w:type="dxa"/>
          </w:tcPr>
          <w:p w14:paraId="54134919" w14:textId="77777777" w:rsidR="000B4D3A" w:rsidRDefault="000B4D3A" w:rsidP="00666B63">
            <w:r>
              <w:t>Animal study</w:t>
            </w:r>
          </w:p>
        </w:tc>
      </w:tr>
      <w:tr w:rsidR="000B4D3A" w14:paraId="6CCA8EC1" w14:textId="77777777" w:rsidTr="00666B63">
        <w:tc>
          <w:tcPr>
            <w:tcW w:w="2970" w:type="dxa"/>
          </w:tcPr>
          <w:p w14:paraId="20D5F59F" w14:textId="77777777" w:rsidR="000B4D3A" w:rsidRDefault="000B4D3A" w:rsidP="00666B63">
            <w:r>
              <w:t>White et al.2002</w:t>
            </w:r>
            <w:r>
              <w:fldChar w:fldCharType="begin"/>
            </w:r>
            <w:r>
              <w:instrText xml:space="preserve"> ADDIN ZOTERO_ITEM CSL_CITATION {"citationID":"OSV13Fa8","properties":{"formattedCitation":"(16)","plainCitation":"(16)","noteIndex":0},"citationItems":[{"id":18240,"uris":["http://zotero.org/users/local/lRqU69pQ/items/LNAF795T"],"itemData":{"id":18240,"type":"article-journal","abstract":"Caffeine exerts a number of cardiovascular effects via antagonism of adenosine A1 and A2a receptors, and chronic caffeine intake has been suggested to be a preventable risk factor for cardiovascular disease. We attempted, therefore, to determine the effects of chronic caffeine treatment on adenosine receptor function and the heart rate and blood pressure of anaesthetized rats. Rats were given two weeks of drinking water containing either caffeine (0.2%) or tap water alone. Rats were then anaesthetized and blood pressure and heart rate was assessed, as well as cardiovascular responses to adenosine receptor agonists and antagonists. Following 2 weeks caffeine treatment, both the resting blood pressure and heart rate of the treated rats were significantly increased compared to the non-caffeine treated (147 ± 5 compared to 161 ± 3 mm Hg). Negative chronotropic responses to A1 receptor agonist N6 cyclopentyladenosine occurred at lower concentrations in caffeine-treated rats than control (2.5-fold decrease in the ED50 of bradycardic responses to N6 cyclopentyladenosine), whilst vasodilator and reflex tachycardic responses to A2a receptor agonist CGS 21680 were unchanged. A shorter duration of caffeine- treatment resulted in moderate increases in heart rate and bradycardic responses to N6 cyclopentyladenosine. In summary, we found changes in resting heart rate and blood pressure in caffeine-treated rats which were concurrent with changes in adenosine receptor function.","container-title":"Pharmacology","DOI":"10.1159/000058038","ISSN":"0031-7012","issue":"3","journalAbbreviation":"Pharmacology","page":"129-135","source":"Silverchair","title":"Chronic Caffeine Treatment Causes Changes in Cardiac Adenosine Receptor Function in Rats","volume":"65","author":[{"family":"White","given":"P.J."},{"family":"Nguyen","given":"T.T."}],"issued":{"date-parts":[["2002",6,5]]}}}],"schema":"https://github.com/citation-style-language/schema/raw/master/csl-citation.json"} </w:instrText>
            </w:r>
            <w:r>
              <w:fldChar w:fldCharType="separate"/>
            </w:r>
            <w:r w:rsidRPr="007B61D7">
              <w:rPr>
                <w:rFonts w:ascii="Calibri" w:hAnsi="Calibri" w:cs="Calibri"/>
              </w:rPr>
              <w:t>(</w:t>
            </w:r>
            <w:r>
              <w:rPr>
                <w:rFonts w:ascii="Calibri" w:hAnsi="Calibri" w:cs="Calibri"/>
              </w:rPr>
              <w:t>87</w:t>
            </w:r>
            <w:r w:rsidRPr="007B61D7">
              <w:rPr>
                <w:rFonts w:ascii="Calibri" w:hAnsi="Calibri" w:cs="Calibri"/>
              </w:rPr>
              <w:t>)</w:t>
            </w:r>
            <w:r>
              <w:fldChar w:fldCharType="end"/>
            </w:r>
          </w:p>
        </w:tc>
        <w:tc>
          <w:tcPr>
            <w:tcW w:w="8460" w:type="dxa"/>
          </w:tcPr>
          <w:p w14:paraId="4B3C8BC3" w14:textId="77777777" w:rsidR="000B4D3A" w:rsidRDefault="000B4D3A" w:rsidP="00666B63">
            <w:r>
              <w:t>Animal study</w:t>
            </w:r>
          </w:p>
        </w:tc>
      </w:tr>
      <w:tr w:rsidR="000B4D3A" w14:paraId="71BEABF5" w14:textId="77777777" w:rsidTr="00666B63">
        <w:tc>
          <w:tcPr>
            <w:tcW w:w="2970" w:type="dxa"/>
          </w:tcPr>
          <w:p w14:paraId="31D376ED" w14:textId="77777777" w:rsidR="000B4D3A" w:rsidRDefault="000B4D3A" w:rsidP="00666B63">
            <w:r>
              <w:t>Ye et al.2008</w:t>
            </w:r>
            <w:r>
              <w:fldChar w:fldCharType="begin"/>
            </w:r>
            <w:r>
              <w:instrText xml:space="preserve"> ADDIN ZOTERO_ITEM CSL_CITATION {"citationID":"1bydIiZJ","properties":{"formattedCitation":"(17)","plainCitation":"(17)","noteIndex":0},"citationItems":[{"id":18243,"uris":["http://zotero.org/users/local/lRqU69pQ/items/V43GZ8PS"],"itemData":{"id":18243,"type":"article-journal","abstract":"We asked whether caffeinated coffee (CC) blunts the infarct size (IS)-limiting effects of atorvastatin (ATV).","container-title":"Cardiovascular Drugs and Therapy","DOI":"10.1007/s10557-008-6105-z","ISSN":"1573-7241","issue":"4","journalAbbreviation":"Cardiovasc Drugs Ther","language":"en","page":"275-282","source":"Springer Link","title":"Caffeinated Coffee Blunts the Myocardial Protective Effects of Statins against Ischemia–Reperfusion Injury in the Rat","volume":"22","author":[{"family":"Ye","given":"Yumei"},{"family":"Abu Said","given":"Ghassan H."},{"family":"Lin","given":"Yu"},{"family":"Manickavasagam","given":"Saraswathy"},{"family":"Hughes","given":"Michael G."},{"family":"McAdoo","given":"David J."},{"family":"Perez-Polo","given":"Regino J."},{"family":"Birnbaum","given":"Yochai"}],"issued":{"date-parts":[["2008",8,1]]}}}],"schema":"https://github.com/citation-style-language/schema/raw/master/csl-citation.json"} </w:instrText>
            </w:r>
            <w:r>
              <w:fldChar w:fldCharType="separate"/>
            </w:r>
            <w:r w:rsidRPr="00A2596D">
              <w:rPr>
                <w:rFonts w:ascii="Calibri" w:hAnsi="Calibri" w:cs="Calibri"/>
              </w:rPr>
              <w:t>(</w:t>
            </w:r>
            <w:r>
              <w:rPr>
                <w:rFonts w:ascii="Calibri" w:hAnsi="Calibri" w:cs="Calibri"/>
              </w:rPr>
              <w:t>88</w:t>
            </w:r>
            <w:r w:rsidRPr="00A2596D">
              <w:rPr>
                <w:rFonts w:ascii="Calibri" w:hAnsi="Calibri" w:cs="Calibri"/>
              </w:rPr>
              <w:t>)</w:t>
            </w:r>
            <w:r>
              <w:fldChar w:fldCharType="end"/>
            </w:r>
          </w:p>
        </w:tc>
        <w:tc>
          <w:tcPr>
            <w:tcW w:w="8460" w:type="dxa"/>
          </w:tcPr>
          <w:p w14:paraId="188642D5" w14:textId="77777777" w:rsidR="000B4D3A" w:rsidRDefault="000B4D3A" w:rsidP="00666B63">
            <w:r>
              <w:t>Animal study</w:t>
            </w:r>
          </w:p>
        </w:tc>
      </w:tr>
    </w:tbl>
    <w:p w14:paraId="4AC657A6" w14:textId="77777777" w:rsidR="00FE518C" w:rsidRPr="00FE518C" w:rsidRDefault="00FE518C" w:rsidP="00FE518C">
      <w:pPr>
        <w:rPr>
          <w:rFonts w:ascii="Times New Roman" w:eastAsia="Calibri" w:hAnsi="Times New Roman" w:cs="Times New Roman"/>
        </w:rPr>
      </w:pPr>
    </w:p>
    <w:p w14:paraId="729607C6" w14:textId="77777777" w:rsidR="001C1B9D" w:rsidRDefault="001C1B9D"/>
    <w:sectPr w:rsidR="001C1B9D" w:rsidSect="00FE518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3DF"/>
    <w:rsid w:val="000B4D3A"/>
    <w:rsid w:val="001C1B9D"/>
    <w:rsid w:val="0030544E"/>
    <w:rsid w:val="00426AE5"/>
    <w:rsid w:val="009E3052"/>
    <w:rsid w:val="00B543DF"/>
    <w:rsid w:val="00C8304F"/>
    <w:rsid w:val="00FE51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3412C"/>
  <w15:chartTrackingRefBased/>
  <w15:docId w15:val="{AB9E1F4A-FE40-4AE6-94B4-C0A38C19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3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43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43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43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43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43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43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43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43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3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43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3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3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3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3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3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3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3DF"/>
    <w:rPr>
      <w:rFonts w:eastAsiaTheme="majorEastAsia" w:cstheme="majorBidi"/>
      <w:color w:val="272727" w:themeColor="text1" w:themeTint="D8"/>
    </w:rPr>
  </w:style>
  <w:style w:type="paragraph" w:styleId="Title">
    <w:name w:val="Title"/>
    <w:basedOn w:val="Normal"/>
    <w:next w:val="Normal"/>
    <w:link w:val="TitleChar"/>
    <w:uiPriority w:val="10"/>
    <w:qFormat/>
    <w:rsid w:val="00B543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3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3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43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3DF"/>
    <w:pPr>
      <w:spacing w:before="160"/>
      <w:jc w:val="center"/>
    </w:pPr>
    <w:rPr>
      <w:i/>
      <w:iCs/>
      <w:color w:val="404040" w:themeColor="text1" w:themeTint="BF"/>
    </w:rPr>
  </w:style>
  <w:style w:type="character" w:customStyle="1" w:styleId="QuoteChar">
    <w:name w:val="Quote Char"/>
    <w:basedOn w:val="DefaultParagraphFont"/>
    <w:link w:val="Quote"/>
    <w:uiPriority w:val="29"/>
    <w:rsid w:val="00B543DF"/>
    <w:rPr>
      <w:i/>
      <w:iCs/>
      <w:color w:val="404040" w:themeColor="text1" w:themeTint="BF"/>
    </w:rPr>
  </w:style>
  <w:style w:type="paragraph" w:styleId="ListParagraph">
    <w:name w:val="List Paragraph"/>
    <w:basedOn w:val="Normal"/>
    <w:uiPriority w:val="34"/>
    <w:qFormat/>
    <w:rsid w:val="00B543DF"/>
    <w:pPr>
      <w:ind w:left="720"/>
      <w:contextualSpacing/>
    </w:pPr>
  </w:style>
  <w:style w:type="character" w:styleId="IntenseEmphasis">
    <w:name w:val="Intense Emphasis"/>
    <w:basedOn w:val="DefaultParagraphFont"/>
    <w:uiPriority w:val="21"/>
    <w:qFormat/>
    <w:rsid w:val="00B543DF"/>
    <w:rPr>
      <w:i/>
      <w:iCs/>
      <w:color w:val="0F4761" w:themeColor="accent1" w:themeShade="BF"/>
    </w:rPr>
  </w:style>
  <w:style w:type="paragraph" w:styleId="IntenseQuote">
    <w:name w:val="Intense Quote"/>
    <w:basedOn w:val="Normal"/>
    <w:next w:val="Normal"/>
    <w:link w:val="IntenseQuoteChar"/>
    <w:uiPriority w:val="30"/>
    <w:qFormat/>
    <w:rsid w:val="00B543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43DF"/>
    <w:rPr>
      <w:i/>
      <w:iCs/>
      <w:color w:val="0F4761" w:themeColor="accent1" w:themeShade="BF"/>
    </w:rPr>
  </w:style>
  <w:style w:type="character" w:styleId="IntenseReference">
    <w:name w:val="Intense Reference"/>
    <w:basedOn w:val="DefaultParagraphFont"/>
    <w:uiPriority w:val="32"/>
    <w:qFormat/>
    <w:rsid w:val="00B543DF"/>
    <w:rPr>
      <w:b/>
      <w:bCs/>
      <w:smallCaps/>
      <w:color w:val="0F4761" w:themeColor="accent1" w:themeShade="BF"/>
      <w:spacing w:val="5"/>
    </w:rPr>
  </w:style>
  <w:style w:type="table" w:customStyle="1" w:styleId="GridTable4-Accent31">
    <w:name w:val="Grid Table 4 - Accent 31"/>
    <w:basedOn w:val="TableNormal"/>
    <w:next w:val="GridTable4-Accent3"/>
    <w:uiPriority w:val="49"/>
    <w:rsid w:val="00FE518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FE518C"/>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Grid">
    <w:name w:val="Table Grid"/>
    <w:basedOn w:val="TableNormal"/>
    <w:uiPriority w:val="39"/>
    <w:rsid w:val="000B4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4D3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nk.springer.com/article/10.1186/s41936-025-00496-9?utm_source=chatgpt.com" TargetMode="External"/><Relationship Id="rId4" Type="http://schemas.openxmlformats.org/officeDocument/2006/relationships/hyperlink" Target="https://pubmed.ncbi.nlm.nih.gov/?term=Ilb%C3%A4ck+NG&amp;cauthor_id=171750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73f5887-035d-4765-8d10-97aaac8deb4a}" enabled="1" method="Standard" siteId="{f08ae827-76a0-4eda-8325-df208f3835ab}"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7088</Words>
  <Characters>39126</Characters>
  <Application>Microsoft Office Word</Application>
  <DocSecurity>0</DocSecurity>
  <Lines>909</Lines>
  <Paragraphs>710</Paragraphs>
  <ScaleCrop>false</ScaleCrop>
  <Company/>
  <LinksUpToDate>false</LinksUpToDate>
  <CharactersWithSpaces>45504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Hussam Eddin Nabil Elmelliti</dc:creator>
  <cp:keywords/>
  <dc:description/>
  <cp:lastModifiedBy>Hussam Eddin Nabil Elmelliti</cp:lastModifiedBy>
  <cp:revision>3</cp:revision>
  <dcterms:created xsi:type="dcterms:W3CDTF">2025-06-16T20:25:00Z</dcterms:created>
  <dcterms:modified xsi:type="dcterms:W3CDTF">2026-01-13T19:17:00Z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366aa535-e1d7-4d01-8cc0-c20711b4a759</vt:lpwstr>
  </property>
</Properties>
</file>