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F9664">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b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highlight w:val="none"/>
          <w:shd w:val="clear" w:color="auto" w:fill="auto"/>
          <w:lang w:val="en-US" w:eastAsia="zh-CN" w:bidi="ar-SA"/>
          <w14:textFill>
            <w14:solidFill>
              <w14:schemeClr w14:val="tx1"/>
            </w14:solidFill>
          </w14:textFill>
        </w:rPr>
        <w:t>Supplemental materials</w:t>
      </w:r>
      <w:bookmarkStart w:id="0" w:name="_GoBack"/>
      <w:bookmarkEnd w:id="0"/>
    </w:p>
    <w:p w14:paraId="7757F4C1">
      <w:pPr>
        <w:pStyle w:val="11"/>
        <w:keepNext/>
        <w:pBdr>
          <w:top w:val="none" w:color="000000" w:sz="0" w:space="0"/>
          <w:left w:val="none" w:color="000000" w:sz="0" w:space="0"/>
          <w:bottom w:val="none" w:color="000000" w:sz="0" w:space="0"/>
          <w:right w:val="none" w:color="000000" w:sz="0" w:space="0"/>
        </w:pBdr>
        <w:spacing w:before="60" w:after="60"/>
        <w:ind w:right="60"/>
        <w:jc w:val="center"/>
        <w:rPr>
          <w:rFonts w:hint="default" w:ascii="Times New Roman" w:hAnsi="Times New Roman" w:cs="Times New Roman"/>
          <w:b w:val="0"/>
          <w:bCs/>
          <w:i w:val="0"/>
          <w:iCs/>
          <w:color w:val="000000" w:themeColor="text1"/>
          <w:sz w:val="24"/>
          <w:szCs w:val="24"/>
          <w:highlight w:val="none"/>
          <w14:textFill>
            <w14:solidFill>
              <w14:schemeClr w14:val="tx1"/>
            </w14:solidFill>
          </w14:textFill>
        </w:rPr>
      </w:pPr>
      <w:r>
        <w:rPr>
          <w:rFonts w:hint="default" w:ascii="Times New Roman" w:hAnsi="Times New Roman" w:cs="Times New Roman"/>
          <w:b/>
          <w:bCs w:val="0"/>
          <w:i w:val="0"/>
          <w:iCs/>
          <w:color w:val="000000" w:themeColor="text1"/>
          <w:sz w:val="24"/>
          <w:szCs w:val="24"/>
          <w:highlight w:val="none"/>
          <w14:textFill>
            <w14:solidFill>
              <w14:schemeClr w14:val="tx1"/>
            </w14:solidFill>
          </w14:textFill>
        </w:rPr>
        <w:t>Table S</w:t>
      </w:r>
      <w:r>
        <w:rPr>
          <w:rFonts w:hint="eastAsia" w:ascii="Times New Roman" w:hAnsi="Times New Roman" w:cs="Times New Roman"/>
          <w:b/>
          <w:bCs w:val="0"/>
          <w:i w:val="0"/>
          <w:iCs/>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i w:val="0"/>
          <w:iCs/>
          <w:color w:val="000000" w:themeColor="text1"/>
          <w:sz w:val="24"/>
          <w:szCs w:val="24"/>
          <w:highlight w:val="none"/>
          <w:shd w:val="clear" w:color="auto" w:fill="auto"/>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14:textFill>
            <w14:solidFill>
              <w14:schemeClr w14:val="tx1"/>
            </w14:solidFill>
          </w14:textFill>
        </w:rPr>
        <w:t>Comparison of baseline characteristics between participants included in the analysis (n = 3,341) and those excluded primarily due to missing data on key variables (n = 11,821)</w:t>
      </w:r>
    </w:p>
    <w:tbl>
      <w:tblPr>
        <w:tblStyle w:val="6"/>
        <w:tblW w:w="8207"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83"/>
        <w:gridCol w:w="1874"/>
        <w:gridCol w:w="1874"/>
        <w:gridCol w:w="1876"/>
      </w:tblGrid>
      <w:tr w14:paraId="42B6DA0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blHeader/>
          <w:jc w:val="center"/>
        </w:trPr>
        <w:tc>
          <w:tcPr>
            <w:tcW w:w="2583" w:type="dxa"/>
            <w:tcBorders>
              <w:bottom w:val="single" w:color="000000" w:sz="6" w:space="0"/>
            </w:tcBorders>
            <w:shd w:val="clear" w:color="auto" w:fill="FFFFFF"/>
            <w:tcMar>
              <w:top w:w="0" w:type="dxa"/>
              <w:left w:w="0" w:type="dxa"/>
              <w:bottom w:w="0" w:type="dxa"/>
              <w:right w:w="0" w:type="dxa"/>
            </w:tcMar>
            <w:vAlign w:val="top"/>
          </w:tcPr>
          <w:p w14:paraId="04558DC6">
            <w:pPr>
              <w:pBdr>
                <w:top w:val="none" w:color="000000" w:sz="0" w:space="0"/>
                <w:left w:val="none" w:color="000000" w:sz="0" w:space="0"/>
                <w:bottom w:val="none" w:color="000000" w:sz="0" w:space="0"/>
                <w:right w:val="none" w:color="000000" w:sz="0" w:space="0"/>
              </w:pBdr>
              <w:spacing w:before="40" w:after="40"/>
              <w:ind w:left="100" w:right="100"/>
              <w:jc w:val="center"/>
              <w:rPr>
                <w:rFonts w:hint="default" w:ascii="Times New Roman" w:hAnsi="Times New Roman" w:eastAsia="Times New Roman" w:cs="Times New Roman"/>
                <w:b/>
                <w:color w:val="000000" w:themeColor="text1"/>
                <w:sz w:val="24"/>
                <w:szCs w:val="24"/>
                <w:highlight w:val="none"/>
                <w14:textFill>
                  <w14:solidFill>
                    <w14:schemeClr w14:val="tx1"/>
                  </w14:solidFill>
                </w14:textFill>
              </w:rPr>
            </w:pPr>
            <w:r>
              <w:rPr>
                <w:rFonts w:hint="default" w:ascii="Times New Roman" w:hAnsi="Times New Roman" w:eastAsia="Times New Roman" w:cs="Times New Roman"/>
                <w:b/>
                <w:color w:val="000000" w:themeColor="text1"/>
                <w:sz w:val="24"/>
                <w:szCs w:val="24"/>
                <w:highlight w:val="none"/>
                <w14:textFill>
                  <w14:solidFill>
                    <w14:schemeClr w14:val="tx1"/>
                  </w14:solidFill>
                </w14:textFill>
              </w:rPr>
              <w:t>Characteristic</w:t>
            </w:r>
          </w:p>
        </w:tc>
        <w:tc>
          <w:tcPr>
            <w:tcW w:w="1874" w:type="dxa"/>
            <w:tcBorders>
              <w:bottom w:val="single" w:color="000000" w:sz="6" w:space="0"/>
            </w:tcBorders>
            <w:shd w:val="clear" w:color="auto" w:fill="FFFFFF"/>
            <w:tcMar>
              <w:top w:w="0" w:type="dxa"/>
              <w:left w:w="0" w:type="dxa"/>
              <w:bottom w:w="0" w:type="dxa"/>
              <w:right w:w="0" w:type="dxa"/>
            </w:tcMar>
            <w:vAlign w:val="top"/>
          </w:tcPr>
          <w:p w14:paraId="612C8991">
            <w:pPr>
              <w:pBdr>
                <w:top w:val="none" w:color="000000" w:sz="0" w:space="0"/>
                <w:left w:val="none" w:color="000000" w:sz="0" w:space="0"/>
                <w:bottom w:val="none" w:color="000000" w:sz="0" w:space="0"/>
                <w:right w:val="none" w:color="000000" w:sz="0" w:space="0"/>
              </w:pBdr>
              <w:spacing w:before="40" w:after="40"/>
              <w:ind w:left="100" w:right="100"/>
              <w:jc w:val="cente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b/>
                <w:color w:val="000000" w:themeColor="text1"/>
                <w:sz w:val="24"/>
                <w:szCs w:val="24"/>
                <w:highlight w:val="none"/>
                <w14:textFill>
                  <w14:solidFill>
                    <w14:schemeClr w14:val="tx1"/>
                  </w14:solidFill>
                </w14:textFill>
              </w:rPr>
              <w:t>Enrollment participants N = 3,341</w:t>
            </w:r>
          </w:p>
        </w:tc>
        <w:tc>
          <w:tcPr>
            <w:tcW w:w="1874" w:type="dxa"/>
            <w:tcBorders>
              <w:bottom w:val="single" w:color="000000" w:sz="6" w:space="0"/>
            </w:tcBorders>
            <w:shd w:val="clear" w:color="auto" w:fill="FFFFFF"/>
            <w:tcMar>
              <w:top w:w="0" w:type="dxa"/>
              <w:left w:w="0" w:type="dxa"/>
              <w:bottom w:w="0" w:type="dxa"/>
              <w:right w:w="0" w:type="dxa"/>
            </w:tcMar>
            <w:vAlign w:val="top"/>
          </w:tcPr>
          <w:p w14:paraId="04A67910">
            <w:pPr>
              <w:pBdr>
                <w:top w:val="none" w:color="000000" w:sz="0" w:space="0"/>
                <w:left w:val="none" w:color="000000" w:sz="0" w:space="0"/>
                <w:bottom w:val="none" w:color="000000" w:sz="0" w:space="0"/>
                <w:right w:val="none" w:color="000000" w:sz="0" w:space="0"/>
              </w:pBdr>
              <w:spacing w:before="40" w:after="40"/>
              <w:ind w:left="100" w:right="100"/>
              <w:jc w:val="cente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b/>
                <w:color w:val="000000" w:themeColor="text1"/>
                <w:sz w:val="24"/>
                <w:szCs w:val="24"/>
                <w:highlight w:val="none"/>
                <w14:textFill>
                  <w14:solidFill>
                    <w14:schemeClr w14:val="tx1"/>
                  </w14:solidFill>
                </w14:textFill>
              </w:rPr>
              <w:t>Excluded participants N = 11,821</w:t>
            </w:r>
          </w:p>
        </w:tc>
        <w:tc>
          <w:tcPr>
            <w:tcW w:w="1876" w:type="dxa"/>
            <w:tcBorders>
              <w:bottom w:val="single" w:color="000000" w:sz="6" w:space="0"/>
            </w:tcBorders>
            <w:shd w:val="clear" w:color="auto" w:fill="FFFFFF"/>
            <w:tcMar>
              <w:top w:w="0" w:type="dxa"/>
              <w:left w:w="0" w:type="dxa"/>
              <w:bottom w:w="0" w:type="dxa"/>
              <w:right w:w="0" w:type="dxa"/>
            </w:tcMar>
            <w:vAlign w:val="top"/>
          </w:tcPr>
          <w:p w14:paraId="1329B94F">
            <w:pPr>
              <w:pBdr>
                <w:top w:val="none" w:color="000000" w:sz="0" w:space="0"/>
                <w:left w:val="none" w:color="000000" w:sz="0" w:space="0"/>
                <w:bottom w:val="none" w:color="000000" w:sz="0" w:space="0"/>
                <w:right w:val="none" w:color="000000" w:sz="0" w:space="0"/>
              </w:pBdr>
              <w:spacing w:before="40" w:after="40"/>
              <w:ind w:left="100" w:right="100"/>
              <w:jc w:val="center"/>
              <w:rPr>
                <w:rFonts w:hint="default" w:ascii="Times New Roman" w:hAnsi="Times New Roman" w:eastAsia="Times New Roman" w:cs="Times New Roman"/>
                <w:b/>
                <w:color w:val="000000" w:themeColor="text1"/>
                <w:sz w:val="24"/>
                <w:szCs w:val="24"/>
                <w:highlight w:val="none"/>
                <w14:textFill>
                  <w14:solidFill>
                    <w14:schemeClr w14:val="tx1"/>
                  </w14:solidFill>
                </w14:textFill>
              </w:rPr>
            </w:pPr>
            <w:r>
              <w:rPr>
                <w:rFonts w:hint="default" w:ascii="Times New Roman" w:hAnsi="Times New Roman" w:eastAsia="Times New Roman" w:cs="Times New Roman"/>
                <w:b/>
                <w:color w:val="000000" w:themeColor="text1"/>
                <w:sz w:val="24"/>
                <w:szCs w:val="24"/>
                <w:highlight w:val="none"/>
                <w14:textFill>
                  <w14:solidFill>
                    <w14:schemeClr w14:val="tx1"/>
                  </w14:solidFill>
                </w14:textFill>
              </w:rPr>
              <w:t>p</w:t>
            </w:r>
            <w:r>
              <w:rPr>
                <w:rFonts w:hint="eastAsia" w:ascii="Times New Roman" w:hAnsi="Times New Roman" w:eastAsia="宋体" w:cs="Times New Roman"/>
                <w:b/>
                <w:color w:val="000000" w:themeColor="text1"/>
                <w:sz w:val="24"/>
                <w:szCs w:val="24"/>
                <w:highlight w:val="none"/>
                <w:lang w:eastAsia="zh-CN"/>
                <w14:textFill>
                  <w14:solidFill>
                    <w14:schemeClr w14:val="tx1"/>
                  </w14:solidFill>
                </w14:textFill>
              </w:rPr>
              <w:t>-</w:t>
            </w:r>
            <w:r>
              <w:rPr>
                <w:rFonts w:hint="default" w:ascii="Times New Roman" w:hAnsi="Times New Roman" w:eastAsia="Times New Roman" w:cs="Times New Roman"/>
                <w:b/>
                <w:color w:val="000000" w:themeColor="text1"/>
                <w:sz w:val="24"/>
                <w:szCs w:val="24"/>
                <w:highlight w:val="none"/>
                <w14:textFill>
                  <w14:solidFill>
                    <w14:schemeClr w14:val="tx1"/>
                  </w14:solidFill>
                </w14:textFill>
              </w:rPr>
              <w:t>value</w:t>
            </w:r>
          </w:p>
        </w:tc>
      </w:tr>
      <w:tr w14:paraId="4CBB635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4BA2D00F">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Male, n (%)</w:t>
            </w:r>
          </w:p>
        </w:tc>
        <w:tc>
          <w:tcPr>
            <w:tcW w:w="1874" w:type="dxa"/>
            <w:tcBorders>
              <w:tl2br w:val="nil"/>
              <w:tr2bl w:val="nil"/>
            </w:tcBorders>
            <w:shd w:val="clear" w:color="auto" w:fill="FFFFFF"/>
            <w:tcMar>
              <w:top w:w="0" w:type="dxa"/>
              <w:left w:w="0" w:type="dxa"/>
              <w:bottom w:w="0" w:type="dxa"/>
              <w:right w:w="0" w:type="dxa"/>
            </w:tcMar>
            <w:vAlign w:val="top"/>
          </w:tcPr>
          <w:p w14:paraId="40149B0D">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1,566 (47)</w:t>
            </w:r>
          </w:p>
        </w:tc>
        <w:tc>
          <w:tcPr>
            <w:tcW w:w="1874" w:type="dxa"/>
            <w:tcBorders>
              <w:tl2br w:val="nil"/>
              <w:tr2bl w:val="nil"/>
            </w:tcBorders>
            <w:shd w:val="clear" w:color="auto" w:fill="FFFFFF"/>
            <w:tcMar>
              <w:top w:w="0" w:type="dxa"/>
              <w:left w:w="0" w:type="dxa"/>
              <w:bottom w:w="0" w:type="dxa"/>
              <w:right w:w="0" w:type="dxa"/>
            </w:tcMar>
            <w:vAlign w:val="top"/>
          </w:tcPr>
          <w:p w14:paraId="718D2620">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5730 (48)</w:t>
            </w:r>
          </w:p>
        </w:tc>
        <w:tc>
          <w:tcPr>
            <w:tcW w:w="1876" w:type="dxa"/>
            <w:tcBorders>
              <w:tl2br w:val="nil"/>
              <w:tr2bl w:val="nil"/>
            </w:tcBorders>
            <w:shd w:val="clear" w:color="auto" w:fill="FFFFFF"/>
            <w:tcMar>
              <w:top w:w="0" w:type="dxa"/>
              <w:left w:w="0" w:type="dxa"/>
              <w:bottom w:w="0" w:type="dxa"/>
              <w:right w:w="0" w:type="dxa"/>
            </w:tcMar>
            <w:vAlign w:val="top"/>
          </w:tcPr>
          <w:p w14:paraId="697BC82D">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0.10</w:t>
            </w:r>
          </w:p>
        </w:tc>
      </w:tr>
      <w:tr w14:paraId="70D7A1C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4BDE6675">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Age(years)</w:t>
            </w:r>
          </w:p>
        </w:tc>
        <w:tc>
          <w:tcPr>
            <w:tcW w:w="1874" w:type="dxa"/>
            <w:tcBorders>
              <w:tl2br w:val="nil"/>
              <w:tr2bl w:val="nil"/>
            </w:tcBorders>
            <w:shd w:val="clear" w:color="auto" w:fill="FFFFFF"/>
            <w:tcMar>
              <w:top w:w="0" w:type="dxa"/>
              <w:left w:w="0" w:type="dxa"/>
              <w:bottom w:w="0" w:type="dxa"/>
              <w:right w:w="0" w:type="dxa"/>
            </w:tcMar>
            <w:vAlign w:val="top"/>
          </w:tcPr>
          <w:p w14:paraId="2E0D6149">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58 ± 9</w:t>
            </w:r>
          </w:p>
        </w:tc>
        <w:tc>
          <w:tcPr>
            <w:tcW w:w="1874" w:type="dxa"/>
            <w:tcBorders>
              <w:tl2br w:val="nil"/>
              <w:tr2bl w:val="nil"/>
            </w:tcBorders>
            <w:shd w:val="clear" w:color="auto" w:fill="FFFFFF"/>
            <w:tcMar>
              <w:top w:w="0" w:type="dxa"/>
              <w:left w:w="0" w:type="dxa"/>
              <w:bottom w:w="0" w:type="dxa"/>
              <w:right w:w="0" w:type="dxa"/>
            </w:tcMar>
            <w:vAlign w:val="top"/>
          </w:tcPr>
          <w:p w14:paraId="5259EBA2">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58 ± 11</w:t>
            </w:r>
          </w:p>
        </w:tc>
        <w:tc>
          <w:tcPr>
            <w:tcW w:w="1876" w:type="dxa"/>
            <w:tcBorders>
              <w:tl2br w:val="nil"/>
              <w:tr2bl w:val="nil"/>
            </w:tcBorders>
            <w:shd w:val="clear" w:color="auto" w:fill="FFFFFF"/>
            <w:tcMar>
              <w:top w:w="0" w:type="dxa"/>
              <w:left w:w="0" w:type="dxa"/>
              <w:bottom w:w="0" w:type="dxa"/>
              <w:right w:w="0" w:type="dxa"/>
            </w:tcMar>
            <w:vAlign w:val="top"/>
          </w:tcPr>
          <w:p w14:paraId="39D30E48">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&lt;0.001</w:t>
            </w:r>
          </w:p>
        </w:tc>
      </w:tr>
      <w:tr w14:paraId="5939CE9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65D08848">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Urban residence, n (%)</w:t>
            </w:r>
          </w:p>
        </w:tc>
        <w:tc>
          <w:tcPr>
            <w:tcW w:w="1874" w:type="dxa"/>
            <w:tcBorders>
              <w:tl2br w:val="nil"/>
              <w:tr2bl w:val="nil"/>
            </w:tcBorders>
            <w:shd w:val="clear" w:color="auto" w:fill="FFFFFF"/>
            <w:tcMar>
              <w:top w:w="0" w:type="dxa"/>
              <w:left w:w="0" w:type="dxa"/>
              <w:bottom w:w="0" w:type="dxa"/>
              <w:right w:w="0" w:type="dxa"/>
            </w:tcMar>
            <w:vAlign w:val="top"/>
          </w:tcPr>
          <w:p w14:paraId="0C09209B">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448 (13)</w:t>
            </w:r>
          </w:p>
        </w:tc>
        <w:tc>
          <w:tcPr>
            <w:tcW w:w="1874" w:type="dxa"/>
            <w:tcBorders>
              <w:tl2br w:val="nil"/>
              <w:tr2bl w:val="nil"/>
            </w:tcBorders>
            <w:shd w:val="clear" w:color="auto" w:fill="FFFFFF"/>
            <w:tcMar>
              <w:top w:w="0" w:type="dxa"/>
              <w:left w:w="0" w:type="dxa"/>
              <w:bottom w:w="0" w:type="dxa"/>
              <w:right w:w="0" w:type="dxa"/>
            </w:tcMar>
            <w:vAlign w:val="top"/>
          </w:tcPr>
          <w:p w14:paraId="553483BE">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2858 (24)</w:t>
            </w:r>
          </w:p>
        </w:tc>
        <w:tc>
          <w:tcPr>
            <w:tcW w:w="1876" w:type="dxa"/>
            <w:tcBorders>
              <w:tl2br w:val="nil"/>
              <w:tr2bl w:val="nil"/>
            </w:tcBorders>
            <w:shd w:val="clear" w:color="auto" w:fill="FFFFFF"/>
            <w:tcMar>
              <w:top w:w="0" w:type="dxa"/>
              <w:left w:w="0" w:type="dxa"/>
              <w:bottom w:w="0" w:type="dxa"/>
              <w:right w:w="0" w:type="dxa"/>
            </w:tcMar>
            <w:vAlign w:val="top"/>
          </w:tcPr>
          <w:p w14:paraId="52B73359">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&lt;0.001</w:t>
            </w:r>
          </w:p>
        </w:tc>
      </w:tr>
      <w:tr w14:paraId="09C50DE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19B89C2E">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BMI(kg/m²)</w:t>
            </w:r>
          </w:p>
        </w:tc>
        <w:tc>
          <w:tcPr>
            <w:tcW w:w="1874" w:type="dxa"/>
            <w:tcBorders>
              <w:tl2br w:val="nil"/>
              <w:tr2bl w:val="nil"/>
            </w:tcBorders>
            <w:shd w:val="clear" w:color="auto" w:fill="FFFFFF"/>
            <w:tcMar>
              <w:top w:w="0" w:type="dxa"/>
              <w:left w:w="0" w:type="dxa"/>
              <w:bottom w:w="0" w:type="dxa"/>
              <w:right w:w="0" w:type="dxa"/>
            </w:tcMar>
            <w:vAlign w:val="top"/>
          </w:tcPr>
          <w:p w14:paraId="5A4C5232">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23.4</w:t>
            </w:r>
          </w:p>
        </w:tc>
        <w:tc>
          <w:tcPr>
            <w:tcW w:w="1874" w:type="dxa"/>
            <w:tcBorders>
              <w:tl2br w:val="nil"/>
              <w:tr2bl w:val="nil"/>
            </w:tcBorders>
            <w:shd w:val="clear" w:color="auto" w:fill="FFFFFF"/>
            <w:tcMar>
              <w:top w:w="0" w:type="dxa"/>
              <w:left w:w="0" w:type="dxa"/>
              <w:bottom w:w="0" w:type="dxa"/>
              <w:right w:w="0" w:type="dxa"/>
            </w:tcMar>
            <w:vAlign w:val="top"/>
          </w:tcPr>
          <w:p w14:paraId="3CFA3EED">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24.2</w:t>
            </w:r>
          </w:p>
        </w:tc>
        <w:tc>
          <w:tcPr>
            <w:tcW w:w="1876" w:type="dxa"/>
            <w:tcBorders>
              <w:tl2br w:val="nil"/>
              <w:tr2bl w:val="nil"/>
            </w:tcBorders>
            <w:shd w:val="clear" w:color="auto" w:fill="FFFFFF"/>
            <w:tcMar>
              <w:top w:w="0" w:type="dxa"/>
              <w:left w:w="0" w:type="dxa"/>
              <w:bottom w:w="0" w:type="dxa"/>
              <w:right w:w="0" w:type="dxa"/>
            </w:tcMar>
            <w:vAlign w:val="top"/>
          </w:tcPr>
          <w:p w14:paraId="635D34F2">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0.13</w:t>
            </w:r>
          </w:p>
        </w:tc>
      </w:tr>
      <w:tr w14:paraId="70301B1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38BC3D92">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Dyslipidaemia, n (%)</w:t>
            </w:r>
          </w:p>
        </w:tc>
        <w:tc>
          <w:tcPr>
            <w:tcW w:w="1874" w:type="dxa"/>
            <w:tcBorders>
              <w:tl2br w:val="nil"/>
              <w:tr2bl w:val="nil"/>
            </w:tcBorders>
            <w:shd w:val="clear" w:color="auto" w:fill="FFFFFF"/>
            <w:tcMar>
              <w:top w:w="0" w:type="dxa"/>
              <w:left w:w="0" w:type="dxa"/>
              <w:bottom w:w="0" w:type="dxa"/>
              <w:right w:w="0" w:type="dxa"/>
            </w:tcMar>
            <w:vAlign w:val="top"/>
          </w:tcPr>
          <w:p w14:paraId="2892E4C7">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272 (8.1)</w:t>
            </w:r>
          </w:p>
        </w:tc>
        <w:tc>
          <w:tcPr>
            <w:tcW w:w="1874" w:type="dxa"/>
            <w:tcBorders>
              <w:tl2br w:val="nil"/>
              <w:tr2bl w:val="nil"/>
            </w:tcBorders>
            <w:shd w:val="clear" w:color="auto" w:fill="FFFFFF"/>
            <w:tcMar>
              <w:top w:w="0" w:type="dxa"/>
              <w:left w:w="0" w:type="dxa"/>
              <w:bottom w:w="0" w:type="dxa"/>
              <w:right w:w="0" w:type="dxa"/>
            </w:tcMar>
            <w:vAlign w:val="top"/>
          </w:tcPr>
          <w:p w14:paraId="265F7EDC">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1018(8.9)</w:t>
            </w:r>
          </w:p>
        </w:tc>
        <w:tc>
          <w:tcPr>
            <w:tcW w:w="1876" w:type="dxa"/>
            <w:tcBorders>
              <w:tl2br w:val="nil"/>
              <w:tr2bl w:val="nil"/>
            </w:tcBorders>
            <w:shd w:val="clear" w:color="auto" w:fill="FFFFFF"/>
            <w:tcMar>
              <w:top w:w="0" w:type="dxa"/>
              <w:left w:w="0" w:type="dxa"/>
              <w:bottom w:w="0" w:type="dxa"/>
              <w:right w:w="0" w:type="dxa"/>
            </w:tcMar>
            <w:vAlign w:val="top"/>
          </w:tcPr>
          <w:p w14:paraId="356B4B2F">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0.2</w:t>
            </w:r>
          </w:p>
        </w:tc>
      </w:tr>
      <w:tr w14:paraId="61790A8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71CFAFD3">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Hypertension, n (%)</w:t>
            </w:r>
          </w:p>
        </w:tc>
        <w:tc>
          <w:tcPr>
            <w:tcW w:w="1874" w:type="dxa"/>
            <w:tcBorders>
              <w:tl2br w:val="nil"/>
              <w:tr2bl w:val="nil"/>
            </w:tcBorders>
            <w:shd w:val="clear" w:color="auto" w:fill="FFFFFF"/>
            <w:tcMar>
              <w:top w:w="0" w:type="dxa"/>
              <w:left w:w="0" w:type="dxa"/>
              <w:bottom w:w="0" w:type="dxa"/>
              <w:right w:w="0" w:type="dxa"/>
            </w:tcMar>
            <w:vAlign w:val="top"/>
          </w:tcPr>
          <w:p w14:paraId="4799354D">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714 (21)</w:t>
            </w:r>
          </w:p>
        </w:tc>
        <w:tc>
          <w:tcPr>
            <w:tcW w:w="1874" w:type="dxa"/>
            <w:tcBorders>
              <w:tl2br w:val="nil"/>
              <w:tr2bl w:val="nil"/>
            </w:tcBorders>
            <w:shd w:val="clear" w:color="auto" w:fill="FFFFFF"/>
            <w:tcMar>
              <w:top w:w="0" w:type="dxa"/>
              <w:left w:w="0" w:type="dxa"/>
              <w:bottom w:w="0" w:type="dxa"/>
              <w:right w:w="0" w:type="dxa"/>
            </w:tcMar>
            <w:vAlign w:val="top"/>
          </w:tcPr>
          <w:p w14:paraId="5B9EAA5B">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2855 (25)</w:t>
            </w:r>
          </w:p>
        </w:tc>
        <w:tc>
          <w:tcPr>
            <w:tcW w:w="1876" w:type="dxa"/>
            <w:tcBorders>
              <w:tl2br w:val="nil"/>
              <w:tr2bl w:val="nil"/>
            </w:tcBorders>
            <w:shd w:val="clear" w:color="auto" w:fill="FFFFFF"/>
            <w:tcMar>
              <w:top w:w="0" w:type="dxa"/>
              <w:left w:w="0" w:type="dxa"/>
              <w:bottom w:w="0" w:type="dxa"/>
              <w:right w:w="0" w:type="dxa"/>
            </w:tcMar>
            <w:vAlign w:val="top"/>
          </w:tcPr>
          <w:p w14:paraId="2DA9ADB0">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&lt;0.001</w:t>
            </w:r>
          </w:p>
        </w:tc>
      </w:tr>
      <w:tr w14:paraId="262C482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5CD47077">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Diabetes，n (%)</w:t>
            </w:r>
          </w:p>
        </w:tc>
        <w:tc>
          <w:tcPr>
            <w:tcW w:w="1874" w:type="dxa"/>
            <w:tcBorders>
              <w:tl2br w:val="nil"/>
              <w:tr2bl w:val="nil"/>
            </w:tcBorders>
            <w:shd w:val="clear" w:color="auto" w:fill="FFFFFF"/>
            <w:tcMar>
              <w:top w:w="0" w:type="dxa"/>
              <w:left w:w="0" w:type="dxa"/>
              <w:bottom w:w="0" w:type="dxa"/>
              <w:right w:w="0" w:type="dxa"/>
            </w:tcMar>
            <w:vAlign w:val="top"/>
          </w:tcPr>
          <w:p w14:paraId="4C62F5D7">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en-US"/>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186 (5.6)</w:t>
            </w:r>
          </w:p>
        </w:tc>
        <w:tc>
          <w:tcPr>
            <w:tcW w:w="1874" w:type="dxa"/>
            <w:tcBorders>
              <w:tl2br w:val="nil"/>
              <w:tr2bl w:val="nil"/>
            </w:tcBorders>
            <w:shd w:val="clear" w:color="auto" w:fill="FFFFFF"/>
            <w:tcMar>
              <w:top w:w="0" w:type="dxa"/>
              <w:left w:w="0" w:type="dxa"/>
              <w:bottom w:w="0" w:type="dxa"/>
              <w:right w:w="0" w:type="dxa"/>
            </w:tcMar>
            <w:vAlign w:val="top"/>
          </w:tcPr>
          <w:p w14:paraId="65D93313">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en-US"/>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670(5.8)</w:t>
            </w:r>
          </w:p>
        </w:tc>
        <w:tc>
          <w:tcPr>
            <w:tcW w:w="1876" w:type="dxa"/>
            <w:tcBorders>
              <w:tl2br w:val="nil"/>
              <w:tr2bl w:val="nil"/>
            </w:tcBorders>
            <w:shd w:val="clear" w:color="auto" w:fill="FFFFFF"/>
            <w:tcMar>
              <w:top w:w="0" w:type="dxa"/>
              <w:left w:w="0" w:type="dxa"/>
              <w:bottom w:w="0" w:type="dxa"/>
              <w:right w:w="0" w:type="dxa"/>
            </w:tcMar>
            <w:vAlign w:val="top"/>
          </w:tcPr>
          <w:p w14:paraId="418A06F9">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en-US"/>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0.6</w:t>
            </w:r>
          </w:p>
        </w:tc>
      </w:tr>
      <w:tr w14:paraId="250F1C9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032D3AF1">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Diabetes medication use, n (%)</w:t>
            </w:r>
          </w:p>
        </w:tc>
        <w:tc>
          <w:tcPr>
            <w:tcW w:w="1874" w:type="dxa"/>
            <w:tcBorders>
              <w:tl2br w:val="nil"/>
              <w:tr2bl w:val="nil"/>
            </w:tcBorders>
            <w:shd w:val="clear" w:color="auto" w:fill="FFFFFF"/>
            <w:tcMar>
              <w:top w:w="0" w:type="dxa"/>
              <w:left w:w="0" w:type="dxa"/>
              <w:bottom w:w="0" w:type="dxa"/>
              <w:right w:w="0" w:type="dxa"/>
            </w:tcMar>
            <w:vAlign w:val="top"/>
          </w:tcPr>
          <w:p w14:paraId="3AD356A9">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113 (3.4)</w:t>
            </w:r>
          </w:p>
        </w:tc>
        <w:tc>
          <w:tcPr>
            <w:tcW w:w="1874" w:type="dxa"/>
            <w:tcBorders>
              <w:tl2br w:val="nil"/>
              <w:tr2bl w:val="nil"/>
            </w:tcBorders>
            <w:shd w:val="clear" w:color="auto" w:fill="FFFFFF"/>
            <w:tcMar>
              <w:top w:w="0" w:type="dxa"/>
              <w:left w:w="0" w:type="dxa"/>
              <w:bottom w:w="0" w:type="dxa"/>
              <w:right w:w="0" w:type="dxa"/>
            </w:tcMar>
            <w:vAlign w:val="top"/>
          </w:tcPr>
          <w:p w14:paraId="522019F0">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459(4.0)</w:t>
            </w:r>
          </w:p>
        </w:tc>
        <w:tc>
          <w:tcPr>
            <w:tcW w:w="1876" w:type="dxa"/>
            <w:tcBorders>
              <w:tl2br w:val="nil"/>
              <w:tr2bl w:val="nil"/>
            </w:tcBorders>
            <w:shd w:val="clear" w:color="auto" w:fill="FFFFFF"/>
            <w:tcMar>
              <w:top w:w="0" w:type="dxa"/>
              <w:left w:w="0" w:type="dxa"/>
              <w:bottom w:w="0" w:type="dxa"/>
              <w:right w:w="0" w:type="dxa"/>
            </w:tcMar>
            <w:vAlign w:val="top"/>
          </w:tcPr>
          <w:p w14:paraId="737DA8D4">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0.12</w:t>
            </w:r>
          </w:p>
        </w:tc>
      </w:tr>
      <w:tr w14:paraId="78E1F2F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3AA84B4A">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Diabetes insulin use, n (%)</w:t>
            </w:r>
          </w:p>
        </w:tc>
        <w:tc>
          <w:tcPr>
            <w:tcW w:w="1874" w:type="dxa"/>
            <w:tcBorders>
              <w:tl2br w:val="nil"/>
              <w:tr2bl w:val="nil"/>
            </w:tcBorders>
            <w:shd w:val="clear" w:color="auto" w:fill="FFFFFF"/>
            <w:tcMar>
              <w:top w:w="0" w:type="dxa"/>
              <w:left w:w="0" w:type="dxa"/>
              <w:bottom w:w="0" w:type="dxa"/>
              <w:right w:w="0" w:type="dxa"/>
            </w:tcMar>
            <w:vAlign w:val="top"/>
          </w:tcPr>
          <w:p w14:paraId="171A2925">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16 (0.5)</w:t>
            </w:r>
          </w:p>
        </w:tc>
        <w:tc>
          <w:tcPr>
            <w:tcW w:w="1874" w:type="dxa"/>
            <w:tcBorders>
              <w:tl2br w:val="nil"/>
              <w:tr2bl w:val="nil"/>
            </w:tcBorders>
            <w:shd w:val="clear" w:color="auto" w:fill="FFFFFF"/>
            <w:tcMar>
              <w:top w:w="0" w:type="dxa"/>
              <w:left w:w="0" w:type="dxa"/>
              <w:bottom w:w="0" w:type="dxa"/>
              <w:right w:w="0" w:type="dxa"/>
            </w:tcMar>
            <w:vAlign w:val="top"/>
          </w:tcPr>
          <w:p w14:paraId="0FB4CAEF">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94 (0.8)</w:t>
            </w:r>
          </w:p>
        </w:tc>
        <w:tc>
          <w:tcPr>
            <w:tcW w:w="1876" w:type="dxa"/>
            <w:tcBorders>
              <w:tl2br w:val="nil"/>
              <w:tr2bl w:val="nil"/>
            </w:tcBorders>
            <w:shd w:val="clear" w:color="auto" w:fill="FFFFFF"/>
            <w:tcMar>
              <w:top w:w="0" w:type="dxa"/>
              <w:left w:w="0" w:type="dxa"/>
              <w:bottom w:w="0" w:type="dxa"/>
              <w:right w:w="0" w:type="dxa"/>
            </w:tcMar>
            <w:vAlign w:val="top"/>
          </w:tcPr>
          <w:p w14:paraId="78A51BAF">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0.45</w:t>
            </w:r>
          </w:p>
        </w:tc>
      </w:tr>
      <w:tr w14:paraId="1E02AF9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676BC833">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Kidney disease, n (%)</w:t>
            </w:r>
          </w:p>
        </w:tc>
        <w:tc>
          <w:tcPr>
            <w:tcW w:w="1874" w:type="dxa"/>
            <w:tcBorders>
              <w:tl2br w:val="nil"/>
              <w:tr2bl w:val="nil"/>
            </w:tcBorders>
            <w:shd w:val="clear" w:color="auto" w:fill="FFFFFF"/>
            <w:tcMar>
              <w:top w:w="0" w:type="dxa"/>
              <w:left w:w="0" w:type="dxa"/>
              <w:bottom w:w="0" w:type="dxa"/>
              <w:right w:w="0" w:type="dxa"/>
            </w:tcMar>
            <w:vAlign w:val="top"/>
          </w:tcPr>
          <w:p w14:paraId="2CEC2BEA">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138 (4.1)</w:t>
            </w:r>
          </w:p>
        </w:tc>
        <w:tc>
          <w:tcPr>
            <w:tcW w:w="1874" w:type="dxa"/>
            <w:tcBorders>
              <w:tl2br w:val="nil"/>
              <w:tr2bl w:val="nil"/>
            </w:tcBorders>
            <w:shd w:val="clear" w:color="auto" w:fill="FFFFFF"/>
            <w:tcMar>
              <w:top w:w="0" w:type="dxa"/>
              <w:left w:w="0" w:type="dxa"/>
              <w:bottom w:w="0" w:type="dxa"/>
              <w:right w:w="0" w:type="dxa"/>
            </w:tcMar>
            <w:vAlign w:val="top"/>
          </w:tcPr>
          <w:p w14:paraId="7B5D77B6">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635 (5.5)</w:t>
            </w:r>
          </w:p>
        </w:tc>
        <w:tc>
          <w:tcPr>
            <w:tcW w:w="1876" w:type="dxa"/>
            <w:tcBorders>
              <w:tl2br w:val="nil"/>
              <w:tr2bl w:val="nil"/>
            </w:tcBorders>
            <w:shd w:val="clear" w:color="auto" w:fill="FFFFFF"/>
            <w:tcMar>
              <w:top w:w="0" w:type="dxa"/>
              <w:left w:w="0" w:type="dxa"/>
              <w:bottom w:w="0" w:type="dxa"/>
              <w:right w:w="0" w:type="dxa"/>
            </w:tcMar>
            <w:vAlign w:val="top"/>
          </w:tcPr>
          <w:p w14:paraId="35BC9090">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0.002</w:t>
            </w:r>
          </w:p>
        </w:tc>
      </w:tr>
      <w:tr w14:paraId="0F29E44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505C7AF6">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Liver disease, n (%)</w:t>
            </w:r>
          </w:p>
        </w:tc>
        <w:tc>
          <w:tcPr>
            <w:tcW w:w="1874" w:type="dxa"/>
            <w:tcBorders>
              <w:tl2br w:val="nil"/>
              <w:tr2bl w:val="nil"/>
            </w:tcBorders>
            <w:shd w:val="clear" w:color="auto" w:fill="FFFFFF"/>
            <w:tcMar>
              <w:top w:w="0" w:type="dxa"/>
              <w:left w:w="0" w:type="dxa"/>
              <w:bottom w:w="0" w:type="dxa"/>
              <w:right w:w="0" w:type="dxa"/>
            </w:tcMar>
            <w:vAlign w:val="top"/>
          </w:tcPr>
          <w:p w14:paraId="06E61B91">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91 (2.7)</w:t>
            </w:r>
          </w:p>
        </w:tc>
        <w:tc>
          <w:tcPr>
            <w:tcW w:w="1874" w:type="dxa"/>
            <w:tcBorders>
              <w:tl2br w:val="nil"/>
              <w:tr2bl w:val="nil"/>
            </w:tcBorders>
            <w:shd w:val="clear" w:color="auto" w:fill="FFFFFF"/>
            <w:tcMar>
              <w:top w:w="0" w:type="dxa"/>
              <w:left w:w="0" w:type="dxa"/>
              <w:bottom w:w="0" w:type="dxa"/>
              <w:right w:w="0" w:type="dxa"/>
            </w:tcMar>
            <w:vAlign w:val="top"/>
          </w:tcPr>
          <w:p w14:paraId="44BC483E">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398 (3.4)</w:t>
            </w:r>
          </w:p>
        </w:tc>
        <w:tc>
          <w:tcPr>
            <w:tcW w:w="1876" w:type="dxa"/>
            <w:tcBorders>
              <w:tl2br w:val="nil"/>
              <w:tr2bl w:val="nil"/>
            </w:tcBorders>
            <w:shd w:val="clear" w:color="auto" w:fill="FFFFFF"/>
            <w:tcMar>
              <w:top w:w="0" w:type="dxa"/>
              <w:left w:w="0" w:type="dxa"/>
              <w:bottom w:w="0" w:type="dxa"/>
              <w:right w:w="0" w:type="dxa"/>
            </w:tcMar>
            <w:vAlign w:val="top"/>
          </w:tcPr>
          <w:p w14:paraId="2FF96F26">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0.051</w:t>
            </w:r>
          </w:p>
        </w:tc>
      </w:tr>
      <w:tr w14:paraId="41FC26E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03FA6F82">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Lipid</w:t>
            </w:r>
            <w:r>
              <w:rPr>
                <w:rFonts w:hint="eastAsia" w:ascii="Times New Roman" w:hAnsi="Times New Roman" w:eastAsia="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lowering medication use, n (%)</w:t>
            </w:r>
          </w:p>
        </w:tc>
        <w:tc>
          <w:tcPr>
            <w:tcW w:w="1874" w:type="dxa"/>
            <w:tcBorders>
              <w:tl2br w:val="nil"/>
              <w:tr2bl w:val="nil"/>
            </w:tcBorders>
            <w:shd w:val="clear" w:color="auto" w:fill="FFFFFF"/>
            <w:tcMar>
              <w:top w:w="0" w:type="dxa"/>
              <w:left w:w="0" w:type="dxa"/>
              <w:bottom w:w="0" w:type="dxa"/>
              <w:right w:w="0" w:type="dxa"/>
            </w:tcMar>
            <w:vAlign w:val="top"/>
          </w:tcPr>
          <w:p w14:paraId="39947BEF">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133 (4.0)</w:t>
            </w:r>
          </w:p>
        </w:tc>
        <w:tc>
          <w:tcPr>
            <w:tcW w:w="1874" w:type="dxa"/>
            <w:tcBorders>
              <w:tl2br w:val="nil"/>
              <w:tr2bl w:val="nil"/>
            </w:tcBorders>
            <w:shd w:val="clear" w:color="auto" w:fill="FFFFFF"/>
            <w:tcMar>
              <w:top w:w="0" w:type="dxa"/>
              <w:left w:w="0" w:type="dxa"/>
              <w:bottom w:w="0" w:type="dxa"/>
              <w:right w:w="0" w:type="dxa"/>
            </w:tcMar>
            <w:vAlign w:val="top"/>
          </w:tcPr>
          <w:p w14:paraId="10635206">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503 (4.4)</w:t>
            </w:r>
          </w:p>
        </w:tc>
        <w:tc>
          <w:tcPr>
            <w:tcW w:w="1876" w:type="dxa"/>
            <w:tcBorders>
              <w:tl2br w:val="nil"/>
              <w:tr2bl w:val="nil"/>
            </w:tcBorders>
            <w:shd w:val="clear" w:color="auto" w:fill="FFFFFF"/>
            <w:tcMar>
              <w:top w:w="0" w:type="dxa"/>
              <w:left w:w="0" w:type="dxa"/>
              <w:bottom w:w="0" w:type="dxa"/>
              <w:right w:w="0" w:type="dxa"/>
            </w:tcMar>
            <w:vAlign w:val="top"/>
          </w:tcPr>
          <w:p w14:paraId="50AE18D9">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0.3</w:t>
            </w:r>
          </w:p>
        </w:tc>
      </w:tr>
      <w:tr w14:paraId="2553E4B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2583" w:type="dxa"/>
            <w:tcBorders>
              <w:tl2br w:val="nil"/>
              <w:tr2bl w:val="nil"/>
            </w:tcBorders>
            <w:shd w:val="clear" w:color="auto" w:fill="FFFFFF"/>
            <w:tcMar>
              <w:top w:w="0" w:type="dxa"/>
              <w:left w:w="0" w:type="dxa"/>
              <w:bottom w:w="0" w:type="dxa"/>
              <w:right w:w="0" w:type="dxa"/>
            </w:tcMar>
            <w:vAlign w:val="top"/>
          </w:tcPr>
          <w:p w14:paraId="501880E9">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Antihypertensive medication use, n (%)</w:t>
            </w:r>
          </w:p>
        </w:tc>
        <w:tc>
          <w:tcPr>
            <w:tcW w:w="1874" w:type="dxa"/>
            <w:tcBorders>
              <w:tl2br w:val="nil"/>
              <w:tr2bl w:val="nil"/>
            </w:tcBorders>
            <w:shd w:val="clear" w:color="auto" w:fill="FFFFFF"/>
            <w:tcMar>
              <w:top w:w="0" w:type="dxa"/>
              <w:left w:w="0" w:type="dxa"/>
              <w:bottom w:w="0" w:type="dxa"/>
              <w:right w:w="0" w:type="dxa"/>
            </w:tcMar>
            <w:vAlign w:val="top"/>
          </w:tcPr>
          <w:p w14:paraId="571659FD">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488 (15)</w:t>
            </w:r>
          </w:p>
        </w:tc>
        <w:tc>
          <w:tcPr>
            <w:tcW w:w="1874" w:type="dxa"/>
            <w:tcBorders>
              <w:tl2br w:val="nil"/>
              <w:tr2bl w:val="nil"/>
            </w:tcBorders>
            <w:shd w:val="clear" w:color="auto" w:fill="FFFFFF"/>
            <w:tcMar>
              <w:top w:w="0" w:type="dxa"/>
              <w:left w:w="0" w:type="dxa"/>
              <w:bottom w:w="0" w:type="dxa"/>
              <w:right w:w="0" w:type="dxa"/>
            </w:tcMar>
            <w:vAlign w:val="top"/>
          </w:tcPr>
          <w:p w14:paraId="0F87159B">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2152 (19)</w:t>
            </w:r>
          </w:p>
        </w:tc>
        <w:tc>
          <w:tcPr>
            <w:tcW w:w="1876" w:type="dxa"/>
            <w:tcBorders>
              <w:tl2br w:val="nil"/>
              <w:tr2bl w:val="nil"/>
            </w:tcBorders>
            <w:shd w:val="clear" w:color="auto" w:fill="FFFFFF"/>
            <w:tcMar>
              <w:top w:w="0" w:type="dxa"/>
              <w:left w:w="0" w:type="dxa"/>
              <w:bottom w:w="0" w:type="dxa"/>
              <w:right w:w="0" w:type="dxa"/>
            </w:tcMar>
            <w:vAlign w:val="top"/>
          </w:tcPr>
          <w:p w14:paraId="0A316DF4">
            <w:pPr>
              <w:pBdr>
                <w:top w:val="none" w:color="000000" w:sz="0" w:space="0"/>
                <w:left w:val="none" w:color="000000" w:sz="0" w:space="0"/>
                <w:bottom w:val="none" w:color="000000" w:sz="0" w:space="0"/>
                <w:right w:val="none" w:color="000000" w:sz="0" w:space="0"/>
              </w:pBdr>
              <w:spacing w:before="100" w:after="100"/>
              <w:ind w:left="300" w:right="100"/>
              <w:jc w:val="cente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lang w:val="en-US" w:eastAsia="zh-CN"/>
                <w14:textFill>
                  <w14:solidFill>
                    <w14:schemeClr w14:val="tx1"/>
                  </w14:solidFill>
                </w14:textFill>
              </w:rPr>
              <w:t>&lt;0.001</w:t>
            </w:r>
          </w:p>
        </w:tc>
      </w:tr>
    </w:tbl>
    <w:p w14:paraId="088F915B">
      <w:pPr>
        <w:rPr>
          <w:color w:val="000000" w:themeColor="text1"/>
          <w:highlight w:val="none"/>
          <w14:textFill>
            <w14:solidFill>
              <w14:schemeClr w14:val="tx1"/>
            </w14:solidFill>
          </w14:textFill>
        </w:rPr>
      </w:pPr>
    </w:p>
    <w:p w14:paraId="24D211DB">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Note:</w:t>
      </w:r>
      <w:r>
        <w:rPr>
          <w:rFonts w:hint="default" w:ascii="Times New Roman" w:hAnsi="Times New Roman"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Excluded participants includes participants excluded from the analysis mainly due to missing data on biochemical measurements and other key variables required for exposure construction, covariate adjustment, or outcome assessment.</w:t>
      </w:r>
    </w:p>
    <w:p w14:paraId="17ABFD53">
      <w:pPr>
        <w:rPr>
          <w:rFonts w:hint="default"/>
          <w:color w:val="000000" w:themeColor="text1"/>
          <w:highlight w:val="none"/>
          <w:lang w:val="en-US" w:eastAsia="zh-CN"/>
          <w14:textFill>
            <w14:solidFill>
              <w14:schemeClr w14:val="tx1"/>
            </w14:solidFill>
          </w14:textFill>
        </w:rPr>
      </w:pPr>
    </w:p>
    <w:p w14:paraId="6C919C13">
      <w:pPr>
        <w:pStyle w:val="11"/>
        <w:keepNext/>
        <w:keepLines w:val="0"/>
        <w:pageBreakBefore w:val="0"/>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Table S</w:t>
      </w:r>
      <w:r>
        <w:rPr>
          <w:rFonts w:hint="eastAsia"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2</w:t>
      </w:r>
      <w:r>
        <w:rPr>
          <w:rFonts w:hint="default" w:ascii="Times New Roman" w:hAnsi="Times New Roman" w:cs="Times New Roman"/>
          <w:i w:val="0"/>
          <w:iCs/>
          <w:color w:val="000000" w:themeColor="text1"/>
          <w:sz w:val="24"/>
          <w:szCs w:val="24"/>
          <w:highlight w:val="none"/>
          <w:shd w:val="clear" w:color="auto" w:fill="auto"/>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Definitions of CKM.</w:t>
      </w:r>
    </w:p>
    <w:tbl>
      <w:tblPr>
        <w:tblStyle w:val="6"/>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53"/>
        <w:gridCol w:w="7083"/>
      </w:tblGrid>
      <w:tr w14:paraId="0D00CC0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8" w:hRule="atLeast"/>
          <w:jc w:val="center"/>
        </w:trPr>
        <w:tc>
          <w:tcPr>
            <w:tcW w:w="0" w:type="auto"/>
            <w:tcBorders>
              <w:bottom w:val="single" w:color="auto" w:sz="8" w:space="0"/>
            </w:tcBorders>
            <w:shd w:val="clear" w:color="auto" w:fill="auto"/>
            <w:noWrap/>
            <w:vAlign w:val="center"/>
          </w:tcPr>
          <w:p w14:paraId="439F4112">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t>CKM syndrome stages</w:t>
            </w:r>
          </w:p>
        </w:tc>
        <w:tc>
          <w:tcPr>
            <w:tcW w:w="0" w:type="auto"/>
            <w:tcBorders>
              <w:bottom w:val="single" w:color="auto" w:sz="8" w:space="0"/>
            </w:tcBorders>
            <w:shd w:val="clear" w:color="auto" w:fill="auto"/>
            <w:noWrap/>
            <w:vAlign w:val="center"/>
          </w:tcPr>
          <w:p w14:paraId="271173D5">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t>Definition</w:t>
            </w:r>
          </w:p>
        </w:tc>
      </w:tr>
      <w:tr w14:paraId="2187DFD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04" w:hRule="atLeast"/>
          <w:jc w:val="center"/>
        </w:trPr>
        <w:tc>
          <w:tcPr>
            <w:tcW w:w="0" w:type="auto"/>
            <w:tcBorders>
              <w:top w:val="single" w:color="auto" w:sz="8" w:space="0"/>
              <w:tl2br w:val="nil"/>
              <w:tr2bl w:val="nil"/>
            </w:tcBorders>
            <w:shd w:val="clear" w:color="auto" w:fill="auto"/>
            <w:noWrap/>
            <w:vAlign w:val="center"/>
          </w:tcPr>
          <w:p w14:paraId="075F71B4">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Stage 0: No CKM risk factors</w:t>
            </w:r>
          </w:p>
        </w:tc>
        <w:tc>
          <w:tcPr>
            <w:tcW w:w="0" w:type="auto"/>
            <w:tcBorders>
              <w:top w:val="single" w:color="auto" w:sz="8" w:space="0"/>
              <w:tl2br w:val="nil"/>
              <w:tr2bl w:val="nil"/>
            </w:tcBorders>
            <w:shd w:val="clear" w:color="auto" w:fill="auto"/>
            <w:noWrap/>
            <w:vAlign w:val="center"/>
          </w:tcPr>
          <w:p w14:paraId="12390497">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Individuals with normal BMI and waist circumference, normoglycemia, normotension, a normal lipid profile, and no evidence of CKD or subclinical or clinical CVD.</w:t>
            </w:r>
          </w:p>
        </w:tc>
      </w:tr>
      <w:tr w14:paraId="2391266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70" w:hRule="atLeast"/>
          <w:jc w:val="center"/>
        </w:trPr>
        <w:tc>
          <w:tcPr>
            <w:tcW w:w="0" w:type="auto"/>
            <w:tcBorders>
              <w:tl2br w:val="nil"/>
              <w:tr2bl w:val="nil"/>
            </w:tcBorders>
            <w:shd w:val="clear" w:color="auto" w:fill="auto"/>
            <w:noWrap/>
            <w:vAlign w:val="center"/>
          </w:tcPr>
          <w:p w14:paraId="7BFB5DD4">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Stage 1: Excess or dysfunctional adiposity</w:t>
            </w:r>
          </w:p>
        </w:tc>
        <w:tc>
          <w:tcPr>
            <w:tcW w:w="0" w:type="auto"/>
            <w:tcBorders>
              <w:tl2br w:val="nil"/>
              <w:tr2bl w:val="nil"/>
            </w:tcBorders>
            <w:shd w:val="clear" w:color="auto" w:fill="auto"/>
            <w:noWrap/>
            <w:vAlign w:val="center"/>
          </w:tcPr>
          <w:p w14:paraId="6A67E91C">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Individuals with overweight/obesity, abdominal obesity, or dysfunctional adipose tissue, without the presence of other metabolic risk factors or CKD.</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br w:type="textWrapping"/>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①BMI ≥ 23 kg/m².</w:t>
            </w:r>
          </w:p>
          <w:p w14:paraId="64E70911">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②Waist circumference ≥ 80cm in women or ≥90cm in men.</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br w:type="textWrapping"/>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③Fasting blood glucose ≥ 100</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124 mg/dL, or HbA₁c between 5.7% and 6.4%*.</w:t>
            </w:r>
          </w:p>
        </w:tc>
      </w:tr>
      <w:tr w14:paraId="2B1BF99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85" w:hRule="atLeast"/>
          <w:jc w:val="center"/>
        </w:trPr>
        <w:tc>
          <w:tcPr>
            <w:tcW w:w="0" w:type="auto"/>
            <w:tcBorders>
              <w:tl2br w:val="nil"/>
              <w:tr2bl w:val="nil"/>
            </w:tcBorders>
            <w:shd w:val="clear" w:color="auto" w:fill="auto"/>
            <w:noWrap/>
            <w:vAlign w:val="center"/>
          </w:tcPr>
          <w:p w14:paraId="2BC005D7">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Stage 2: Metabolic risk factors and CKD</w:t>
            </w:r>
          </w:p>
        </w:tc>
        <w:tc>
          <w:tcPr>
            <w:tcW w:w="0" w:type="auto"/>
            <w:tcBorders>
              <w:tl2br w:val="nil"/>
              <w:tr2bl w:val="nil"/>
            </w:tcBorders>
            <w:shd w:val="clear" w:color="auto" w:fill="auto"/>
            <w:noWrap/>
            <w:vAlign w:val="center"/>
          </w:tcPr>
          <w:p w14:paraId="3C26DC68">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Individuals with metabolic risk factors (hypertriglyceridemia, hypertension, MetS# (see Table S2), diabetes), or moderate</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to</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high</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risk CKD stage†. </w:t>
            </w:r>
          </w:p>
          <w:p w14:paraId="008E9D1D">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①Hypertriglyceridemia is defined by TG ≥ 135mg/dL.</w:t>
            </w:r>
          </w:p>
          <w:p w14:paraId="4A73E893">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②Hypertension is defined by SBP ≥ 130 mmHg, DBP ≥ 80 mmHg, a medical diagnosis, or taking antihypertensive medication</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instrText xml:space="preserve"> ADDIN ZOTERO_ITEM CSL_CITATION {"citationID":"5PSmzQRu","properties":{"formattedCitation":"(1)","plainCitation":"(1)","noteIndex":0},"citationItems":[{"id":512,"uris":["http://zotero.org/users/local/GUjkvoB8/items/NVTNL2MV"],"itemData":{"id":512,"type":"article-journal","container-title":"JAMA cardiology","DOI":"10.1001/jamacardio.2018.0005","ISSN":"2380-6591","issue":"4","journalAbbreviation":"JAMA Cardiol","language":"eng","note":"remark: 高血压标准\nPMID: 29466540","page":"352-353","source":"PubMed","title":"The 2017 American college of cardiology/american heart association clinical practice guideline for high blood pressure in adults","volume":"3","author":[{"family":"Whelton","given":"Paul K."},{"family":"Carey","given":"Robert M."}],"issued":{"date-parts":[["2018",4,1]]}}}],"schema":"https://github.com/citation-style-language/schema/raw/master/csl-citation.json"} </w:instrTex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end"/>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p>
          <w:p w14:paraId="25097ABF">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③Diabetes is defined by FBG &gt; 126 mg/dL, HbA₁c ≥ 6.5%, a medical diagnosis, or taking insulin or glucose</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lowering medication</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instrText xml:space="preserve"> ADDIN ZOTERO_ITEM CSL_CITATION {"citationID":"Po8rwqST","properties":{"formattedCitation":"(2)","plainCitation":"(2)","noteIndex":0},"citationItems":[{"id":514,"uris":["http://zotero.org/users/local/GUjkvoB8/items/YEHZBQW2"],"itemData":{"id":514,"type":"article-journal","abstract":"The American Diabetes Association (ADA) \"Standards of Medical Care in Diabetes\" includes the ADA's current clinical practice recommendations and is intended to provide the components of diabetes care, general treatment goals and guidelines, and tools to evaluate quality of care. Members of the ADA Professional Practice Committee, a multidisciplinary expert committee (https://doi.org/10.2337/dc22-SPPC),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(https://doi.org/10.2337/dc22-SINT). Readers who wish to comment on the Standards of Care are invited to do so at professional.diabetes.org/SOC.","container-title":"Diabetes Care","DOI":"10.2337/dc22-S002","ISSN":"1935-5548","issue":"Suppl 1","journalAbbreviation":"Diabetes Care","language":"en-US","note":"PMID: 34964875\nTLDR: The American Diabetes Association (ADA) \"Standards of Medical Care in Diabetes\" includes the ADA's current clinical practice recommendations and is intended to provide the components of diabetes care, general treatment goals and guidelines, and tools to evaluate quality of care.\nabstractTranslation: 美国糖尿病协会( ADA ) \"糖尿病医疗护理标准\"包括了ADA目前的临床实践建议，旨在提供糖尿病护理的组成部分、一般治疗目标和指南以及评估护理质量的工具。ADA专业实践委员会的成员是一个多学科专家委员会( https://doi. org / 10.2337 / dc22- SPPC)，负责每年更新《护理标准》，或根据需要更频繁地更新。关于ADA标准、声明和报告的详细描述，以及ADA临床实践建议的证据分级系统，请参考《护理介绍标准》( https://doi. org / 10.2337 / dc22-SINT)。 希望对《护理标准》进行评论的读者被邀请到专业的糖尿病或SOC杂志上发表评论。\ntitleTranslation: 高血糖标准","page":"S17-S38","source":"PubMed","title":"2. Classification and diagnosis of diabetes: Standards of medical care in diabetes-2022","title-short":"2. Classification and Diagnosis of Diabetes","volume":"45","author":[{"literal":"American Diabetes Association Professional Practice Committee"}],"issued":{"date-parts":[["2022",1,1]]}}}],"schema":"https://github.com/citation-style-language/schema/raw/master/csl-citation.json"} </w:instrTex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end"/>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p>
          <w:p w14:paraId="6A3CD80A">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④Moderate</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to</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high</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risk CKD: UACR ≥ 30 mg/g and eGFR ≥ 60 ml/min/1.73m2, UACR &lt; 300 mg/g and eGFR ≤ 45</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59 ml/min/1.73m2, or UACR &lt; 30 mg/g and eGFR ≤ 30</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44 ml/min/1.73m2. </w:t>
            </w:r>
          </w:p>
        </w:tc>
      </w:tr>
      <w:tr w14:paraId="7AB6F39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14" w:hRule="atLeast"/>
          <w:jc w:val="center"/>
        </w:trPr>
        <w:tc>
          <w:tcPr>
            <w:tcW w:w="0" w:type="auto"/>
            <w:tcBorders>
              <w:tl2br w:val="nil"/>
              <w:tr2bl w:val="nil"/>
            </w:tcBorders>
            <w:shd w:val="clear" w:color="auto" w:fill="auto"/>
            <w:noWrap/>
            <w:vAlign w:val="center"/>
          </w:tcPr>
          <w:p w14:paraId="7221A2FE">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Stage 3: Subclinical CVD</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in CKM</w:t>
            </w:r>
          </w:p>
        </w:tc>
        <w:tc>
          <w:tcPr>
            <w:tcW w:w="0" w:type="auto"/>
            <w:tcBorders>
              <w:tl2br w:val="nil"/>
              <w:tr2bl w:val="nil"/>
            </w:tcBorders>
            <w:shd w:val="clear" w:color="auto" w:fill="auto"/>
            <w:noWrap/>
            <w:vAlign w:val="center"/>
          </w:tcPr>
          <w:p w14:paraId="67376249">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Risk equivalents of subclinical CVD.</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In this study, among participants classified as CKM stage 3 (n = 349), 348 (99.7%) were categorized based on PREVENT</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predicted 10</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year CVD risk ≥20%, whereas only 1 (0.3%) met the KDIGO very high</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risk CKD criteria.</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br w:type="textWrapping"/>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①Very high</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risk CKD in KDIGO classification: UACR ≥300 mg/g and eGFR ≤45</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59 ml/min/1.73m2, UACR ≥30 mg/g and eGFR ≤30</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44 ml/min/1.73m2, or eGFR ≤29 ml/min/1.73m2. </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br w:type="textWrapping"/>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②High predicted 10</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year CVD risk: the predicted risk ≥20%, as calculated by the PREVENT equations§ (see Table S3)</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instrText xml:space="preserve"> ADDIN ZOTERO_ITEM CSL_CITATION {"citationID":"uW3xgTXO","properties":{"formattedCitation":"(3,4)","plainCitation":"(3,4)","noteIndex":0},"citationItems":[{"id":363,"uris":["http://zotero.org/users/local/GUjkvoB8/items/GIFBNBTN"],"itemData":{"id":363,"type":"article-journal","abstract":"Cardiovascular-kidney-metabolic (CKM) syndrome is a novel construct recently defined by the American Heart Association in response to the high prevalence of metabolic and kidney disease. Epidemiological data demonstrate higher absolute risk of both atherosclerotic cardiovascular disease (CVD) and heart failure as an individual progresses from CKM stage 0 to stage 3, but optimal strategies for risk assessment need to be refined. Absolute risk assessment with the goal to match type and intensity of interventions with predicted risk and expected treatment benefit remains the cornerstone of primary prevention. Given the growing number of therapies in our armamentarium that simultaneously address all 3 CKM axes, novel risk prediction equations are needed that incorporate predictors and outcomes relevant to the CKM context. This should also include social determinants of health, which are key upstream drivers of CVD, to more equitably estimate and address risk. This scientific statement summarizes the background, rationale, and clinical implications for the newly developed sex-specific, race-free risk equations: PREVENT (AHA Predicting Risk of CVD Events). The PREVENT equations enable 10- and 30-year risk estimates for total CVD (composite of atherosclerotic CVD and heart failure), include estimated glomerular filtration rate as a predictor, and adjust for competing risk of non-CVD death among adults 30 to 79 years of age. Additional models accommodate enhanced predictive utility with the addition of CKM factors when clinically indicated for measurement (urine albumin-to-creatinine ratio and hemoglobin A1c) or social determinants of health (social deprivation index) when available. Approaches to implement risk-based prevention using PREVENT across various settings are discussed.","container-title":"Circulation","DOI":"10.1161/CIR.0000000000001191","ISSN":"1524-4539","issue":"24","journalAbbreviation":"Circulation","language":"en-US","note":"remark: 4\nPMID: 37947094\nTLDR: This scientific statement summarizes the background, rationale, and clinical implications for the newly developed sex-specific, race-free risk equations: PREVENT (AHA Predicting Risk of CVD Events).\nabstractTranslation: 心血管-肾脏-代谢综合征( cardiovascular- kidney-metabolic syndrome，CKM )是美国心脏协会针对代谢性疾病和肾脏疾病的高患病率而新近定义的新概念。流行病学数据显示，当个体从CKM 0期进展到3期时，动脉粥样硬化性心血管疾病( CVD )和心力衰竭的绝对风险均较高，但风险评估的最佳策略仍需完善。绝对风险评估的目标是将干预措施的类型和强度与预测的风险和预期的治疗获益相匹配，仍然是一级预防的基石。 考虑到我们军械库中同时处理所有3个CKM轴的疗法越来越多，需要新的风险预测方程，其中包括与CKM背景相关的预测因子和结果。这还应该包括健康的社会决定因素，这些因素是心血管疾病的关键上游驱动因素，以更公平地估计和应对风险。该科学声明总结了新开发的性别特异性、无种族风险方程：PREVENT ( AHA预测CVD事件风险)的背景、原理和临床意义。 PREVENT方程可以对总的CVD(动脉粥样硬化性CVD与心力衰竭的复合)进行10年和30年的风险估计，包括估计的肾小球滤过率作为预测因子，并对30 ~ 79岁成年人非CVD死亡的竞争风险进行调整。当临床上用于测量(尿白蛋白/肌酐比值和血红蛋白A1c)或可用时用于健康(社会剥夺指数)的社会决定因素时，随着CKM因素的加入，其他模型可增强预测效用。讨论了在各种环境中使用PREVENT实现基于风险的预防的方法。\ntitleTranslation: 纳入心血管-肾脏-代谢健康的总心血管疾病绝对风险评估的新预测方程：来自美国心脏协会的科学声明。","page":"1982-2004","source":"PubMed","title":"Novel prediction equations for absolute risk assessment of total cardiovascular disease incorporating cardiovascular-kidney-metabolic health: A scientific statement from the American heart association","title-short":"Novel Prediction Equations for Absolute Risk Assessment of Total Cardiovascular Disease Incorporating Cardiovascular-Kidney-Metabolic Health","volume":"148","author":[{"family":"Khan","given":"Sadiya S."},{"family":"Coresh","given":"Josef"},{"family":"Pencina","given":"Michael J."},{"family":"Ndumele","given":"Chiadi E."},{"family":"Rangaswami","given":"Janani"},{"family":"Chow","given":"Sheryl L."},{"family":"Palaniappan","given":"Latha P."},{"family":"Sperling","given":"Laurence S."},{"family":"Virani","given":"Salim S."},{"family":"Ho","given":"Jennifer E."},{"family":"Neeland","given":"Ian J."},{"family":"Tuttle","given":"Katherine R."},{"family":"Rajgopal Singh","given":"Radhika"},{"family":"Elkind","given":"Mitchell S. V."},{"family":"Lloyd-Jones","given":"Donald M."},{"literal":"American Heart Association"}],"issued":{"date-parts":[["2023",12,12]]}}},{"id":502,"uris":["http://zotero.org/users/local/GUjkvoB8/items/8T7ZGQMD"],"itemData":{"id":502,"type":"article-journal","abstract":"BACKGROUND: Multivariable equations are recommended by primary prevention guidelines to assess absolute risk of cardiovascular disease (CVD). However, current equations have several limitations. Therefore, we developed and validated the American Heart Association Predicting Risk of CVD EVENTs (PREVENT) equations among US adults 30 to 79 years of age without known CVD.\nMETHODS: The derivation sample included individual-level participant data from 25 data sets (N=3 281 919) between 1992 and 2017. The primary outcome was CVD (atherosclerotic CVD and heart failure). Predictors included traditional risk factors (smoking status, systolic blood pressure, cholesterol, antihypertensive or statin use, and diabetes) and estimated glomerular filtration rate. Models were sex-specific, race-free, developed on the age scale, and adjusted for competing risk of non-CVD death. Analyses were conducted in each data set and meta-analyzed. Discrimination was assessed using the Harrell C-statistic. Calibration was calculated as the slope of the observed versus predicted risk by decile. Additional equations to predict each CVD subtype (atherosclerotic CVD and heart failure) and include optional predictors (urine albumin-to-creatinine ratio and hemoglobin A1c), and social deprivation index were also developed. External validation was performed in 3 330 085 participants from 21 additional data sets.\nRESULTS: Among 6 612 004 adults included, mean±SD age was 53±12 years, and 56% were women. Over a mean±SD follow-up of 4.8±3.1 years, there were 211 515 incident total CVD events. The median C-statistics in external validation for CVD were 0.794 (interquartile interval, 0.763-0.809) in female and 0.757 (0.727-0.778) in male participants. The calibration slopes were 1.03 (interquartile interval, 0.81-1.16) and 0.94 (0.81-1.13) among female and male participants, respectively. Similar estimates for discrimination and calibration were observed for atherosclerotic CVD- and heart failure-specific models. The improvement in discrimination was small but statistically significant when urine albumin-to-creatinine ratio, hemoglobin A1c, and social deprivation index were added together to the base model to total CVD (ΔC-statistic [interquartile interval] 0.004 [0.004-0.005] and 0.005 [0.004-0.007] among female and male participants, respectively). Calibration improved significantly when the urine albumin-to-creatinine ratio was added to the base model among those with marked albuminuria (&gt;300 mg/g; 1.05 [0.84-1.20] versus 1.39 [1.14-1.65]; P=0.01).\nCONCLUSIONS: PREVENT equations accurately and precisely predicted risk for incident CVD and CVD subtypes in a large, diverse, and contemporary sample of US adults by using routinely available clinical variables.","container-title":"Circulation","DOI":"10.1161/CIRCULATIONAHA.123.067626","ISSN":"1524-4539","issue":"6","journalAbbreviation":"Circulation","language":"en-US","note":"remark: PREVENT公式\nPMID: 37947085\nPMCID: PMC10910659\nTLDR: The American Heart Association Predicting Risk of CVD EVENTs (PREVENT) equations accurately and precisely predicted risk for incident CVD and CVD subtypes in a large, diverse, and contemporary sample of US adults by using routinely available clinical variables.\ntitleTranslation: 美国心脏协会PREVENT方程的开发和验证。\nabstractTranslation: 背景：一级预防指南推荐使用多变量方程来评估心血管疾病( cardiovascular disease，CVD )的绝对风险。然而，目前的公式有几个局限性。因此，我们在美国30 ~ 79岁无已知心血管疾病的成年人中开发并验证了美国心脏协会预测心血管疾病事件风险( PREVENT )方程。方法：衍生样本包括1992年至2017年间25个数据集( N = 3281 919)中的个体水平参与者数据。主要结局指标为CVD (动脉粥样硬化性CVD与心力衰竭)。预测因子包括传统危险因素(吸烟状况、收缩压、胆固醇、降压药或他汀类药物使用和糖尿病)和估算的肾小球滤过率。 模型具有性别特异性，不分种族，在年龄尺度上开发，并根据非CVD死亡的竞争风险进行调整。在每个数据集中进行分析，并进行Meta分析。采用哈勒尔C -统计量评估区分度。校准度计算为观察到的风险与预测风险的斜率的十分位数。此外，还建立了预测每个CVD亚型(动脉粥样硬化性CVD与心力衰竭)的方程，包括可选预测因子(尿白蛋白/肌酐比值和血红蛋白A1c)和社会剥夺指数。外部验证在21个额外数据集的3 330 085名参与者中进行。结果：在纳入的6 612 004名成年人中，平均年龄为53 ± 12岁，56 %为女性。平均随访( Mean ± Sd ) 4 . 8 ± 3 . 1年共发生CVD事件211 515例。CVD外部验证的C统计量中位数为0。794 (四分位间距, 0。763 ~ 0 . 809)，女性为0 . 757 ( 0。727 ~ 0 . 778 )。校准斜率为1 . 03(四分位间距, 0。81 ~ 1 . 16 )和0 . 94 ( 0。81 ~ 1 . 13 )，女性和男性分别为0 .在动脉粥样硬化性CVD和心力衰竭特异性模型中也观察到类似的判别和校准估计。将尿白蛋白/肌酐比值、血红蛋白A1c和社会剥夺指数同时加入到总CVD的基础模型中时，区分度的改善较小，但具有统计学意义( ΔC-statistic [ interquartile interval ] 0 . 004 [ 0。004 ~ 0 . 005]和0 . 005 [ 0 . 004 ~ 0 . 007 ]在女性和男性参与者中的差异)。在有明显白蛋白尿( &gt; 300 mg / g ; 1 . 05 [ 0 . 84 ~ 1 . 20 ]比1 . 39个[ 1 . 14-1 . 65 ] ; P = 0.01)的患者中，将尿白蛋白/肌酐比值加入基础模型后，校准度显著提高。结论：PREVENT方程通过使用常规可用的临床变量，在一个庞大、多样和当代的美国成年人样本中准确和准确地预测了新发CVD和CVD亚型的风险。","page":"430-449","source":"PubMed","title":"Development and validation of the American heart association's PREVENT equations","volume":"149","author":[{"family":"Khan","given":"Sadiya S."},{"family":"Matsushita","given":"Kunihiro"},{"family":"Sang","given":"Yingying"},{"family":"Ballew","given":"Shoshana H."},{"family":"Grams","given":"Morgan E."},{"family":"Surapaneni","given":"Aditya"},{"family":"Blaha","given":"Michael J."},{"family":"Carson","given":"April P."},{"family":"Chang","given":"Alexander R."},{"family":"Ciemins","given":"Elizabeth"},{"family":"Go","given":"Alan S."},{"family":"Gutierrez","given":"Orlando M."},{"family":"Hwang","given":"Shih-Jen"},{"family":"Jassal","given":"Simerjot K."},{"family":"Kovesdy","given":"Csaba P."},{"family":"Lloyd-Jones","given":"Donald M."},{"family":"Shlipak","given":"Michael G."},{"family":"Palaniappan","given":"Latha P."},{"family":"Sperling","given":"Laurence"},{"family":"Virani","given":"Salim S."},{"family":"Tuttle","given":"Katherine"},{"family":"Neeland","given":"Ian J."},{"family":"Chow","given":"Sheryl L."},{"family":"Rangaswami","given":"Janani"},{"family":"Pencina","given":"Michael J."},{"family":"Ndumele","given":"Chiadi E."},{"family":"Coresh","given":"Josef"},{"literal":"Chronic Kidney Disease Prognosis Consortium and the American Heart Association Cardiovascular-Kidney-Metabolic Science Advisory Group"}],"issued":{"date-parts":[["2024",2,6]]}}}],"schema":"https://github.com/citation-style-language/schema/raw/master/csl-citation.json"} </w:instrTex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(3,4)</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fldChar w:fldCharType="end"/>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p>
        </w:tc>
      </w:tr>
    </w:tbl>
    <w:p w14:paraId="63F2A477">
      <w:pPr>
        <w:widowControl/>
        <w:spacing w:line="480" w:lineRule="auto"/>
        <w:rPr>
          <w:rFonts w:hint="default" w:ascii="Times New Roman" w:hAnsi="Times New Roman" w:cs="Times New Roman"/>
          <w:b/>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iCs/>
          <w:color w:val="000000" w:themeColor="text1"/>
          <w:sz w:val="24"/>
          <w:szCs w:val="24"/>
          <w:highlight w:val="none"/>
          <w:shd w:val="clear" w:color="auto" w:fill="auto"/>
          <w:lang w:val="en-US" w:eastAsia="zh-CN"/>
          <w14:textFill>
            <w14:solidFill>
              <w14:schemeClr w14:val="tx1"/>
            </w14:solidFill>
          </w14:textFill>
        </w:rPr>
        <w:t xml:space="preserve">Note: </w:t>
      </w:r>
    </w:p>
    <w:p w14:paraId="2AC2621A">
      <w:pPr>
        <w:widowControl/>
        <w:spacing w:line="480" w:lineRule="auto"/>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xml:space="preserve">The CKM staging framework was adapted from the </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AHA</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xml:space="preserve"> scientific statement on cardiovascular</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kidney</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metabolic health. Definitions of hypertension and diabetes were based on the 2017 ACC/AHA hypertension guideline and the American Diabetes Association Standards of Care, respectively. Predicted cardiovascular risk was estimated using the PREVENT equations.</w:t>
      </w:r>
    </w:p>
    <w:p w14:paraId="07A2E8C2">
      <w:pPr>
        <w:widowControl/>
        <w:spacing w:line="480" w:lineRule="auto"/>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Gestational Diabetes: Individuals with gestational diabetes should receive intensified screening for impaired glucose tolerance after pregnancy.</w:t>
      </w:r>
    </w:p>
    <w:p w14:paraId="6D544F1F">
      <w:pPr>
        <w:widowControl/>
        <w:spacing w:line="480" w:lineRule="auto"/>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MetS: See Table S2 for detailed diagnostic criteria.</w:t>
      </w:r>
    </w:p>
    <w:p w14:paraId="77472B9B">
      <w:pPr>
        <w:widowControl/>
        <w:spacing w:line="480" w:lineRule="auto"/>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†The stage of CKD is determined by the KDIGO criteria, using eGFR and UACR</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fldChar w:fldCharType="begin"/>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instrText xml:space="preserve"> ADDIN ZOTERO_ITEM CSL_CITATION {"citationID":"LWBpjkT9","properties":{"formattedCitation":"(5)","plainCitation":"(5)","noteIndex":0},"citationItems":[{"id":459,"uris":["http://zotero.org/users/local/GUjkvoB8/items/9ED3U6TA"],"itemData":{"id":459,"type":"article-journal","container-title":"Kidney International","DOI":"10.1016/j.kint.2023.10.018","ISSN":"1523-1755","issue":"4S","journalAbbreviation":"Kidney Int","language":"en-US","note":"remark: 38KDIGO 2024指南\nPMID: 38490803\ntitleTranslation: KDIGO 2024慢性肾脏病评估与管理临床实践指南。","page":"S117-S314","source":"PubMed","title":"KDIGO 2024 clinical practice guideline for the evaluation and management of chronic kidney disease","volume":"105","author":[{"literal":"Kidney Disease: Improving Global Outcomes (KDIGO) CKD Work Group"}],"issued":{"date-parts":[["2024",4]]}}}],"schema":"https://github.com/citation-style-language/schema/raw/master/csl-citation.json"} </w:instrTex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fldChar w:fldCharType="separate"/>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(5)</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fldChar w:fldCharType="end"/>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The eGFR was computed using the 2021 race and ethnicity</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free CKD</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EPI creatinine equation</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fldChar w:fldCharType="begin"/>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instrText xml:space="preserve"> ADDIN ZOTERO_ITEM CSL_CITATION {"citationID":"MTFMMtyr","properties":{"formattedCitation":"(6)","plainCitation":"(6)","noteIndex":0},"citationItems":[{"id":509,"uris":["http://zotero.org/users/local/GUjkvoB8/items/FGF7Q39G"],"itemData":{"id":509,"type":"article-journal","abstract":"BACKGROUND: Current equations for estimated glomerular filtration rate (eGFR) that use serum creatinine or cystatin C incorporate age, sex, and race to estimate measured GFR. However, race in eGFR equations is a social and not a biologic construct.\nMETHODS: We developed new eGFR equations without race using data from two development data sets: 10 studies (8254 participants, 31.5% Black) for serum creatinine and 13 studies (5352 participants, 39.7% Black) for both serum creatinine and cystatin C. In a validation data set of 12 studies (4050 participants, 14.3% Black), we compared the accuracy of new eGFR equations to measured GFR. We projected the prevalence of chronic kidney disease (CKD) and GFR stages in a sample of U.S. adults, using current and new equations.\nRESULTS: In the validation data set, the current creatinine equation that uses age, sex, and race overestimated measured GFR in Blacks (median, 3.7 ml per minute per 1.73 m2 of body-surface area; 95% confidence interval [CI], 1.8 to 5.4) and to a lesser degree in non-Blacks (median, 0.5 ml per minute per 1.73 m2; 95% CI, 0.0 to 0.9). When the adjustment for Black race was omitted from the current eGFR equation, measured GFR in Blacks was underestimated (median, 7.1 ml per minute per 1.73 m2; 95% CI, 5.9 to 8.8). A new equation using age and sex and omitting race underestimated measured GFR in Blacks (median, 3.6 ml per minute per 1.73 m2; 95% CI, 1.8 to 5.5) and overestimated measured GFR in non-Blacks (median, 3.9 ml per minute per 1.73 m2; 95% CI, 3.4 to 4.4). For all equations, 85% or more of the eGFRs for Blacks and non-Blacks were within 30% of measured GFR. New creatinine-cystatin C equations without race were more accurate than new creatinine equations, with smaller differences between race groups. As compared with the current creatinine equation, the new creatinine equations, but not the new creatinine-cystatin C equations, increased population estimates of CKD prevalence among Blacks and yielded similar or lower prevalence among non-Blacks.\nCONCLUSIONS: New eGFR equations that incorporate creatinine and cystatin C but omit race are more accurate and led to smaller differences between Black participants and non-Black participants than new equations without race with either creatinine or cystatin C alone. (Funded by the National Institute of Diabetes and Digestive and Kidney Diseases.).","container-title":"The New England Journal of Medicine","DOI":"10.1056/NEJMoa2102953","ISSN":"1533-4406","issue":"19","journalAbbreviation":"N Engl J Med","language":"en-US","note":"remark: e GFR方程\nPMID: 34554658\nPMCID: PMC8822996\nTLDR: New eGFR equations that incorporate creatinine and cystatin C but omit race are more accurate and led to smaller differences between Black participants and non-Black participants than new equations without race with either Creatinine or cystasin C alone.\nabstractTranslation: 背景：目前使用血清肌酐或胱抑素C估算肾小球滤过率( e GFR )的公式纳入了年龄、性别和种族来估算实测GFR。然而，e GFR方程中的种族是社会性的，而非生物性的。方法：我们使用两个开发数据集的数据开发了新的无种族的e GFR方程：10个研究( 8254人、31 . 5 %黑)用于血清肌酐，13个研究( 5352人, 39人。7 %黑)同时用于血清肌酐和胱抑素C。在12个研究( 4050人, 14人。3 %黑)的验证数据集中，我们比较了新的e GFR方程与测量GFR的准确性。我们使用当前和新的方程预测了美国成人样本中慢性肾脏病( chronic kidney disease，CKD )的患病率和GFR分期。 结果：在验证数据集中，目前使用年龄、性别和种族的肌酐方程在黑人(中位数, 3 . 7 ml / min、1 .体表面积73 m2 ; 95 %可信区间[ CI ] , 1。8 ~ 5 . 4 )中高估了实测GFR，而在非黑人(中位数, 0 . 5 ml / min、1 . 73 m2 ; 95 % CI为0 . 0 ~ 0 . 9 )中高估程度较轻。当现有e GFR方程中忽略对黑人种族的调整时，黑人的实测GFR被低估了(中位数, 7 .每分钟1 ml。73 m2 ; 95 % CI为5 . 9 ~ 8 . 8 )。使用年龄和性别并省略种族的新方程低估了黑人(中位数, 3 . 6 ml / min、1 . 73 m2 ; 95 % CI为1 . 8 ~ 5 . 5 )的实测GFR，高估了非黑人(中位数, 3 . 9 ml / min、1 . 73 m2 ; 95 % CI为3 . 4 ~ 4 . 4 )的实测GFR。 在所有方程中，黑人和非黑人eGFR的85 %以上在实测GFR的30 %以内。新的无种族的肌酐-胱抑素C方程比新的肌酐方程更准确，种族组间差异更小。与目前的肌酐方程相比，新的肌酐方程，而不是新的肌酐-胱抑素C方程，增加了黑人CKD患病率的总体估计，并在非黑人中产生了相似或更低的患病率。结论：新的e GFR方程纳入了肌酐和胱抑素C，但忽略了种族，比没有种族的新方程单独使用肌酐或胱抑素C更准确，导致黑人参与者和非黑人参与者之间的差异更小。 (由美国国立糖尿病和消化与肾脏病研究所资助。)。","page":"1737-1749","source":"PubMed","title":"New creatinine- and cystatin C-based equations to estimate GFR without race","volume":"385","author":[{"family":"Inker","given":"Lesley A."},{"family":"Eneanya","given":"Nwamaka D."},{"family":"Coresh","given":"Josef"},{"family":"Tighiouart","given":"Hocine"},{"family":"Wang","given":"Dan"},{"family":"Sang","given":"Yingying"},{"family":"Crews","given":"Deidra C."},{"family":"Doria","given":"Alessandro"},{"family":"Estrella","given":"Michelle M."},{"family":"Froissart","given":"Marc"},{"family":"Grams","given":"Morgan E."},{"family":"Greene","given":"Tom"},{"family":"Grubb","given":"Anders"},{"family":"Gudnason","given":"Vilmundur"},{"family":"Gutiérrez","given":"Orlando M."},{"family":"Kalil","given":"Roberto"},{"family":"Karger","given":"Amy B."},{"family":"Mauer","given":"Michael"},{"family":"Navis","given":"Gerjan"},{"family":"Nelson","given":"Robert G."},{"family":"Poggio","given":"Emilio D."},{"family":"Rodby","given":"Roger"},{"family":"Rossing","given":"Peter"},{"family":"Rule","given":"Andrew D."},{"family":"Selvin","given":"Elizabeth"},{"family":"Seegmiller","given":"Jesse C."},{"family":"Shlipak","given":"Michael G."},{"family":"Torres","given":"Vicente E."},{"family":"Yang","given":"Wei"},{"family":"Ballew","given":"Shoshana H."},{"family":"Couture","given":"Sara J."},{"family":"Powe","given":"Neil R."},{"family":"Levey","given":"Andrew S."},{"literal":"Chronic Kidney Disease Epidemiology Collaboration"}],"issued":{"date-parts":[["2021",11,4]]}}}],"schema":"https://github.com/citation-style-language/schema/raw/master/csl-citation.json"} </w:instrTex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fldChar w:fldCharType="separate"/>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(6)</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fldChar w:fldCharType="end"/>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Due to the absence of urine test data, CKD staging was based on eGFR alone.</w:t>
      </w:r>
    </w:p>
    <w:p w14:paraId="06AC287C">
      <w:pPr>
        <w:widowControl/>
        <w:spacing w:line="480" w:lineRule="auto"/>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‡Subclinical CVD was defined as the presence of risk equivalents indicating advanced cardiovascular damage.</w:t>
      </w:r>
    </w:p>
    <w:p w14:paraId="6B0F7CAB">
      <w:pPr>
        <w:widowControl/>
        <w:spacing w:line="480" w:lineRule="auto"/>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PREVENT Equations: See Table S3 for detailed calculation method.</w:t>
      </w:r>
    </w:p>
    <w:p w14:paraId="1132421C">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eastAsia="微软雅黑" w:cs="Times New Roman"/>
          <w:b/>
          <w:b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shd w:val="clear" w:color="auto" w:fill="auto"/>
          <w:lang w:val="en-US" w:eastAsia="zh-CN"/>
          <w14:textFill>
            <w14:solidFill>
              <w14:schemeClr w14:val="tx1"/>
            </w14:solidFill>
          </w14:textFill>
        </w:rPr>
        <w:t>Abbreviations:</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 xml:space="preserve"> BMI, body mass index; CKD, chronic kidney disease; CKD</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EPI, Chronic Kidney Disease Epidemiology Collaboration; CKM, cardiovascular</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kidney</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metabolic; CVD, cardiovascular disease; DBP, diastolic blood pressure; eGFR, estimated glomerular filtration rate; FBG, fasting blood glucose; HbA₁c, hemoglobin A1c; HDL</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C, high</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density lipoprotein cholesterol; KDIGO, Kidney Disease: Improving Global Outcomes; MetS, metabolic syndrome; PREVENT, Predicting Risk of cardiovascular disease EVENTs; SBP, systolic blood pressure; TC, total cholesterol; TG, triglycerides; UACR, urine albumin</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to</w:t>
      </w:r>
      <w:r>
        <w:rPr>
          <w:rFonts w:hint="eastAsia"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creatinine ratio.</w:t>
      </w:r>
    </w:p>
    <w:p w14:paraId="25E6253B">
      <w:pPr>
        <w:pStyle w:val="11"/>
        <w:keepNext/>
        <w:keepLines w:val="0"/>
        <w:pageBreakBefore w:val="0"/>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Table S</w:t>
      </w:r>
      <w:r>
        <w:rPr>
          <w:rFonts w:hint="eastAsia"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3</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Metabolic Syndrome (MetS) Definition.</w:t>
      </w:r>
    </w:p>
    <w:p w14:paraId="7FA49CED">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MetS is defined by the presence of 3 or more of the following criteria:</w:t>
      </w:r>
    </w:p>
    <w:tbl>
      <w:tblPr>
        <w:tblStyle w:val="6"/>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630"/>
        <w:gridCol w:w="5706"/>
      </w:tblGrid>
      <w:tr w14:paraId="6908DFA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7" w:hRule="atLeast"/>
          <w:jc w:val="center"/>
        </w:trPr>
        <w:tc>
          <w:tcPr>
            <w:tcW w:w="0" w:type="auto"/>
            <w:tcBorders>
              <w:bottom w:val="single" w:color="auto" w:sz="8" w:space="0"/>
            </w:tcBorders>
            <w:shd w:val="clear" w:color="auto" w:fill="auto"/>
            <w:noWrap/>
            <w:vAlign w:val="center"/>
          </w:tcPr>
          <w:p w14:paraId="0B5B8D18">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t xml:space="preserve"> Component</w:t>
            </w:r>
          </w:p>
        </w:tc>
        <w:tc>
          <w:tcPr>
            <w:tcW w:w="0" w:type="auto"/>
            <w:tcBorders>
              <w:bottom w:val="single" w:color="auto" w:sz="8" w:space="0"/>
            </w:tcBorders>
            <w:shd w:val="clear" w:color="auto" w:fill="auto"/>
            <w:noWrap/>
            <w:vAlign w:val="center"/>
          </w:tcPr>
          <w:p w14:paraId="2B55750E">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highlight w:val="none"/>
                <w:shd w:val="clear" w:color="auto" w:fill="auto"/>
                <w:lang w:val="en-US" w:eastAsia="zh-CN"/>
                <w14:textFill>
                  <w14:solidFill>
                    <w14:schemeClr w14:val="tx1"/>
                  </w14:solidFill>
                </w14:textFill>
              </w:rPr>
              <w:t>Criteria</w:t>
            </w:r>
          </w:p>
        </w:tc>
      </w:tr>
      <w:tr w14:paraId="0F46D57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jc w:val="center"/>
        </w:trPr>
        <w:tc>
          <w:tcPr>
            <w:tcW w:w="0" w:type="auto"/>
            <w:tcBorders>
              <w:top w:val="single" w:color="auto" w:sz="8" w:space="0"/>
              <w:tl2br w:val="nil"/>
              <w:tr2bl w:val="nil"/>
            </w:tcBorders>
            <w:shd w:val="clear" w:color="auto" w:fill="auto"/>
            <w:noWrap/>
            <w:vAlign w:val="center"/>
          </w:tcPr>
          <w:p w14:paraId="572B210C">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 Waist Circumference*</w:t>
            </w:r>
          </w:p>
        </w:tc>
        <w:tc>
          <w:tcPr>
            <w:tcW w:w="0" w:type="auto"/>
            <w:tcBorders>
              <w:top w:val="single" w:color="auto" w:sz="8" w:space="0"/>
              <w:tl2br w:val="nil"/>
              <w:tr2bl w:val="nil"/>
            </w:tcBorders>
            <w:shd w:val="clear" w:color="auto" w:fill="auto"/>
            <w:noWrap/>
            <w:vAlign w:val="center"/>
          </w:tcPr>
          <w:p w14:paraId="7BAC60B9">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 88 cm for women or ≥ 102 cm for men (general population)</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br w:type="textWrapping"/>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 80 cm for women or ≥ 90 cm for men (Asian ancestry)</w:t>
            </w:r>
          </w:p>
        </w:tc>
      </w:tr>
      <w:tr w14:paraId="0E0F597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jc w:val="center"/>
        </w:trPr>
        <w:tc>
          <w:tcPr>
            <w:tcW w:w="0" w:type="auto"/>
            <w:tcBorders>
              <w:tl2br w:val="nil"/>
              <w:tr2bl w:val="nil"/>
            </w:tcBorders>
            <w:shd w:val="clear" w:color="auto" w:fill="auto"/>
            <w:noWrap/>
            <w:vAlign w:val="center"/>
          </w:tcPr>
          <w:p w14:paraId="255C020C">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 HDL Cholesterol</w:t>
            </w:r>
          </w:p>
        </w:tc>
        <w:tc>
          <w:tcPr>
            <w:tcW w:w="0" w:type="auto"/>
            <w:tcBorders>
              <w:tl2br w:val="nil"/>
              <w:tr2bl w:val="nil"/>
            </w:tcBorders>
            <w:shd w:val="clear" w:color="auto" w:fill="auto"/>
            <w:noWrap/>
            <w:vAlign w:val="center"/>
          </w:tcPr>
          <w:p w14:paraId="1583D114">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&lt; 40 mg/dL for men</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br w:type="textWrapping"/>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&lt; 50 mg/dL for women</w:t>
            </w:r>
          </w:p>
        </w:tc>
      </w:tr>
      <w:tr w14:paraId="29812DB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jc w:val="center"/>
        </w:trPr>
        <w:tc>
          <w:tcPr>
            <w:tcW w:w="0" w:type="auto"/>
            <w:tcBorders>
              <w:tl2br w:val="nil"/>
              <w:tr2bl w:val="nil"/>
            </w:tcBorders>
            <w:shd w:val="clear" w:color="auto" w:fill="auto"/>
            <w:noWrap/>
            <w:vAlign w:val="center"/>
          </w:tcPr>
          <w:p w14:paraId="5AB833F0">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(3) Triglycerides (TG)</w:t>
            </w:r>
          </w:p>
        </w:tc>
        <w:tc>
          <w:tcPr>
            <w:tcW w:w="0" w:type="auto"/>
            <w:tcBorders>
              <w:tl2br w:val="nil"/>
              <w:tr2bl w:val="nil"/>
            </w:tcBorders>
            <w:shd w:val="clear" w:color="auto" w:fill="auto"/>
            <w:noWrap/>
            <w:vAlign w:val="center"/>
          </w:tcPr>
          <w:p w14:paraId="48A99C91">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150 mg/dL</w:t>
            </w:r>
          </w:p>
        </w:tc>
      </w:tr>
      <w:tr w14:paraId="548B566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jc w:val="center"/>
        </w:trPr>
        <w:tc>
          <w:tcPr>
            <w:tcW w:w="0" w:type="auto"/>
            <w:tcBorders>
              <w:tl2br w:val="nil"/>
              <w:tr2bl w:val="nil"/>
            </w:tcBorders>
            <w:shd w:val="clear" w:color="auto" w:fill="auto"/>
            <w:noWrap/>
            <w:vAlign w:val="center"/>
          </w:tcPr>
          <w:p w14:paraId="1A8C8E7F">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(4) Blood Pressure</w:t>
            </w:r>
          </w:p>
        </w:tc>
        <w:tc>
          <w:tcPr>
            <w:tcW w:w="0" w:type="auto"/>
            <w:tcBorders>
              <w:tl2br w:val="nil"/>
              <w:tr2bl w:val="nil"/>
            </w:tcBorders>
            <w:shd w:val="clear" w:color="auto" w:fill="auto"/>
            <w:noWrap/>
            <w:vAlign w:val="center"/>
          </w:tcPr>
          <w:p w14:paraId="63A22F92">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SBP ≥ 130 mmHg or DBP ≥ 80 mmHg or use of antihypertensive medications</w:t>
            </w:r>
          </w:p>
        </w:tc>
      </w:tr>
      <w:tr w14:paraId="0C0EF4B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jc w:val="center"/>
        </w:trPr>
        <w:tc>
          <w:tcPr>
            <w:tcW w:w="0" w:type="auto"/>
            <w:tcBorders>
              <w:tl2br w:val="nil"/>
              <w:tr2bl w:val="nil"/>
            </w:tcBorders>
            <w:shd w:val="clear" w:color="auto" w:fill="auto"/>
            <w:noWrap/>
            <w:vAlign w:val="center"/>
          </w:tcPr>
          <w:p w14:paraId="2FFEBCF8">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(5) Fasting Blood Glucose (FBG)</w:t>
            </w:r>
          </w:p>
        </w:tc>
        <w:tc>
          <w:tcPr>
            <w:tcW w:w="0" w:type="auto"/>
            <w:tcBorders>
              <w:tl2br w:val="nil"/>
              <w:tr2bl w:val="nil"/>
            </w:tcBorders>
            <w:shd w:val="clear" w:color="auto" w:fill="auto"/>
            <w:noWrap/>
            <w:vAlign w:val="center"/>
          </w:tcPr>
          <w:p w14:paraId="6365EDD4">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100 mg/dL</w:t>
            </w:r>
          </w:p>
        </w:tc>
      </w:tr>
    </w:tbl>
    <w:p w14:paraId="7E212498">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b/>
          <w:b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shd w:val="clear" w:color="auto" w:fill="auto"/>
          <w:lang w:val="en-US" w:eastAsia="zh-CN"/>
          <w14:textFill>
            <w14:solidFill>
              <w14:schemeClr w14:val="tx1"/>
            </w14:solidFill>
          </w14:textFill>
        </w:rPr>
        <w:t>Note: </w:t>
      </w:r>
    </w:p>
    <w:p w14:paraId="4FFF507A">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color w:val="000000" w:themeColor="text1"/>
          <w:sz w:val="24"/>
          <w:szCs w:val="24"/>
          <w:highlight w:val="none"/>
          <w:shd w:val="clear" w:color="auto" w:fill="auto"/>
          <w14:textFill>
            <w14:solidFill>
              <w14:schemeClr w14:val="tx1"/>
            </w14:solidFill>
          </w14:textFill>
        </w:rPr>
      </w:pPr>
      <w:r>
        <w:rPr>
          <w:rFonts w:hint="default" w:ascii="Times New Roman" w:hAnsi="Times New Roman" w:cs="Times New Roman"/>
          <w:b w:val="0"/>
          <w:bCs w:val="0"/>
          <w:color w:val="000000" w:themeColor="text1"/>
          <w:sz w:val="24"/>
          <w:szCs w:val="24"/>
          <w:highlight w:val="none"/>
          <w:shd w:val="clear" w:color="auto" w:fill="auto"/>
          <w:lang w:val="en-US" w:eastAsia="zh-CN"/>
          <w14:textFill>
            <w14:solidFill>
              <w14:schemeClr w14:val="tx1"/>
            </w14:solidFill>
          </w14:textFill>
        </w:rPr>
        <w:t>*For Asian populations in this study, the lower waist circumference cutoffs (≥80 cm for women and ≥90 cm for men) were applied.</w:t>
      </w:r>
    </w:p>
    <w:p w14:paraId="5CBB9E0C">
      <w:pPr>
        <w:pStyle w:val="11"/>
        <w:keepNext/>
        <w:keepLines w:val="0"/>
        <w:pageBreakBefore w:val="0"/>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Table S</w:t>
      </w:r>
      <w:r>
        <w:rPr>
          <w:rFonts w:hint="eastAsia"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4</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The PREVENT 10</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year Risk Estimation Model Equations.</w:t>
      </w:r>
    </w:p>
    <w:tbl>
      <w:tblPr>
        <w:tblStyle w:val="7"/>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57"/>
        <w:gridCol w:w="7165"/>
      </w:tblGrid>
      <w:tr w14:paraId="205006C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0" w:type="auto"/>
            <w:tcBorders>
              <w:bottom w:val="single" w:color="auto" w:sz="8" w:space="0"/>
            </w:tcBorders>
            <w:shd w:val="clear" w:color="auto" w:fill="FFFFFF" w:themeFill="background1"/>
            <w:vAlign w:val="top"/>
          </w:tcPr>
          <w:p w14:paraId="126159C5">
            <w:pPr>
              <w:pStyle w:val="5"/>
              <w:keepLines w:val="0"/>
              <w:pageBreakBefore w:val="0"/>
              <w:kinsoku/>
              <w:overflowPunct/>
              <w:autoSpaceDE/>
              <w:autoSpaceDN/>
              <w:bidi w:val="0"/>
              <w:adjustRightInd/>
              <w:snapToGrid/>
              <w:spacing w:line="480" w:lineRule="auto"/>
              <w:ind w:left="0" w:leftChars="0" w:firstLine="0" w:firstLineChars="0"/>
              <w:jc w:val="center"/>
              <w:rPr>
                <w:rFonts w:hint="default" w:ascii="Times New Roman" w:hAnsi="Times New Roman" w:eastAsia="Times New Roman" w:cs="Times New Roman"/>
                <w:b/>
                <w:b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eastAsia="Times New Roman" w:cs="Times New Roman"/>
                <w:b/>
                <w:bCs/>
                <w:color w:val="000000" w:themeColor="text1"/>
                <w:kern w:val="2"/>
                <w:sz w:val="24"/>
                <w:szCs w:val="24"/>
                <w:highlight w:val="none"/>
                <w:shd w:val="clear" w:color="auto" w:fill="auto"/>
                <w:lang w:val="en-US" w:eastAsia="zh-CN" w:bidi="ar-SA"/>
                <w14:textFill>
                  <w14:solidFill>
                    <w14:schemeClr w14:val="tx1"/>
                  </w14:solidFill>
                </w14:textFill>
              </w:rPr>
              <w:t>Sex</w:t>
            </w:r>
          </w:p>
        </w:tc>
        <w:tc>
          <w:tcPr>
            <w:tcW w:w="0" w:type="auto"/>
            <w:tcBorders>
              <w:bottom w:val="single" w:color="auto" w:sz="8" w:space="0"/>
            </w:tcBorders>
            <w:shd w:val="clear" w:color="auto" w:fill="FFFFFF" w:themeFill="background1"/>
            <w:vAlign w:val="top"/>
          </w:tcPr>
          <w:p w14:paraId="776E111E">
            <w:pPr>
              <w:pStyle w:val="5"/>
              <w:keepLines w:val="0"/>
              <w:pageBreakBefore w:val="0"/>
              <w:kinsoku/>
              <w:overflowPunct/>
              <w:autoSpaceDE/>
              <w:autoSpaceDN/>
              <w:bidi w:val="0"/>
              <w:adjustRightInd/>
              <w:snapToGrid/>
              <w:spacing w:line="480" w:lineRule="auto"/>
              <w:ind w:firstLine="480" w:firstLineChars="200"/>
              <w:jc w:val="center"/>
              <w:rPr>
                <w:rFonts w:hint="default" w:ascii="Times New Roman" w:hAnsi="Times New Roman" w:eastAsia="Times New Roman" w:cs="Times New Roman"/>
                <w:b/>
                <w:b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eastAsia="Times New Roman" w:cs="Times New Roman"/>
                <w:b/>
                <w:bCs/>
                <w:color w:val="000000" w:themeColor="text1"/>
                <w:kern w:val="2"/>
                <w:sz w:val="24"/>
                <w:szCs w:val="24"/>
                <w:highlight w:val="none"/>
                <w:shd w:val="clear" w:color="auto" w:fill="auto"/>
                <w:lang w:val="en-US" w:eastAsia="zh-CN" w:bidi="ar-SA"/>
                <w14:textFill>
                  <w14:solidFill>
                    <w14:schemeClr w14:val="tx1"/>
                  </w14:solidFill>
                </w14:textFill>
              </w:rPr>
              <w:t>Calculation</w:t>
            </w:r>
          </w:p>
        </w:tc>
      </w:tr>
      <w:tr w14:paraId="30C76CF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0" w:type="auto"/>
            <w:vMerge w:val="restart"/>
            <w:tcBorders>
              <w:top w:val="single" w:color="auto" w:sz="8" w:space="0"/>
              <w:tl2br w:val="nil"/>
              <w:tr2bl w:val="nil"/>
            </w:tcBorders>
            <w:vAlign w:val="center"/>
          </w:tcPr>
          <w:p w14:paraId="77E90EAF">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Men</w:t>
            </w:r>
          </w:p>
        </w:tc>
        <w:tc>
          <w:tcPr>
            <w:tcW w:w="0" w:type="auto"/>
            <w:tcBorders>
              <w:top w:val="single" w:color="auto" w:sz="8" w:space="0"/>
              <w:tl2br w:val="nil"/>
              <w:tr2bl w:val="nil"/>
            </w:tcBorders>
            <w:vAlign w:val="center"/>
          </w:tcPr>
          <w:p w14:paraId="017D0B99">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log</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Odds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3.031168 + 0.7688528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+ 0.0736174 × ((TC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3.5)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0.0954431 ×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 /0.3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0.4347345 × (min(SBP,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110) /20 + 0.3362658 × (max(SBP,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130) /20 + 0.7692857 × (if diabetes) + 0.4386871 × (if current smoker) + 0.5378979 × (min(eGFR, 60)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60)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15 + 0.0164827 × (max(eGFR, 60)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90)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15 + 0.288879 × (if using anti</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hypertensive medication)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0.1337349 × (if using statin)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0.0475924 × (if using anti</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hypertensive medication) × (max(SBP,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130) /20 + 0.150273 × (if using statin) × ((TC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3.5)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0.0517874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((TC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3.5) + 0.0191169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 /0.3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0.1049477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(max(SBP,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130) /20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0.2251948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(if diabetes)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0.0895067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(if current smoker)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0.1543702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(min(eGFR, 60)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60)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15</w:t>
            </w:r>
          </w:p>
        </w:tc>
      </w:tr>
      <w:tr w14:paraId="2E05A64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vMerge w:val="continue"/>
            <w:tcBorders>
              <w:tl2br w:val="nil"/>
              <w:tr2bl w:val="nil"/>
            </w:tcBorders>
            <w:vAlign w:val="center"/>
          </w:tcPr>
          <w:p w14:paraId="02DF3F1D">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c>
          <w:tcPr>
            <w:tcW w:w="0" w:type="auto"/>
            <w:tcBorders>
              <w:tl2br w:val="nil"/>
              <w:tr2bl w:val="nil"/>
            </w:tcBorders>
            <w:vAlign w:val="center"/>
          </w:tcPr>
          <w:p w14:paraId="2D47D31C">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Risk = 1 / (1 + exp(</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log</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Odds))</w:t>
            </w:r>
          </w:p>
        </w:tc>
      </w:tr>
      <w:tr w14:paraId="64B1103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8" w:hRule="atLeast"/>
          <w:jc w:val="center"/>
        </w:trPr>
        <w:tc>
          <w:tcPr>
            <w:tcW w:w="0" w:type="auto"/>
            <w:vMerge w:val="restart"/>
            <w:tcBorders>
              <w:tl2br w:val="nil"/>
              <w:tr2bl w:val="nil"/>
            </w:tcBorders>
            <w:vAlign w:val="center"/>
          </w:tcPr>
          <w:p w14:paraId="14CBB0D3">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Women</w:t>
            </w:r>
          </w:p>
        </w:tc>
        <w:tc>
          <w:tcPr>
            <w:tcW w:w="0" w:type="auto"/>
            <w:tcBorders>
              <w:tl2br w:val="nil"/>
              <w:tr2bl w:val="nil"/>
            </w:tcBorders>
            <w:vAlign w:val="center"/>
          </w:tcPr>
          <w:p w14:paraId="6657583B">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log</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Odds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3.307728 + 0.7939329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+ 0.0305239 × ((TC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3.5)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0.1606857 ×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 /0.3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0.2394003 × (min(SBP,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110) /20 + 0.360078 × (max(SBP,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130) /20 + 0.8667604 × (if diabetes) + 0.5360739 × (if current smoker) + 0.6045917 × (min(eGFR, 60)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60)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15 + 0.0433769 × (max(eGFR, 60)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90)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15 + 0.3151672 × (if using anti</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hypertensive medication)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0.1477655 × (if using statin)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0.0663612 × (if using anti</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hypertensive medication) × (max(SBP,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130) /20 + 0.1197879 × (if using statin) × ((TC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3.5)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0.0819715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((TC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3.5) + 0.0306769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(HDL</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C × 0.02586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 /0.3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0.0946348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(max(SBP, 110)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130) /20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0.27057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(if diabetes)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0.078715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(if current smoker)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0.1637806 × (age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55) /10 × (min(eGFR, 60)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60) / </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15</w:t>
            </w:r>
          </w:p>
        </w:tc>
      </w:tr>
      <w:tr w14:paraId="695D312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0" w:type="auto"/>
            <w:vMerge w:val="continue"/>
            <w:tcBorders>
              <w:tl2br w:val="nil"/>
              <w:tr2bl w:val="nil"/>
            </w:tcBorders>
            <w:vAlign w:val="center"/>
          </w:tcPr>
          <w:p w14:paraId="162D47ED">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c>
          <w:tcPr>
            <w:tcW w:w="0" w:type="auto"/>
            <w:tcBorders>
              <w:tl2br w:val="nil"/>
              <w:tr2bl w:val="nil"/>
            </w:tcBorders>
            <w:vAlign w:val="center"/>
          </w:tcPr>
          <w:p w14:paraId="0DE0B06D">
            <w:pPr>
              <w:pBdr>
                <w:top w:val="none" w:color="000000" w:sz="0" w:space="0"/>
                <w:left w:val="none" w:color="000000" w:sz="0" w:space="0"/>
                <w:bottom w:val="none" w:color="000000" w:sz="0" w:space="0"/>
                <w:right w:val="none" w:color="000000" w:sz="0" w:space="0"/>
              </w:pBdr>
              <w:spacing w:before="100" w:after="100" w:line="240" w:lineRule="auto"/>
              <w:ind w:left="300" w:right="100"/>
              <w:jc w:val="cente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Risk = 1 / (1 + exp(</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log</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Odds))</w:t>
            </w:r>
          </w:p>
        </w:tc>
      </w:tr>
    </w:tbl>
    <w:p w14:paraId="2AC03B8A">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cs="Times New Roman"/>
          <w:b/>
          <w:bCs/>
          <w:color w:val="000000" w:themeColor="text1"/>
          <w:sz w:val="24"/>
          <w:szCs w:val="24"/>
          <w:highlight w:val="none"/>
          <w:shd w:val="clear" w:color="auto" w:fill="auto"/>
          <w:lang w:val="en-US" w:eastAsia="zh-CN"/>
          <w14:textFill>
            <w14:solidFill>
              <w14:schemeClr w14:val="tx1"/>
            </w14:solidFill>
          </w14:textFill>
        </w:rPr>
        <w:t>References</w:t>
      </w:r>
    </w:p>
    <w:p w14:paraId="34348DA6">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fldChar w:fldCharType="begin"/>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instrText xml:space="preserve"> ADDIN ZOTERO_BIBL {"uncited":[],"omitted":[],"custom":[]} CSL_BIBLIOGRAPHY </w:instrTex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fldChar w:fldCharType="separate"/>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b/>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Whelton PK, Carey RM. The 2017 American college of cardiology/american heart association clinical practice guideline for high blood pressure in adults. JAMA Cardiol. 2018 Apr 1;3(4):352</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3. </w:t>
      </w:r>
    </w:p>
    <w:p w14:paraId="3CD27BFF">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b/>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American Diabetes Association Professional Practice Committee. 2. Classification and diagnosis of diabetes: Standards of medical care in diabetes</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2022. Diabetes Care. 2022 Jan 1;45(Suppl 1):S17</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38. </w:t>
      </w:r>
    </w:p>
    <w:p w14:paraId="6C3F1F33">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b/>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Khan SS, Coresh J, Pencina MJ, Ndumele CE, Rangaswami J, Chow SL, et al. Novel prediction equations for absolute risk assessment of total cardiovascular disease incorporating cardiovascular</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kidney</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metabolic health: A scientific statement from the American heart association. Circulation. 2023 Dec 12;148(24):1982</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2004. </w:t>
      </w:r>
    </w:p>
    <w:p w14:paraId="101D0C4B">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4.</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b/>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Khan SS, Matsushita K, Sang Y, Ballew SH, Grams ME, Surapaneni A, et al. Development a</w:t>
      </w:r>
      <w:r>
        <w:rPr>
          <w:rFonts w:hint="default" w:ascii="Times New Roman" w:hAnsi="Times New Roman" w:cs="Times New Roman" w:eastAsiaTheme="minorEastAsia"/>
          <w:b w:val="0"/>
          <w:bCs/>
          <w:i w:val="0"/>
          <w:iCs/>
          <w:color w:val="000000" w:themeColor="text1"/>
          <w:kern w:val="2"/>
          <w:sz w:val="28"/>
          <w:szCs w:val="28"/>
          <w:highlight w:val="none"/>
          <w:shd w:val="clear" w:color="auto" w:fill="auto"/>
          <w:lang w:val="en-US" w:eastAsia="zh-CN" w:bidi="ar-SA"/>
          <w14:textFill>
            <w14:solidFill>
              <w14:schemeClr w14:val="tx1"/>
            </w14:solidFill>
          </w14:textFill>
          <w14:ligatures w14:val="standardContextual"/>
        </w:rPr>
        <w:t>nd validation of the American heart association’s PREVENT equations. Circulation. 2024 Feb</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 6;149(6):430</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49. </w:t>
      </w:r>
    </w:p>
    <w:p w14:paraId="1F7BEC82">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b/>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Kidney Disease: Improving Global Outcomes (KDIGO) CKD Work Group. KDIGO 2024 clinical practice guideline for the evaluation and management of chronic kidney disease. Kidney Int. 2024 Apr;105(4S):S117</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314. </w:t>
      </w:r>
    </w:p>
    <w:p w14:paraId="25A9EF25">
      <w:pPr>
        <w:pStyle w:val="10"/>
        <w:tabs>
          <w:tab w:val="left" w:pos="384"/>
          <w:tab w:val="clear" w:pos="264"/>
        </w:tabs>
        <w:bidi w:val="0"/>
        <w:spacing w:line="480" w:lineRule="auto"/>
        <w:ind w:left="384" w:hanging="384"/>
        <w:jc w:val="left"/>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6.</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b/>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Inker LA, Eneanya ND, Coresh J, Tighiouart H, Wang D, Sang Y, et al. New creatinine</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 and cystatin C</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based equations to estimate GFR without race. N Engl J Med. 2021 Nov 4;385(19):1737</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 xml:space="preserve">49. </w:t>
      </w:r>
    </w:p>
    <w:p w14:paraId="265875CF">
      <w:pPr>
        <w:widowControl/>
        <w:spacing w:line="480" w:lineRule="auto"/>
        <w:rPr>
          <w:rFonts w:hint="default"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fldChar w:fldCharType="end"/>
      </w:r>
      <w:r>
        <w:rPr>
          <w:rFonts w:hint="default" w:ascii="Times New Roman" w:hAnsi="Times New Roman" w:cs="Times New Roman"/>
          <w:color w:val="000000" w:themeColor="text1"/>
          <w:sz w:val="24"/>
          <w:szCs w:val="24"/>
          <w:highlight w:val="none"/>
          <w:shd w:val="clear" w:color="auto" w:fill="auto"/>
          <w14:textFill>
            <w14:solidFill>
              <w14:schemeClr w14:val="tx1"/>
            </w14:solidFill>
          </w14:textFill>
        </w:rPr>
        <w:t xml:space="preserve"> </w:t>
      </w:r>
      <w:r>
        <w:rPr>
          <w:rFonts w:hint="default"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t xml:space="preserve"> </w:t>
      </w:r>
    </w:p>
    <w:p w14:paraId="4317AC06">
      <w:pPr>
        <w:widowControl/>
        <w:spacing w:line="480" w:lineRule="auto"/>
        <w:jc w:val="center"/>
        <w:rPr>
          <w:rFonts w:hint="eastAsia"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t>Table S</w:t>
      </w:r>
      <w:r>
        <w:rPr>
          <w:rFonts w:hint="eastAsia"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t>5</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val="0"/>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eastAsiaTheme="minorEastAsia"/>
          <w:b w:val="0"/>
          <w:bCs w:val="0"/>
          <w:i w:val="0"/>
          <w:iCs/>
          <w:color w:val="000000" w:themeColor="text1"/>
          <w:kern w:val="2"/>
          <w:sz w:val="24"/>
          <w:szCs w:val="24"/>
          <w:highlight w:val="none"/>
          <w:shd w:val="clear" w:color="auto" w:fill="auto"/>
          <w:lang w:val="en-US" w:eastAsia="zh-CN" w:bidi="ar-SA"/>
          <w14:textFill>
            <w14:solidFill>
              <w14:schemeClr w14:val="tx1"/>
            </w14:solidFill>
          </w14:textFill>
        </w:rPr>
        <w:t>Schoenfeld residual test for proportional hazards assumption</w:t>
      </w:r>
      <w:r>
        <w:rPr>
          <w:rFonts w:hint="eastAsia" w:ascii="Times New Roman" w:hAnsi="Times New Roman" w:cs="Times New Roman" w:eastAsiaTheme="minorEastAsia"/>
          <w:b w:val="0"/>
          <w:bCs w:val="0"/>
          <w:i w:val="0"/>
          <w:iCs/>
          <w:color w:val="000000" w:themeColor="text1"/>
          <w:kern w:val="2"/>
          <w:sz w:val="24"/>
          <w:szCs w:val="24"/>
          <w:highlight w:val="none"/>
          <w:shd w:val="clear" w:color="auto" w:fill="auto"/>
          <w:lang w:val="en-US" w:eastAsia="zh-CN" w:bidi="ar-SA"/>
          <w14:textFill>
            <w14:solidFill>
              <w14:schemeClr w14:val="tx1"/>
            </w14:solidFill>
          </w14:textFill>
        </w:rPr>
        <w:t>.</w:t>
      </w:r>
    </w:p>
    <w:tbl>
      <w:tblPr>
        <w:tblStyle w:val="6"/>
        <w:tblW w:w="74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67"/>
        <w:gridCol w:w="1867"/>
        <w:gridCol w:w="1867"/>
        <w:gridCol w:w="1869"/>
      </w:tblGrid>
      <w:tr w14:paraId="221F7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1867" w:type="dxa"/>
            <w:tcBorders>
              <w:top w:val="single" w:color="auto" w:sz="4" w:space="0"/>
              <w:left w:val="nil"/>
              <w:bottom w:val="single" w:color="000000" w:sz="4" w:space="0"/>
              <w:right w:val="nil"/>
            </w:tcBorders>
            <w:shd w:val="clear" w:color="auto" w:fill="auto"/>
            <w:noWrap/>
            <w:vAlign w:val="center"/>
          </w:tcPr>
          <w:p w14:paraId="6092B39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Variable</w:t>
            </w:r>
          </w:p>
        </w:tc>
        <w:tc>
          <w:tcPr>
            <w:tcW w:w="1867" w:type="dxa"/>
            <w:tcBorders>
              <w:top w:val="single" w:color="auto" w:sz="4" w:space="0"/>
              <w:left w:val="nil"/>
              <w:bottom w:val="single" w:color="000000" w:sz="4" w:space="0"/>
              <w:right w:val="nil"/>
            </w:tcBorders>
            <w:shd w:val="clear" w:color="auto" w:fill="auto"/>
            <w:noWrap/>
            <w:vAlign w:val="center"/>
          </w:tcPr>
          <w:p w14:paraId="605F591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Per SD model (p)</w:t>
            </w:r>
          </w:p>
        </w:tc>
        <w:tc>
          <w:tcPr>
            <w:tcW w:w="1867" w:type="dxa"/>
            <w:tcBorders>
              <w:top w:val="single" w:color="auto" w:sz="4" w:space="0"/>
              <w:left w:val="nil"/>
              <w:bottom w:val="single" w:color="000000" w:sz="4" w:space="0"/>
              <w:right w:val="nil"/>
            </w:tcBorders>
            <w:shd w:val="clear" w:color="auto" w:fill="auto"/>
            <w:noWrap/>
            <w:vAlign w:val="center"/>
          </w:tcPr>
          <w:p w14:paraId="0A8228D7">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Quartile model (p)</w:t>
            </w:r>
          </w:p>
        </w:tc>
        <w:tc>
          <w:tcPr>
            <w:tcW w:w="1869" w:type="dxa"/>
            <w:tcBorders>
              <w:top w:val="single" w:color="auto" w:sz="4" w:space="0"/>
              <w:left w:val="nil"/>
              <w:bottom w:val="single" w:color="000000" w:sz="4" w:space="0"/>
              <w:right w:val="nil"/>
            </w:tcBorders>
            <w:shd w:val="clear" w:color="auto" w:fill="auto"/>
            <w:noWrap/>
            <w:vAlign w:val="center"/>
          </w:tcPr>
          <w:p w14:paraId="72B88B95">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Trend model (p)</w:t>
            </w:r>
          </w:p>
        </w:tc>
      </w:tr>
      <w:tr w14:paraId="0C9E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1867" w:type="dxa"/>
            <w:tcBorders>
              <w:top w:val="nil"/>
              <w:left w:val="nil"/>
              <w:bottom w:val="nil"/>
              <w:right w:val="nil"/>
            </w:tcBorders>
            <w:shd w:val="clear" w:color="auto" w:fill="auto"/>
            <w:noWrap/>
            <w:vAlign w:val="center"/>
          </w:tcPr>
          <w:p w14:paraId="271F263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cumMETSVF</w:t>
            </w:r>
          </w:p>
        </w:tc>
        <w:tc>
          <w:tcPr>
            <w:tcW w:w="1867" w:type="dxa"/>
            <w:tcBorders>
              <w:top w:val="nil"/>
              <w:left w:val="nil"/>
              <w:bottom w:val="nil"/>
              <w:right w:val="nil"/>
            </w:tcBorders>
            <w:shd w:val="clear" w:color="auto" w:fill="auto"/>
            <w:noWrap/>
            <w:vAlign w:val="center"/>
          </w:tcPr>
          <w:p w14:paraId="2605120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0.1586</w:t>
            </w:r>
          </w:p>
        </w:tc>
        <w:tc>
          <w:tcPr>
            <w:tcW w:w="1867" w:type="dxa"/>
            <w:tcBorders>
              <w:top w:val="nil"/>
              <w:left w:val="nil"/>
              <w:bottom w:val="nil"/>
              <w:right w:val="nil"/>
            </w:tcBorders>
            <w:shd w:val="clear" w:color="auto" w:fill="auto"/>
            <w:noWrap/>
            <w:vAlign w:val="center"/>
          </w:tcPr>
          <w:p w14:paraId="371B6527">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0.7512</w:t>
            </w:r>
          </w:p>
        </w:tc>
        <w:tc>
          <w:tcPr>
            <w:tcW w:w="1869" w:type="dxa"/>
            <w:tcBorders>
              <w:top w:val="nil"/>
              <w:left w:val="nil"/>
              <w:bottom w:val="nil"/>
              <w:right w:val="nil"/>
            </w:tcBorders>
            <w:shd w:val="clear" w:color="auto" w:fill="auto"/>
            <w:noWrap/>
            <w:vAlign w:val="center"/>
          </w:tcPr>
          <w:p w14:paraId="4E4594B0">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0.4870</w:t>
            </w:r>
          </w:p>
        </w:tc>
      </w:tr>
      <w:tr w14:paraId="7B350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867" w:type="dxa"/>
            <w:tcBorders>
              <w:top w:val="nil"/>
              <w:left w:val="nil"/>
              <w:bottom w:val="nil"/>
              <w:right w:val="nil"/>
            </w:tcBorders>
            <w:shd w:val="clear" w:color="auto" w:fill="auto"/>
            <w:noWrap/>
            <w:vAlign w:val="center"/>
          </w:tcPr>
          <w:p w14:paraId="3FDA58D6">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Systolic BP</w:t>
            </w:r>
          </w:p>
        </w:tc>
        <w:tc>
          <w:tcPr>
            <w:tcW w:w="1867" w:type="dxa"/>
            <w:tcBorders>
              <w:top w:val="nil"/>
              <w:left w:val="nil"/>
              <w:bottom w:val="nil"/>
              <w:right w:val="nil"/>
            </w:tcBorders>
            <w:shd w:val="clear" w:color="auto" w:fill="auto"/>
            <w:noWrap/>
            <w:vAlign w:val="center"/>
          </w:tcPr>
          <w:p w14:paraId="3009005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0.0071</w:t>
            </w:r>
          </w:p>
        </w:tc>
        <w:tc>
          <w:tcPr>
            <w:tcW w:w="1867" w:type="dxa"/>
            <w:tcBorders>
              <w:top w:val="nil"/>
              <w:left w:val="nil"/>
              <w:bottom w:val="nil"/>
              <w:right w:val="nil"/>
            </w:tcBorders>
            <w:shd w:val="clear" w:color="auto" w:fill="auto"/>
            <w:noWrap/>
            <w:vAlign w:val="center"/>
          </w:tcPr>
          <w:p w14:paraId="7A1F8DC2">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0.0069</w:t>
            </w:r>
          </w:p>
        </w:tc>
        <w:tc>
          <w:tcPr>
            <w:tcW w:w="1869" w:type="dxa"/>
            <w:tcBorders>
              <w:top w:val="nil"/>
              <w:left w:val="nil"/>
              <w:bottom w:val="nil"/>
              <w:right w:val="nil"/>
            </w:tcBorders>
            <w:shd w:val="clear" w:color="auto" w:fill="auto"/>
            <w:noWrap/>
            <w:vAlign w:val="center"/>
          </w:tcPr>
          <w:p w14:paraId="7C5AFA13">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0.0070</w:t>
            </w:r>
          </w:p>
        </w:tc>
      </w:tr>
      <w:tr w14:paraId="00382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867" w:type="dxa"/>
            <w:tcBorders>
              <w:top w:val="nil"/>
              <w:left w:val="nil"/>
              <w:bottom w:val="nil"/>
              <w:right w:val="nil"/>
            </w:tcBorders>
            <w:shd w:val="clear" w:color="auto" w:fill="auto"/>
            <w:noWrap/>
            <w:vAlign w:val="center"/>
          </w:tcPr>
          <w:p w14:paraId="2FBC622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Diastolic BP</w:t>
            </w:r>
          </w:p>
        </w:tc>
        <w:tc>
          <w:tcPr>
            <w:tcW w:w="1867" w:type="dxa"/>
            <w:tcBorders>
              <w:top w:val="nil"/>
              <w:left w:val="nil"/>
              <w:bottom w:val="nil"/>
              <w:right w:val="nil"/>
            </w:tcBorders>
            <w:shd w:val="clear" w:color="auto" w:fill="auto"/>
            <w:noWrap/>
            <w:vAlign w:val="center"/>
          </w:tcPr>
          <w:p w14:paraId="05B06806">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0.0230</w:t>
            </w:r>
          </w:p>
        </w:tc>
        <w:tc>
          <w:tcPr>
            <w:tcW w:w="1867" w:type="dxa"/>
            <w:tcBorders>
              <w:top w:val="nil"/>
              <w:left w:val="nil"/>
              <w:bottom w:val="nil"/>
              <w:right w:val="nil"/>
            </w:tcBorders>
            <w:shd w:val="clear" w:color="auto" w:fill="auto"/>
            <w:noWrap/>
            <w:vAlign w:val="center"/>
          </w:tcPr>
          <w:p w14:paraId="571DDCB0">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0.0222</w:t>
            </w:r>
          </w:p>
        </w:tc>
        <w:tc>
          <w:tcPr>
            <w:tcW w:w="1869" w:type="dxa"/>
            <w:tcBorders>
              <w:top w:val="nil"/>
              <w:left w:val="nil"/>
              <w:bottom w:val="nil"/>
              <w:right w:val="nil"/>
            </w:tcBorders>
            <w:shd w:val="clear" w:color="auto" w:fill="auto"/>
            <w:noWrap/>
            <w:vAlign w:val="center"/>
          </w:tcPr>
          <w:p w14:paraId="580141A0">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0.0220</w:t>
            </w:r>
          </w:p>
        </w:tc>
      </w:tr>
      <w:tr w14:paraId="76E61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867" w:type="dxa"/>
            <w:tcBorders>
              <w:top w:val="nil"/>
              <w:left w:val="nil"/>
              <w:bottom w:val="nil"/>
              <w:right w:val="nil"/>
            </w:tcBorders>
            <w:shd w:val="clear" w:color="auto" w:fill="auto"/>
            <w:noWrap/>
            <w:vAlign w:val="center"/>
          </w:tcPr>
          <w:p w14:paraId="7F591700">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Fasting glucose</w:t>
            </w:r>
          </w:p>
        </w:tc>
        <w:tc>
          <w:tcPr>
            <w:tcW w:w="1867" w:type="dxa"/>
            <w:tcBorders>
              <w:top w:val="nil"/>
              <w:left w:val="nil"/>
              <w:bottom w:val="nil"/>
              <w:right w:val="nil"/>
            </w:tcBorders>
            <w:shd w:val="clear" w:color="auto" w:fill="auto"/>
            <w:noWrap/>
            <w:vAlign w:val="center"/>
          </w:tcPr>
          <w:p w14:paraId="213D7A72">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0.0469</w:t>
            </w:r>
          </w:p>
        </w:tc>
        <w:tc>
          <w:tcPr>
            <w:tcW w:w="1867" w:type="dxa"/>
            <w:tcBorders>
              <w:top w:val="nil"/>
              <w:left w:val="nil"/>
              <w:bottom w:val="nil"/>
              <w:right w:val="nil"/>
            </w:tcBorders>
            <w:shd w:val="clear" w:color="auto" w:fill="auto"/>
            <w:noWrap/>
            <w:vAlign w:val="center"/>
          </w:tcPr>
          <w:p w14:paraId="54C5594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0.0446</w:t>
            </w:r>
          </w:p>
        </w:tc>
        <w:tc>
          <w:tcPr>
            <w:tcW w:w="1869" w:type="dxa"/>
            <w:tcBorders>
              <w:top w:val="nil"/>
              <w:left w:val="nil"/>
              <w:bottom w:val="nil"/>
              <w:right w:val="nil"/>
            </w:tcBorders>
            <w:shd w:val="clear" w:color="auto" w:fill="auto"/>
            <w:noWrap/>
            <w:vAlign w:val="center"/>
          </w:tcPr>
          <w:p w14:paraId="0AE46F3E">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0.0450</w:t>
            </w:r>
          </w:p>
        </w:tc>
      </w:tr>
      <w:tr w14:paraId="2EEB2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867" w:type="dxa"/>
            <w:tcBorders>
              <w:top w:val="nil"/>
              <w:left w:val="nil"/>
              <w:bottom w:val="nil"/>
              <w:right w:val="nil"/>
            </w:tcBorders>
            <w:shd w:val="clear" w:color="auto" w:fill="auto"/>
            <w:noWrap/>
            <w:vAlign w:val="center"/>
          </w:tcPr>
          <w:p w14:paraId="6F5CE235">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GLOBAL</w:t>
            </w:r>
          </w:p>
        </w:tc>
        <w:tc>
          <w:tcPr>
            <w:tcW w:w="1867" w:type="dxa"/>
            <w:tcBorders>
              <w:top w:val="nil"/>
              <w:left w:val="nil"/>
              <w:bottom w:val="nil"/>
              <w:right w:val="nil"/>
            </w:tcBorders>
            <w:shd w:val="clear" w:color="auto" w:fill="auto"/>
            <w:noWrap/>
            <w:vAlign w:val="center"/>
          </w:tcPr>
          <w:p w14:paraId="1ECE601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0.0912</w:t>
            </w:r>
          </w:p>
        </w:tc>
        <w:tc>
          <w:tcPr>
            <w:tcW w:w="1867" w:type="dxa"/>
            <w:tcBorders>
              <w:top w:val="nil"/>
              <w:left w:val="nil"/>
              <w:bottom w:val="nil"/>
              <w:right w:val="nil"/>
            </w:tcBorders>
            <w:shd w:val="clear" w:color="auto" w:fill="auto"/>
            <w:noWrap/>
            <w:vAlign w:val="center"/>
          </w:tcPr>
          <w:p w14:paraId="53EFAC9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0.1723</w:t>
            </w:r>
          </w:p>
        </w:tc>
        <w:tc>
          <w:tcPr>
            <w:tcW w:w="1869" w:type="dxa"/>
            <w:tcBorders>
              <w:top w:val="nil"/>
              <w:left w:val="nil"/>
              <w:bottom w:val="nil"/>
              <w:right w:val="nil"/>
            </w:tcBorders>
            <w:shd w:val="clear" w:color="auto" w:fill="auto"/>
            <w:noWrap/>
            <w:vAlign w:val="center"/>
          </w:tcPr>
          <w:p w14:paraId="48A9601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0.1200</w:t>
            </w:r>
          </w:p>
        </w:tc>
      </w:tr>
    </w:tbl>
    <w:p w14:paraId="33232C8E">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b/>
          <w:bCs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bCs w:val="0"/>
          <w:iCs/>
          <w:color w:val="000000" w:themeColor="text1"/>
          <w:sz w:val="24"/>
          <w:szCs w:val="24"/>
          <w:highlight w:val="none"/>
          <w:shd w:val="clear" w:color="auto" w:fill="auto"/>
          <w:lang w:val="en-US" w:eastAsia="zh-CN"/>
          <w14:textFill>
            <w14:solidFill>
              <w14:schemeClr w14:val="tx1"/>
            </w14:solidFill>
          </w14:textFill>
        </w:rPr>
        <w:t>Notes:</w:t>
      </w:r>
    </w:p>
    <w:p w14:paraId="7331AA61">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P values were obtained from Schoenfeld residual tests. A p-value &lt;0.05 indicates potential violation of the proportional hazards assumption. The global tests were not significant, suggesting no overall violation.</w:t>
      </w:r>
    </w:p>
    <w:p w14:paraId="7E0E7676">
      <w:pPr>
        <w:widowControl/>
        <w:spacing w:line="480" w:lineRule="auto"/>
        <w:jc w:val="cente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t>Table S</w:t>
      </w:r>
      <w:r>
        <w:rPr>
          <w:rFonts w:hint="eastAsia"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t>6</w:t>
      </w:r>
      <w:r>
        <w:rPr>
          <w:rFonts w:hint="default" w:ascii="Times New Roman" w:hAnsi="Times New Roman" w:cs="Times New Roman" w:eastAsiaTheme="minorEastAsia"/>
          <w:b/>
          <w:i w:val="0"/>
          <w:iCs/>
          <w:color w:val="000000" w:themeColor="text1"/>
          <w:kern w:val="2"/>
          <w:sz w:val="24"/>
          <w:szCs w:val="24"/>
          <w:highlight w:val="none"/>
          <w:shd w:val="clear" w:color="auto" w:fill="auto"/>
          <w:lang w:val="en-US" w:eastAsia="zh-CN" w:bidi="ar-SA"/>
          <w14:textFill>
            <w14:solidFill>
              <w14:schemeClr w14:val="tx1"/>
            </w14:solidFill>
          </w14:textFill>
        </w:rPr>
        <w:t xml:space="preserve">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Collinearity Statistics.</w:t>
      </w:r>
    </w:p>
    <w:tbl>
      <w:tblPr>
        <w:tblStyle w:val="6"/>
        <w:tblW w:w="712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08"/>
        <w:gridCol w:w="1295"/>
        <w:gridCol w:w="1000"/>
        <w:gridCol w:w="2318"/>
      </w:tblGrid>
      <w:tr w14:paraId="6C2C4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2508" w:type="dxa"/>
            <w:tcBorders>
              <w:top w:val="single" w:color="auto" w:sz="4" w:space="0"/>
              <w:left w:val="nil"/>
              <w:bottom w:val="single" w:color="000000" w:sz="4" w:space="0"/>
              <w:right w:val="nil"/>
            </w:tcBorders>
            <w:shd w:val="clear" w:color="auto" w:fill="auto"/>
            <w:noWrap/>
            <w:vAlign w:val="center"/>
          </w:tcPr>
          <w:p w14:paraId="785E9CB6">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Variable</w:t>
            </w:r>
          </w:p>
        </w:tc>
        <w:tc>
          <w:tcPr>
            <w:tcW w:w="1295" w:type="dxa"/>
            <w:tcBorders>
              <w:top w:val="single" w:color="auto" w:sz="4" w:space="0"/>
              <w:left w:val="nil"/>
              <w:bottom w:val="single" w:color="000000" w:sz="4" w:space="0"/>
              <w:right w:val="nil"/>
            </w:tcBorders>
            <w:shd w:val="clear" w:color="auto" w:fill="auto"/>
            <w:noWrap/>
            <w:vAlign w:val="center"/>
          </w:tcPr>
          <w:p w14:paraId="6F454B7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GVIF</w:t>
            </w:r>
          </w:p>
        </w:tc>
        <w:tc>
          <w:tcPr>
            <w:tcW w:w="1000" w:type="dxa"/>
            <w:tcBorders>
              <w:top w:val="single" w:color="auto" w:sz="4" w:space="0"/>
              <w:left w:val="nil"/>
              <w:bottom w:val="single" w:color="000000" w:sz="4" w:space="0"/>
              <w:right w:val="nil"/>
            </w:tcBorders>
            <w:shd w:val="clear" w:color="auto" w:fill="auto"/>
            <w:noWrap/>
            <w:vAlign w:val="center"/>
          </w:tcPr>
          <w:p w14:paraId="45B88F3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DF</w:t>
            </w:r>
          </w:p>
        </w:tc>
        <w:tc>
          <w:tcPr>
            <w:tcW w:w="2318" w:type="dxa"/>
            <w:tcBorders>
              <w:top w:val="single" w:color="auto" w:sz="4" w:space="0"/>
              <w:left w:val="nil"/>
              <w:bottom w:val="single" w:color="000000" w:sz="4" w:space="0"/>
              <w:right w:val="nil"/>
            </w:tcBorders>
            <w:shd w:val="clear" w:color="auto" w:fill="auto"/>
            <w:noWrap/>
            <w:vAlign w:val="center"/>
          </w:tcPr>
          <w:p w14:paraId="7C38BBB7">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GVIF^(1/(2*Df))</w:t>
            </w:r>
          </w:p>
        </w:tc>
      </w:tr>
      <w:tr w14:paraId="4BCC9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2508" w:type="dxa"/>
            <w:tcBorders>
              <w:top w:val="nil"/>
              <w:left w:val="nil"/>
              <w:bottom w:val="nil"/>
              <w:right w:val="nil"/>
            </w:tcBorders>
            <w:shd w:val="clear" w:color="auto" w:fill="auto"/>
            <w:noWrap/>
            <w:vAlign w:val="center"/>
          </w:tcPr>
          <w:p w14:paraId="297FF09B">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cumMETSVF</w:t>
            </w:r>
          </w:p>
        </w:tc>
        <w:tc>
          <w:tcPr>
            <w:tcW w:w="1295" w:type="dxa"/>
            <w:tcBorders>
              <w:top w:val="nil"/>
              <w:left w:val="nil"/>
              <w:bottom w:val="nil"/>
              <w:right w:val="nil"/>
            </w:tcBorders>
            <w:shd w:val="clear" w:color="auto" w:fill="auto"/>
            <w:noWrap/>
            <w:vAlign w:val="center"/>
          </w:tcPr>
          <w:p w14:paraId="18EBD77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1.0547</w:t>
            </w:r>
          </w:p>
        </w:tc>
        <w:tc>
          <w:tcPr>
            <w:tcW w:w="1000" w:type="dxa"/>
            <w:tcBorders>
              <w:top w:val="nil"/>
              <w:left w:val="nil"/>
              <w:bottom w:val="nil"/>
              <w:right w:val="nil"/>
            </w:tcBorders>
            <w:shd w:val="clear" w:color="auto" w:fill="auto"/>
            <w:noWrap/>
            <w:vAlign w:val="center"/>
          </w:tcPr>
          <w:p w14:paraId="5DD122C7">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1584B485">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1.0270</w:t>
            </w:r>
          </w:p>
        </w:tc>
      </w:tr>
      <w:tr w14:paraId="6DC7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4F4E0C6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Age</w:t>
            </w:r>
          </w:p>
        </w:tc>
        <w:tc>
          <w:tcPr>
            <w:tcW w:w="1295" w:type="dxa"/>
            <w:tcBorders>
              <w:top w:val="nil"/>
              <w:left w:val="nil"/>
              <w:bottom w:val="nil"/>
              <w:right w:val="nil"/>
            </w:tcBorders>
            <w:shd w:val="clear" w:color="auto" w:fill="auto"/>
            <w:noWrap/>
            <w:vAlign w:val="center"/>
          </w:tcPr>
          <w:p w14:paraId="1E61FFC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1.2942</w:t>
            </w:r>
          </w:p>
        </w:tc>
        <w:tc>
          <w:tcPr>
            <w:tcW w:w="1000" w:type="dxa"/>
            <w:tcBorders>
              <w:top w:val="nil"/>
              <w:left w:val="nil"/>
              <w:bottom w:val="nil"/>
              <w:right w:val="nil"/>
            </w:tcBorders>
            <w:shd w:val="clear" w:color="auto" w:fill="auto"/>
            <w:noWrap/>
            <w:vAlign w:val="center"/>
          </w:tcPr>
          <w:p w14:paraId="12E8B18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7EF1EAE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1.1376</w:t>
            </w:r>
          </w:p>
        </w:tc>
      </w:tr>
      <w:tr w14:paraId="03422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17A6F8C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Gender</w:t>
            </w:r>
          </w:p>
        </w:tc>
        <w:tc>
          <w:tcPr>
            <w:tcW w:w="1295" w:type="dxa"/>
            <w:tcBorders>
              <w:top w:val="nil"/>
              <w:left w:val="nil"/>
              <w:bottom w:val="nil"/>
              <w:right w:val="nil"/>
            </w:tcBorders>
            <w:shd w:val="clear" w:color="auto" w:fill="auto"/>
            <w:noWrap/>
            <w:vAlign w:val="center"/>
          </w:tcPr>
          <w:p w14:paraId="6D0AACA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2.4507</w:t>
            </w:r>
          </w:p>
        </w:tc>
        <w:tc>
          <w:tcPr>
            <w:tcW w:w="1000" w:type="dxa"/>
            <w:tcBorders>
              <w:top w:val="nil"/>
              <w:left w:val="nil"/>
              <w:bottom w:val="nil"/>
              <w:right w:val="nil"/>
            </w:tcBorders>
            <w:shd w:val="clear" w:color="auto" w:fill="auto"/>
            <w:noWrap/>
            <w:vAlign w:val="center"/>
          </w:tcPr>
          <w:p w14:paraId="5D857A2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226ACF2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1.5655</w:t>
            </w:r>
          </w:p>
        </w:tc>
      </w:tr>
      <w:tr w14:paraId="58D73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23B2448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Marital status</w:t>
            </w:r>
          </w:p>
        </w:tc>
        <w:tc>
          <w:tcPr>
            <w:tcW w:w="1295" w:type="dxa"/>
            <w:tcBorders>
              <w:top w:val="nil"/>
              <w:left w:val="nil"/>
              <w:bottom w:val="nil"/>
              <w:right w:val="nil"/>
            </w:tcBorders>
            <w:shd w:val="clear" w:color="auto" w:fill="auto"/>
            <w:noWrap/>
            <w:vAlign w:val="center"/>
          </w:tcPr>
          <w:p w14:paraId="4FE47BB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1.0678</w:t>
            </w:r>
          </w:p>
        </w:tc>
        <w:tc>
          <w:tcPr>
            <w:tcW w:w="1000" w:type="dxa"/>
            <w:tcBorders>
              <w:top w:val="nil"/>
              <w:left w:val="nil"/>
              <w:bottom w:val="nil"/>
              <w:right w:val="nil"/>
            </w:tcBorders>
            <w:shd w:val="clear" w:color="auto" w:fill="auto"/>
            <w:noWrap/>
            <w:vAlign w:val="center"/>
          </w:tcPr>
          <w:p w14:paraId="3E5058F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10A9212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1.0333</w:t>
            </w:r>
          </w:p>
        </w:tc>
      </w:tr>
      <w:tr w14:paraId="691C5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3C2319C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Educational level</w:t>
            </w:r>
          </w:p>
        </w:tc>
        <w:tc>
          <w:tcPr>
            <w:tcW w:w="1295" w:type="dxa"/>
            <w:tcBorders>
              <w:top w:val="nil"/>
              <w:left w:val="nil"/>
              <w:bottom w:val="nil"/>
              <w:right w:val="nil"/>
            </w:tcBorders>
            <w:shd w:val="clear" w:color="auto" w:fill="auto"/>
            <w:noWrap/>
            <w:vAlign w:val="center"/>
          </w:tcPr>
          <w:p w14:paraId="3194F6A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2.5489</w:t>
            </w:r>
          </w:p>
        </w:tc>
        <w:tc>
          <w:tcPr>
            <w:tcW w:w="1000" w:type="dxa"/>
            <w:tcBorders>
              <w:top w:val="nil"/>
              <w:left w:val="nil"/>
              <w:bottom w:val="nil"/>
              <w:right w:val="nil"/>
            </w:tcBorders>
            <w:shd w:val="clear" w:color="auto" w:fill="auto"/>
            <w:noWrap/>
            <w:vAlign w:val="center"/>
          </w:tcPr>
          <w:p w14:paraId="2A1B962E">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w:t>
            </w:r>
          </w:p>
        </w:tc>
        <w:tc>
          <w:tcPr>
            <w:tcW w:w="2318" w:type="dxa"/>
            <w:tcBorders>
              <w:top w:val="nil"/>
              <w:left w:val="nil"/>
              <w:bottom w:val="nil"/>
              <w:right w:val="nil"/>
            </w:tcBorders>
            <w:shd w:val="clear" w:color="auto" w:fill="auto"/>
            <w:noWrap/>
            <w:vAlign w:val="center"/>
          </w:tcPr>
          <w:p w14:paraId="3AE74E95">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1.5965</w:t>
            </w:r>
          </w:p>
        </w:tc>
      </w:tr>
      <w:tr w14:paraId="1BCC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1265DE9B">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Residence</w:t>
            </w:r>
          </w:p>
        </w:tc>
        <w:tc>
          <w:tcPr>
            <w:tcW w:w="1295" w:type="dxa"/>
            <w:tcBorders>
              <w:top w:val="nil"/>
              <w:left w:val="nil"/>
              <w:bottom w:val="nil"/>
              <w:right w:val="nil"/>
            </w:tcBorders>
            <w:shd w:val="clear" w:color="auto" w:fill="auto"/>
            <w:noWrap/>
            <w:vAlign w:val="center"/>
          </w:tcPr>
          <w:p w14:paraId="64A9CEF2">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1.1587</w:t>
            </w:r>
          </w:p>
        </w:tc>
        <w:tc>
          <w:tcPr>
            <w:tcW w:w="1000" w:type="dxa"/>
            <w:tcBorders>
              <w:top w:val="nil"/>
              <w:left w:val="nil"/>
              <w:bottom w:val="nil"/>
              <w:right w:val="nil"/>
            </w:tcBorders>
            <w:shd w:val="clear" w:color="auto" w:fill="auto"/>
            <w:noWrap/>
            <w:vAlign w:val="center"/>
          </w:tcPr>
          <w:p w14:paraId="311CB0E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106754D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1.0764</w:t>
            </w:r>
          </w:p>
        </w:tc>
      </w:tr>
      <w:tr w14:paraId="6739C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2C374ED4">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Smoking status</w:t>
            </w:r>
          </w:p>
        </w:tc>
        <w:tc>
          <w:tcPr>
            <w:tcW w:w="1295" w:type="dxa"/>
            <w:tcBorders>
              <w:top w:val="nil"/>
              <w:left w:val="nil"/>
              <w:bottom w:val="nil"/>
              <w:right w:val="nil"/>
            </w:tcBorders>
            <w:shd w:val="clear" w:color="auto" w:fill="auto"/>
            <w:noWrap/>
            <w:vAlign w:val="center"/>
          </w:tcPr>
          <w:p w14:paraId="00761F2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1.9568</w:t>
            </w:r>
          </w:p>
        </w:tc>
        <w:tc>
          <w:tcPr>
            <w:tcW w:w="1000" w:type="dxa"/>
            <w:tcBorders>
              <w:top w:val="nil"/>
              <w:left w:val="nil"/>
              <w:bottom w:val="nil"/>
              <w:right w:val="nil"/>
            </w:tcBorders>
            <w:shd w:val="clear" w:color="auto" w:fill="auto"/>
            <w:noWrap/>
            <w:vAlign w:val="center"/>
          </w:tcPr>
          <w:p w14:paraId="3EDF2C46">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w:t>
            </w:r>
          </w:p>
        </w:tc>
        <w:tc>
          <w:tcPr>
            <w:tcW w:w="2318" w:type="dxa"/>
            <w:tcBorders>
              <w:top w:val="nil"/>
              <w:left w:val="nil"/>
              <w:bottom w:val="nil"/>
              <w:right w:val="nil"/>
            </w:tcBorders>
            <w:shd w:val="clear" w:color="auto" w:fill="auto"/>
            <w:noWrap/>
            <w:vAlign w:val="center"/>
          </w:tcPr>
          <w:p w14:paraId="25532494">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1.3988</w:t>
            </w:r>
          </w:p>
        </w:tc>
      </w:tr>
      <w:tr w14:paraId="5A1AF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1E00CB8E">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Drinking status</w:t>
            </w:r>
          </w:p>
        </w:tc>
        <w:tc>
          <w:tcPr>
            <w:tcW w:w="1295" w:type="dxa"/>
            <w:tcBorders>
              <w:top w:val="nil"/>
              <w:left w:val="nil"/>
              <w:bottom w:val="nil"/>
              <w:right w:val="nil"/>
            </w:tcBorders>
            <w:shd w:val="clear" w:color="auto" w:fill="auto"/>
            <w:noWrap/>
            <w:vAlign w:val="center"/>
          </w:tcPr>
          <w:p w14:paraId="4406B892">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1.4687</w:t>
            </w:r>
          </w:p>
        </w:tc>
        <w:tc>
          <w:tcPr>
            <w:tcW w:w="1000" w:type="dxa"/>
            <w:tcBorders>
              <w:top w:val="nil"/>
              <w:left w:val="nil"/>
              <w:bottom w:val="nil"/>
              <w:right w:val="nil"/>
            </w:tcBorders>
            <w:shd w:val="clear" w:color="auto" w:fill="auto"/>
            <w:noWrap/>
            <w:vAlign w:val="center"/>
          </w:tcPr>
          <w:p w14:paraId="3F65006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w:t>
            </w:r>
          </w:p>
        </w:tc>
        <w:tc>
          <w:tcPr>
            <w:tcW w:w="2318" w:type="dxa"/>
            <w:tcBorders>
              <w:top w:val="nil"/>
              <w:left w:val="nil"/>
              <w:bottom w:val="nil"/>
              <w:right w:val="nil"/>
            </w:tcBorders>
            <w:shd w:val="clear" w:color="auto" w:fill="auto"/>
            <w:noWrap/>
            <w:vAlign w:val="center"/>
          </w:tcPr>
          <w:p w14:paraId="2FD68BC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1.2119</w:t>
            </w:r>
          </w:p>
        </w:tc>
      </w:tr>
      <w:tr w14:paraId="0A54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5A8E6492">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Hypertension</w:t>
            </w:r>
          </w:p>
        </w:tc>
        <w:tc>
          <w:tcPr>
            <w:tcW w:w="1295" w:type="dxa"/>
            <w:tcBorders>
              <w:top w:val="nil"/>
              <w:left w:val="nil"/>
              <w:bottom w:val="nil"/>
              <w:right w:val="nil"/>
            </w:tcBorders>
            <w:shd w:val="clear" w:color="auto" w:fill="auto"/>
            <w:noWrap/>
            <w:vAlign w:val="center"/>
          </w:tcPr>
          <w:p w14:paraId="67562DE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1.9831</w:t>
            </w:r>
          </w:p>
        </w:tc>
        <w:tc>
          <w:tcPr>
            <w:tcW w:w="1000" w:type="dxa"/>
            <w:tcBorders>
              <w:top w:val="nil"/>
              <w:left w:val="nil"/>
              <w:bottom w:val="nil"/>
              <w:right w:val="nil"/>
            </w:tcBorders>
            <w:shd w:val="clear" w:color="auto" w:fill="auto"/>
            <w:noWrap/>
            <w:vAlign w:val="center"/>
          </w:tcPr>
          <w:p w14:paraId="0DEE24B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4CC1E6C3">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1.4082</w:t>
            </w:r>
          </w:p>
        </w:tc>
      </w:tr>
      <w:tr w14:paraId="4D46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1FB45099">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Dyslipidemia</w:t>
            </w:r>
          </w:p>
        </w:tc>
        <w:tc>
          <w:tcPr>
            <w:tcW w:w="1295" w:type="dxa"/>
            <w:tcBorders>
              <w:top w:val="nil"/>
              <w:left w:val="nil"/>
              <w:bottom w:val="nil"/>
              <w:right w:val="nil"/>
            </w:tcBorders>
            <w:shd w:val="clear" w:color="auto" w:fill="auto"/>
            <w:noWrap/>
            <w:vAlign w:val="center"/>
          </w:tcPr>
          <w:p w14:paraId="57F935E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1.7146</w:t>
            </w:r>
          </w:p>
        </w:tc>
        <w:tc>
          <w:tcPr>
            <w:tcW w:w="1000" w:type="dxa"/>
            <w:tcBorders>
              <w:top w:val="nil"/>
              <w:left w:val="nil"/>
              <w:bottom w:val="nil"/>
              <w:right w:val="nil"/>
            </w:tcBorders>
            <w:shd w:val="clear" w:color="auto" w:fill="auto"/>
            <w:noWrap/>
            <w:vAlign w:val="center"/>
          </w:tcPr>
          <w:p w14:paraId="07C364C4">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1295E1B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1.3094</w:t>
            </w:r>
          </w:p>
        </w:tc>
      </w:tr>
      <w:tr w14:paraId="3FEB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1E66394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Diabetes</w:t>
            </w:r>
          </w:p>
        </w:tc>
        <w:tc>
          <w:tcPr>
            <w:tcW w:w="1295" w:type="dxa"/>
            <w:tcBorders>
              <w:top w:val="nil"/>
              <w:left w:val="nil"/>
              <w:bottom w:val="nil"/>
              <w:right w:val="nil"/>
            </w:tcBorders>
            <w:shd w:val="clear" w:color="auto" w:fill="auto"/>
            <w:noWrap/>
            <w:vAlign w:val="center"/>
          </w:tcPr>
          <w:p w14:paraId="636526E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2.8248</w:t>
            </w:r>
          </w:p>
        </w:tc>
        <w:tc>
          <w:tcPr>
            <w:tcW w:w="1000" w:type="dxa"/>
            <w:tcBorders>
              <w:top w:val="nil"/>
              <w:left w:val="nil"/>
              <w:bottom w:val="nil"/>
              <w:right w:val="nil"/>
            </w:tcBorders>
            <w:shd w:val="clear" w:color="auto" w:fill="auto"/>
            <w:noWrap/>
            <w:vAlign w:val="center"/>
          </w:tcPr>
          <w:p w14:paraId="4826699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3BE68F5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1.6807</w:t>
            </w:r>
          </w:p>
        </w:tc>
      </w:tr>
      <w:tr w14:paraId="44EAB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2F876EE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Kidney disease</w:t>
            </w:r>
          </w:p>
        </w:tc>
        <w:tc>
          <w:tcPr>
            <w:tcW w:w="1295" w:type="dxa"/>
            <w:tcBorders>
              <w:top w:val="nil"/>
              <w:left w:val="nil"/>
              <w:bottom w:val="nil"/>
              <w:right w:val="nil"/>
            </w:tcBorders>
            <w:shd w:val="clear" w:color="auto" w:fill="auto"/>
            <w:noWrap/>
            <w:vAlign w:val="center"/>
          </w:tcPr>
          <w:p w14:paraId="64A4C0C5">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1.0188</w:t>
            </w:r>
          </w:p>
        </w:tc>
        <w:tc>
          <w:tcPr>
            <w:tcW w:w="1000" w:type="dxa"/>
            <w:tcBorders>
              <w:top w:val="nil"/>
              <w:left w:val="nil"/>
              <w:bottom w:val="nil"/>
              <w:right w:val="nil"/>
            </w:tcBorders>
            <w:shd w:val="clear" w:color="auto" w:fill="auto"/>
            <w:noWrap/>
            <w:vAlign w:val="center"/>
          </w:tcPr>
          <w:p w14:paraId="7D119580">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15298D9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1.0094</w:t>
            </w:r>
          </w:p>
        </w:tc>
      </w:tr>
      <w:tr w14:paraId="3C9BF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6925D696">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Liver disease</w:t>
            </w:r>
          </w:p>
        </w:tc>
        <w:tc>
          <w:tcPr>
            <w:tcW w:w="1295" w:type="dxa"/>
            <w:tcBorders>
              <w:top w:val="nil"/>
              <w:left w:val="nil"/>
              <w:bottom w:val="nil"/>
              <w:right w:val="nil"/>
            </w:tcBorders>
            <w:shd w:val="clear" w:color="auto" w:fill="auto"/>
            <w:noWrap/>
            <w:vAlign w:val="center"/>
          </w:tcPr>
          <w:p w14:paraId="0D7F00F5">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1.0233</w:t>
            </w:r>
          </w:p>
        </w:tc>
        <w:tc>
          <w:tcPr>
            <w:tcW w:w="1000" w:type="dxa"/>
            <w:tcBorders>
              <w:top w:val="nil"/>
              <w:left w:val="nil"/>
              <w:bottom w:val="nil"/>
              <w:right w:val="nil"/>
            </w:tcBorders>
            <w:shd w:val="clear" w:color="auto" w:fill="auto"/>
            <w:noWrap/>
            <w:vAlign w:val="center"/>
          </w:tcPr>
          <w:p w14:paraId="58061A1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0E68FF3B">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1.0116</w:t>
            </w:r>
          </w:p>
        </w:tc>
      </w:tr>
      <w:tr w14:paraId="0670E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685FCD7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Antihypertensive medication use</w:t>
            </w:r>
          </w:p>
        </w:tc>
        <w:tc>
          <w:tcPr>
            <w:tcW w:w="1295" w:type="dxa"/>
            <w:tcBorders>
              <w:top w:val="nil"/>
              <w:left w:val="nil"/>
              <w:bottom w:val="nil"/>
              <w:right w:val="nil"/>
            </w:tcBorders>
            <w:shd w:val="clear" w:color="auto" w:fill="auto"/>
            <w:noWrap/>
            <w:vAlign w:val="center"/>
          </w:tcPr>
          <w:p w14:paraId="54E96C9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2.0351</w:t>
            </w:r>
          </w:p>
        </w:tc>
        <w:tc>
          <w:tcPr>
            <w:tcW w:w="1000" w:type="dxa"/>
            <w:tcBorders>
              <w:top w:val="nil"/>
              <w:left w:val="nil"/>
              <w:bottom w:val="nil"/>
              <w:right w:val="nil"/>
            </w:tcBorders>
            <w:shd w:val="clear" w:color="auto" w:fill="auto"/>
            <w:noWrap/>
            <w:vAlign w:val="center"/>
          </w:tcPr>
          <w:p w14:paraId="4EF1A637">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21A4548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1.4266</w:t>
            </w:r>
          </w:p>
        </w:tc>
      </w:tr>
      <w:tr w14:paraId="21522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1AE1DBE3">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Lipid-lowering medication use</w:t>
            </w:r>
          </w:p>
        </w:tc>
        <w:tc>
          <w:tcPr>
            <w:tcW w:w="1295" w:type="dxa"/>
            <w:tcBorders>
              <w:top w:val="nil"/>
              <w:left w:val="nil"/>
              <w:bottom w:val="nil"/>
              <w:right w:val="nil"/>
            </w:tcBorders>
            <w:shd w:val="clear" w:color="auto" w:fill="auto"/>
            <w:noWrap/>
            <w:vAlign w:val="center"/>
          </w:tcPr>
          <w:p w14:paraId="7C0A688D">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1.6955</w:t>
            </w:r>
          </w:p>
        </w:tc>
        <w:tc>
          <w:tcPr>
            <w:tcW w:w="1000" w:type="dxa"/>
            <w:tcBorders>
              <w:top w:val="nil"/>
              <w:left w:val="nil"/>
              <w:bottom w:val="nil"/>
              <w:right w:val="nil"/>
            </w:tcBorders>
            <w:shd w:val="clear" w:color="auto" w:fill="auto"/>
            <w:noWrap/>
            <w:vAlign w:val="center"/>
          </w:tcPr>
          <w:p w14:paraId="0C0EEA21">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1C3D170B">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1.3021</w:t>
            </w:r>
          </w:p>
        </w:tc>
      </w:tr>
      <w:tr w14:paraId="4B9F9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7207588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D</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iabetes</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medication use</w:t>
            </w:r>
          </w:p>
        </w:tc>
        <w:tc>
          <w:tcPr>
            <w:tcW w:w="1295" w:type="dxa"/>
            <w:tcBorders>
              <w:top w:val="nil"/>
              <w:left w:val="nil"/>
              <w:bottom w:val="nil"/>
              <w:right w:val="nil"/>
            </w:tcBorders>
            <w:shd w:val="clear" w:color="auto" w:fill="auto"/>
            <w:noWrap/>
            <w:vAlign w:val="center"/>
          </w:tcPr>
          <w:p w14:paraId="660374AE">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1.3439</w:t>
            </w:r>
          </w:p>
        </w:tc>
        <w:tc>
          <w:tcPr>
            <w:tcW w:w="1000" w:type="dxa"/>
            <w:tcBorders>
              <w:top w:val="nil"/>
              <w:left w:val="nil"/>
              <w:bottom w:val="nil"/>
              <w:right w:val="nil"/>
            </w:tcBorders>
            <w:shd w:val="clear" w:color="auto" w:fill="auto"/>
            <w:noWrap/>
            <w:vAlign w:val="center"/>
          </w:tcPr>
          <w:p w14:paraId="2493F39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6B52E77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1.1593</w:t>
            </w:r>
          </w:p>
        </w:tc>
      </w:tr>
      <w:tr w14:paraId="78FBB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7B3D2E85">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D</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iabetes</w:t>
            </w:r>
            <w:r>
              <w:rPr>
                <w:rFonts w:hint="eastAsia"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 insulin </w:t>
            </w: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use</w:t>
            </w:r>
          </w:p>
        </w:tc>
        <w:tc>
          <w:tcPr>
            <w:tcW w:w="1295" w:type="dxa"/>
            <w:tcBorders>
              <w:top w:val="nil"/>
              <w:left w:val="nil"/>
              <w:bottom w:val="nil"/>
              <w:right w:val="nil"/>
            </w:tcBorders>
            <w:shd w:val="clear" w:color="auto" w:fill="auto"/>
            <w:noWrap/>
            <w:vAlign w:val="center"/>
          </w:tcPr>
          <w:p w14:paraId="4B478E18">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1.2594</w:t>
            </w:r>
          </w:p>
        </w:tc>
        <w:tc>
          <w:tcPr>
            <w:tcW w:w="1000" w:type="dxa"/>
            <w:tcBorders>
              <w:top w:val="nil"/>
              <w:left w:val="nil"/>
              <w:bottom w:val="nil"/>
              <w:right w:val="nil"/>
            </w:tcBorders>
            <w:shd w:val="clear" w:color="auto" w:fill="auto"/>
            <w:noWrap/>
            <w:vAlign w:val="center"/>
          </w:tcPr>
          <w:p w14:paraId="0F6C817F">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7E9C711A">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1.1222</w:t>
            </w:r>
          </w:p>
        </w:tc>
      </w:tr>
      <w:tr w14:paraId="5884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7BE5FFC0">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 xml:space="preserve">Hs-CRP </w:t>
            </w:r>
          </w:p>
        </w:tc>
        <w:tc>
          <w:tcPr>
            <w:tcW w:w="1295" w:type="dxa"/>
            <w:tcBorders>
              <w:top w:val="nil"/>
              <w:left w:val="nil"/>
              <w:bottom w:val="nil"/>
              <w:right w:val="nil"/>
            </w:tcBorders>
            <w:shd w:val="clear" w:color="auto" w:fill="auto"/>
            <w:noWrap/>
            <w:vAlign w:val="center"/>
          </w:tcPr>
          <w:p w14:paraId="33F00F47">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1.0129</w:t>
            </w:r>
          </w:p>
        </w:tc>
        <w:tc>
          <w:tcPr>
            <w:tcW w:w="1000" w:type="dxa"/>
            <w:tcBorders>
              <w:top w:val="nil"/>
              <w:left w:val="nil"/>
              <w:bottom w:val="nil"/>
              <w:right w:val="nil"/>
            </w:tcBorders>
            <w:shd w:val="clear" w:color="auto" w:fill="auto"/>
            <w:noWrap/>
            <w:vAlign w:val="center"/>
          </w:tcPr>
          <w:p w14:paraId="3A6598CB">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60E97F33">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1.0064</w:t>
            </w:r>
          </w:p>
        </w:tc>
      </w:tr>
      <w:tr w14:paraId="5E7FD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2508" w:type="dxa"/>
            <w:tcBorders>
              <w:top w:val="nil"/>
              <w:left w:val="nil"/>
              <w:bottom w:val="nil"/>
              <w:right w:val="nil"/>
            </w:tcBorders>
            <w:shd w:val="clear" w:color="auto" w:fill="auto"/>
            <w:noWrap/>
            <w:vAlign w:val="center"/>
          </w:tcPr>
          <w:p w14:paraId="678E5864">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LDL-C</w:t>
            </w:r>
          </w:p>
        </w:tc>
        <w:tc>
          <w:tcPr>
            <w:tcW w:w="1295" w:type="dxa"/>
            <w:tcBorders>
              <w:top w:val="nil"/>
              <w:left w:val="nil"/>
              <w:bottom w:val="nil"/>
              <w:right w:val="nil"/>
            </w:tcBorders>
            <w:shd w:val="clear" w:color="auto" w:fill="auto"/>
            <w:noWrap/>
            <w:vAlign w:val="center"/>
          </w:tcPr>
          <w:p w14:paraId="645656E3">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1.0418</w:t>
            </w:r>
          </w:p>
        </w:tc>
        <w:tc>
          <w:tcPr>
            <w:tcW w:w="1000" w:type="dxa"/>
            <w:tcBorders>
              <w:top w:val="nil"/>
              <w:left w:val="nil"/>
              <w:bottom w:val="nil"/>
              <w:right w:val="nil"/>
            </w:tcBorders>
            <w:shd w:val="clear" w:color="auto" w:fill="auto"/>
            <w:noWrap/>
            <w:vAlign w:val="center"/>
          </w:tcPr>
          <w:p w14:paraId="10418B5C">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w:t>
            </w:r>
          </w:p>
        </w:tc>
        <w:tc>
          <w:tcPr>
            <w:tcW w:w="2318" w:type="dxa"/>
            <w:tcBorders>
              <w:top w:val="nil"/>
              <w:left w:val="nil"/>
              <w:bottom w:val="nil"/>
              <w:right w:val="nil"/>
            </w:tcBorders>
            <w:shd w:val="clear" w:color="auto" w:fill="auto"/>
            <w:noWrap/>
            <w:vAlign w:val="center"/>
          </w:tcPr>
          <w:p w14:paraId="0A75085E">
            <w:pPr>
              <w:pBdr>
                <w:top w:val="none" w:color="000000" w:sz="0" w:space="0"/>
                <w:left w:val="none" w:color="000000" w:sz="0" w:space="0"/>
                <w:bottom w:val="none" w:color="000000" w:sz="0" w:space="0"/>
                <w:right w:val="none" w:color="000000" w:sz="0" w:space="0"/>
              </w:pBdr>
              <w:spacing w:before="100" w:after="100" w:line="240" w:lineRule="auto"/>
              <w:ind w:left="300" w:right="10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t>1.0207</w:t>
            </w:r>
          </w:p>
        </w:tc>
      </w:tr>
    </w:tbl>
    <w:p w14:paraId="01E9FB84">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b/>
          <w:bCs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bCs w:val="0"/>
          <w:iCs/>
          <w:color w:val="000000" w:themeColor="text1"/>
          <w:sz w:val="24"/>
          <w:szCs w:val="24"/>
          <w:highlight w:val="none"/>
          <w:shd w:val="clear" w:color="auto" w:fill="auto"/>
          <w:lang w:val="en-US" w:eastAsia="zh-CN"/>
          <w14:textFill>
            <w14:solidFill>
              <w14:schemeClr w14:val="tx1"/>
            </w14:solidFill>
          </w14:textFill>
        </w:rPr>
        <w:t>Notes:</w:t>
      </w:r>
    </w:p>
    <w:p w14:paraId="2CE9DE6F">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generalized variance inflation factor; Df: degrees of freedom. GVIF^(1/(2×Df)) was used to assess multicollinearity. For variables with multiple degrees of freedom (e.g., educational level, smoking status, and drinking status), the largest GVIF and corresponding GVIF^(1/(2×Df)) were reported.</w:t>
      </w:r>
    </w:p>
    <w:p w14:paraId="734D17BE">
      <w:pPr>
        <w:keepLines w:val="0"/>
        <w:pageBreakBefore w:val="0"/>
        <w:kinsoku/>
        <w:overflowPunct/>
        <w:autoSpaceDE/>
        <w:autoSpaceDN/>
        <w:bidi w:val="0"/>
        <w:adjustRightInd/>
        <w:snapToGrid/>
        <w:spacing w:line="480" w:lineRule="auto"/>
        <w:ind w:left="0" w:leftChars="0" w:firstLine="0" w:firstLineChars="0"/>
        <w:jc w:val="left"/>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p>
    <w:p w14:paraId="53475215">
      <w:pPr>
        <w:pStyle w:val="10"/>
        <w:keepNext w:val="0"/>
        <w:keepLines w:val="0"/>
        <w:pageBreakBefore w:val="0"/>
        <w:widowControl w:val="0"/>
        <w:tabs>
          <w:tab w:val="left" w:pos="384"/>
          <w:tab w:val="clear" w:pos="264"/>
        </w:tabs>
        <w:kinsoku/>
        <w:wordWrap w:val="0"/>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bCs w:val="0"/>
          <w:i w:val="0"/>
          <w:iCs/>
          <w:color w:val="000000" w:themeColor="text1"/>
          <w:sz w:val="24"/>
          <w:szCs w:val="24"/>
          <w:highlight w:val="none"/>
          <w:shd w:val="clear" w:color="auto" w:fill="auto"/>
          <w:lang w:val="en-US" w:eastAsia="zh-CN"/>
          <w14:textFill>
            <w14:solidFill>
              <w14:schemeClr w14:val="tx1"/>
            </w14:solidFill>
          </w14:textFill>
        </w:rPr>
        <w:t xml:space="preserve">Figure S1. </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Kaplan</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Meier Curves for CVD</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 xml:space="preserve">Free Survival by </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CumMETS-VF</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 xml:space="preserve"> Quartiles (Cancer Cases Excluded)</w:t>
      </w:r>
      <w: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drawing>
          <wp:inline distT="0" distB="0" distL="114300" distR="114300">
            <wp:extent cx="5266690" cy="2703195"/>
            <wp:effectExtent l="0" t="0" r="635" b="1905"/>
            <wp:docPr id="3" name="图片 3" descr="KM曲线-排除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KM曲线-排除cancer"/>
                    <pic:cNvPicPr>
                      <a:picLocks noChangeAspect="1"/>
                    </pic:cNvPicPr>
                  </pic:nvPicPr>
                  <pic:blipFill>
                    <a:blip r:embed="rId5"/>
                    <a:stretch>
                      <a:fillRect/>
                    </a:stretch>
                  </pic:blipFill>
                  <pic:spPr>
                    <a:xfrm>
                      <a:off x="0" y="0"/>
                      <a:ext cx="5266690" cy="2703195"/>
                    </a:xfrm>
                    <a:prstGeom prst="rect">
                      <a:avLst/>
                    </a:prstGeom>
                  </pic:spPr>
                </pic:pic>
              </a:graphicData>
            </a:graphic>
          </wp:inline>
        </w:drawing>
      </w:r>
    </w:p>
    <w:p w14:paraId="2A3821CC">
      <w:pPr>
        <w:pStyle w:val="10"/>
        <w:tabs>
          <w:tab w:val="left" w:pos="384"/>
          <w:tab w:val="clear" w:pos="264"/>
        </w:tabs>
        <w:bidi w:val="0"/>
        <w:spacing w:line="480" w:lineRule="auto"/>
        <w:jc w:val="left"/>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Kaplan</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Meier survival curves showing cumulative CVD</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 xml:space="preserve">free survival rates stratified by </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 xml:space="preserve"> exposure quartiles (Q1</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Q4) in individuals with CKM syndrome stages 0</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3, with cancer cases excluded from the analysis. The log</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rank test indicated significant differences between groups (</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P &lt;</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 xml:space="preserve">0.0001). This sensitivity analysis demonstrates the robustness of the main findings when cancer cases are removed, confirming that the association between </w:t>
      </w:r>
      <w:r>
        <w:rPr>
          <w:rFonts w:hint="eastAsia" w:ascii="Times New Roman" w:hAnsi="Times New Roman" w:cs="Times New Roman"/>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color w:val="000000" w:themeColor="text1"/>
          <w:kern w:val="2"/>
          <w:sz w:val="24"/>
          <w:szCs w:val="24"/>
          <w:highlight w:val="none"/>
          <w:shd w:val="clear" w:color="auto" w:fill="auto"/>
          <w:lang w:val="en-US" w:eastAsia="zh-CN" w:bidi="ar-SA"/>
          <w14:textFill>
            <w14:solidFill>
              <w14:schemeClr w14:val="tx1"/>
            </w14:solidFill>
          </w14:textFill>
        </w:rPr>
        <w:t xml:space="preserve"> and CVD risk remains statistically significant independent of cancer history.</w:t>
      </w:r>
    </w:p>
    <w:p w14:paraId="75EE54F7">
      <w:pPr>
        <w:keepLines w:val="0"/>
        <w:pageBreakBefore w:val="0"/>
        <w:kinsoku/>
        <w:overflowPunct/>
        <w:autoSpaceDE/>
        <w:autoSpaceDN/>
        <w:bidi w:val="0"/>
        <w:adjustRightInd/>
        <w:snapToGrid/>
        <w:spacing w:line="480" w:lineRule="auto"/>
        <w:jc w:val="cente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inorEastAsia"/>
          <w:b/>
          <w:bCs w:val="0"/>
          <w:i w:val="0"/>
          <w:iCs/>
          <w:color w:val="000000" w:themeColor="text1"/>
          <w:kern w:val="2"/>
          <w:sz w:val="24"/>
          <w:szCs w:val="24"/>
          <w:highlight w:val="none"/>
          <w:shd w:val="clear" w:color="auto" w:fill="auto"/>
          <w:lang w:val="en-US" w:eastAsia="zh-CN" w:bidi="ar-SA"/>
          <w14:textFill>
            <w14:solidFill>
              <w14:schemeClr w14:val="tx1"/>
            </w14:solidFill>
          </w14:textFill>
        </w:rPr>
        <w:t xml:space="preserve">Figure S2.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Dose</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Response Relationship Between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Exposure and CVD Risk (Cancer Cases Excluded).</w:t>
      </w:r>
    </w:p>
    <w:p w14:paraId="5CAC2687">
      <w:pPr>
        <w:keepNext w:val="0"/>
        <w:keepLines w:val="0"/>
        <w:pageBreakBefore w:val="0"/>
        <w:widowControl w:val="0"/>
        <w:kinsoku/>
        <w:wordWrap w:val="0"/>
        <w:overflowPunct/>
        <w:topLinePunct w:val="0"/>
        <w:autoSpaceDE/>
        <w:autoSpaceDN/>
        <w:bidi w:val="0"/>
        <w:adjustRightInd/>
        <w:snapToGrid/>
        <w:spacing w:line="480" w:lineRule="auto"/>
        <w:jc w:val="left"/>
        <w:textAlignment w:val="auto"/>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drawing>
          <wp:inline distT="0" distB="0" distL="114300" distR="114300">
            <wp:extent cx="5266690" cy="2706370"/>
            <wp:effectExtent l="0" t="0" r="635" b="8255"/>
            <wp:docPr id="4" name="图片 4" descr="RCS图-排除糖尿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CS图-排除糖尿病"/>
                    <pic:cNvPicPr>
                      <a:picLocks noChangeAspect="1"/>
                    </pic:cNvPicPr>
                  </pic:nvPicPr>
                  <pic:blipFill>
                    <a:blip r:embed="rId6"/>
                    <a:stretch>
                      <a:fillRect/>
                    </a:stretch>
                  </pic:blipFill>
                  <pic:spPr>
                    <a:xfrm>
                      <a:off x="0" y="0"/>
                      <a:ext cx="5266690" cy="2706370"/>
                    </a:xfrm>
                    <a:prstGeom prst="rect">
                      <a:avLst/>
                    </a:prstGeom>
                  </pic:spPr>
                </pic:pic>
              </a:graphicData>
            </a:graphic>
          </wp:inline>
        </w:drawing>
      </w:r>
    </w:p>
    <w:p w14:paraId="40B01687">
      <w:pPr>
        <w:keepLines w:val="0"/>
        <w:pageBreakBefore w:val="0"/>
        <w:kinsoku/>
        <w:overflowPunct/>
        <w:autoSpaceDE/>
        <w:autoSpaceDN/>
        <w:bidi w:val="0"/>
        <w:adjustRightInd/>
        <w:snapToGrid/>
        <w:spacing w:line="480" w:lineRule="auto"/>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Restricted cubic spline curves illustrating the dose</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response relationship between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exposure and CVD risk with cancer cases excluded from the analysis. Overall analysis used 4 knots at the 5th, 35th, 65th, and 95th percentiles.</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The reference point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HR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1.0) is set at the median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Solid lines represent hazard ratios (HRs); shaded areas represent 95% confidence intervals (CIs).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P values indicate overall association (P for overall) and non</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linearity (P for nonlinearity). This sensitivity analysis confirms the robustness of the dose</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response relationship when cancer cases are excluded from the analysis.</w:t>
      </w:r>
    </w:p>
    <w:p w14:paraId="1DBA0921">
      <w:pPr>
        <w:pStyle w:val="11"/>
        <w:keepNext/>
        <w:keepLines w:val="0"/>
        <w:pageBreakBefore w:val="0"/>
        <w:widowControl/>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firstLine="0" w:firstLineChars="0"/>
        <w:jc w:val="cente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 w:val="0"/>
          <w:iCs/>
          <w:color w:val="000000" w:themeColor="text1"/>
          <w:sz w:val="24"/>
          <w:szCs w:val="24"/>
          <w:highlight w:val="none"/>
          <w:shd w:val="clear" w:color="auto" w:fill="auto"/>
          <w:lang w:val="en-US" w:eastAsia="en-US"/>
          <w14:textFill>
            <w14:solidFill>
              <w14:schemeClr w14:val="tx1"/>
            </w14:solidFill>
          </w14:textFill>
        </w:rPr>
        <w:t xml:space="preserve">Table </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S</w:t>
      </w:r>
      <w:r>
        <w:rPr>
          <w:rFonts w:hint="eastAsia"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7</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Association of Cumulative Exposure to METS</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VF with the Risk of CVD in a CKM Syndrome Stage 0</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3 Population After Excluding Individuals With Any Missing Data or Cancer</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1733"/>
        <w:gridCol w:w="1759"/>
        <w:gridCol w:w="1759"/>
        <w:gridCol w:w="1761"/>
      </w:tblGrid>
      <w:tr w14:paraId="374B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single" w:color="000000" w:sz="12" w:space="0"/>
              <w:left w:val="nil"/>
              <w:bottom w:val="single" w:color="000000" w:sz="4" w:space="0"/>
              <w:right w:val="nil"/>
              <w:tl2br w:val="nil"/>
            </w:tcBorders>
            <w:shd w:val="clear" w:color="auto" w:fill="FFFFFF"/>
            <w:vAlign w:val="center"/>
          </w:tcPr>
          <w:p w14:paraId="5791F543">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c>
          <w:tcPr>
            <w:tcW w:w="1733" w:type="dxa"/>
            <w:tcBorders>
              <w:top w:val="single" w:color="000000" w:sz="12" w:space="0"/>
              <w:left w:val="nil"/>
              <w:bottom w:val="single" w:color="000000" w:sz="4" w:space="0"/>
              <w:right w:val="nil"/>
            </w:tcBorders>
            <w:shd w:val="clear" w:color="auto" w:fill="FFFFFF"/>
            <w:vAlign w:val="center"/>
          </w:tcPr>
          <w:p w14:paraId="3B64F95E">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c>
          <w:tcPr>
            <w:tcW w:w="5279" w:type="dxa"/>
            <w:gridSpan w:val="3"/>
            <w:tcBorders>
              <w:top w:val="single" w:color="000000" w:sz="12" w:space="0"/>
              <w:left w:val="nil"/>
              <w:bottom w:val="single" w:color="000000" w:sz="4" w:space="0"/>
              <w:right w:val="nil"/>
            </w:tcBorders>
            <w:shd w:val="clear" w:color="auto" w:fill="FFFFFF"/>
            <w:vAlign w:val="center"/>
          </w:tcPr>
          <w:p w14:paraId="70358F49">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HR (95% CI)</w:t>
            </w:r>
          </w:p>
        </w:tc>
      </w:tr>
      <w:tr w14:paraId="7FAE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single" w:color="000000" w:sz="4" w:space="0"/>
              <w:left w:val="nil"/>
              <w:bottom w:val="nil"/>
              <w:right w:val="nil"/>
            </w:tcBorders>
            <w:shd w:val="clear" w:color="auto" w:fill="FFFFFF"/>
            <w:vAlign w:val="center"/>
          </w:tcPr>
          <w:p w14:paraId="6FC9B157">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Quartile</w:t>
            </w:r>
          </w:p>
        </w:tc>
        <w:tc>
          <w:tcPr>
            <w:tcW w:w="1733" w:type="dxa"/>
            <w:tcBorders>
              <w:top w:val="single" w:color="000000" w:sz="4" w:space="0"/>
              <w:left w:val="nil"/>
              <w:bottom w:val="nil"/>
              <w:right w:val="nil"/>
            </w:tcBorders>
            <w:shd w:val="clear" w:color="auto" w:fill="FFFFFF"/>
            <w:vAlign w:val="center"/>
          </w:tcPr>
          <w:p w14:paraId="724BE9DF">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Cases/Total</w:t>
            </w:r>
          </w:p>
        </w:tc>
        <w:tc>
          <w:tcPr>
            <w:tcW w:w="1759" w:type="dxa"/>
            <w:tcBorders>
              <w:top w:val="single" w:color="000000" w:sz="4" w:space="0"/>
              <w:left w:val="nil"/>
              <w:bottom w:val="nil"/>
              <w:right w:val="nil"/>
            </w:tcBorders>
            <w:shd w:val="clear" w:color="auto" w:fill="FFFFFF"/>
            <w:vAlign w:val="center"/>
          </w:tcPr>
          <w:p w14:paraId="121F69DA">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Model 1</w:t>
            </w:r>
          </w:p>
        </w:tc>
        <w:tc>
          <w:tcPr>
            <w:tcW w:w="1759" w:type="dxa"/>
            <w:tcBorders>
              <w:top w:val="single" w:color="000000" w:sz="4" w:space="0"/>
              <w:left w:val="nil"/>
              <w:bottom w:val="nil"/>
              <w:right w:val="nil"/>
            </w:tcBorders>
            <w:shd w:val="clear" w:color="auto" w:fill="FFFFFF"/>
            <w:vAlign w:val="center"/>
          </w:tcPr>
          <w:p w14:paraId="771CE59F">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Model 2</w:t>
            </w:r>
          </w:p>
        </w:tc>
        <w:tc>
          <w:tcPr>
            <w:tcW w:w="1761" w:type="dxa"/>
            <w:tcBorders>
              <w:top w:val="single" w:color="000000" w:sz="4" w:space="0"/>
              <w:left w:val="nil"/>
              <w:bottom w:val="nil"/>
              <w:right w:val="nil"/>
            </w:tcBorders>
            <w:shd w:val="clear" w:color="auto" w:fill="FFFFFF"/>
            <w:vAlign w:val="center"/>
          </w:tcPr>
          <w:p w14:paraId="3FE6FEF0">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Model 3</w:t>
            </w:r>
          </w:p>
        </w:tc>
      </w:tr>
      <w:tr w14:paraId="2117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nil"/>
              <w:left w:val="nil"/>
              <w:bottom w:val="nil"/>
              <w:right w:val="nil"/>
            </w:tcBorders>
            <w:shd w:val="clear" w:color="auto" w:fill="FFFFFF"/>
            <w:vAlign w:val="center"/>
          </w:tcPr>
          <w:p w14:paraId="47139EDC">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Q1 (Ref)</w:t>
            </w:r>
          </w:p>
        </w:tc>
        <w:tc>
          <w:tcPr>
            <w:tcW w:w="1733" w:type="dxa"/>
            <w:tcBorders>
              <w:top w:val="nil"/>
              <w:left w:val="nil"/>
              <w:bottom w:val="nil"/>
              <w:right w:val="nil"/>
            </w:tcBorders>
            <w:shd w:val="clear" w:color="auto" w:fill="FFFFFF"/>
            <w:vAlign w:val="top"/>
          </w:tcPr>
          <w:p w14:paraId="135E0C73">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126 / 821</w:t>
            </w:r>
          </w:p>
        </w:tc>
        <w:tc>
          <w:tcPr>
            <w:tcW w:w="1759" w:type="dxa"/>
            <w:tcBorders>
              <w:top w:val="nil"/>
              <w:left w:val="nil"/>
              <w:bottom w:val="nil"/>
              <w:right w:val="nil"/>
            </w:tcBorders>
            <w:shd w:val="clear" w:color="auto" w:fill="FFFFFF"/>
            <w:vAlign w:val="center"/>
          </w:tcPr>
          <w:p w14:paraId="1D567C49">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Reference</w:t>
            </w:r>
          </w:p>
        </w:tc>
        <w:tc>
          <w:tcPr>
            <w:tcW w:w="1759" w:type="dxa"/>
            <w:tcBorders>
              <w:top w:val="nil"/>
              <w:left w:val="nil"/>
              <w:bottom w:val="nil"/>
              <w:right w:val="nil"/>
            </w:tcBorders>
            <w:shd w:val="clear" w:color="auto" w:fill="FFFFFF"/>
            <w:vAlign w:val="center"/>
          </w:tcPr>
          <w:p w14:paraId="503458A5">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Reference</w:t>
            </w:r>
          </w:p>
        </w:tc>
        <w:tc>
          <w:tcPr>
            <w:tcW w:w="1761" w:type="dxa"/>
            <w:tcBorders>
              <w:top w:val="nil"/>
              <w:left w:val="nil"/>
              <w:bottom w:val="nil"/>
              <w:right w:val="nil"/>
            </w:tcBorders>
            <w:shd w:val="clear" w:color="auto" w:fill="FFFFFF"/>
            <w:vAlign w:val="center"/>
          </w:tcPr>
          <w:p w14:paraId="7ED269AA">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Reference</w:t>
            </w:r>
          </w:p>
        </w:tc>
      </w:tr>
      <w:tr w14:paraId="727D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nil"/>
              <w:left w:val="nil"/>
              <w:bottom w:val="nil"/>
              <w:right w:val="nil"/>
            </w:tcBorders>
            <w:shd w:val="clear" w:color="auto" w:fill="FFFFFF"/>
            <w:vAlign w:val="center"/>
          </w:tcPr>
          <w:p w14:paraId="1E26478C">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Q2</w:t>
            </w:r>
          </w:p>
        </w:tc>
        <w:tc>
          <w:tcPr>
            <w:tcW w:w="1733" w:type="dxa"/>
            <w:tcBorders>
              <w:top w:val="nil"/>
              <w:left w:val="nil"/>
              <w:bottom w:val="nil"/>
              <w:right w:val="nil"/>
            </w:tcBorders>
            <w:shd w:val="clear" w:color="auto" w:fill="FFFFFF"/>
            <w:vAlign w:val="top"/>
          </w:tcPr>
          <w:p w14:paraId="60B48E8E">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133 / 829</w:t>
            </w:r>
          </w:p>
        </w:tc>
        <w:tc>
          <w:tcPr>
            <w:tcW w:w="1759" w:type="dxa"/>
            <w:tcBorders>
              <w:top w:val="nil"/>
              <w:left w:val="nil"/>
              <w:bottom w:val="nil"/>
              <w:right w:val="nil"/>
            </w:tcBorders>
            <w:shd w:val="clear" w:color="auto" w:fill="FFFFFF"/>
            <w:vAlign w:val="top"/>
          </w:tcPr>
          <w:p w14:paraId="211D086B">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1.03 (0.81, 1.31)</w:t>
            </w:r>
          </w:p>
        </w:tc>
        <w:tc>
          <w:tcPr>
            <w:tcW w:w="1759" w:type="dxa"/>
            <w:tcBorders>
              <w:top w:val="nil"/>
              <w:left w:val="nil"/>
              <w:bottom w:val="nil"/>
              <w:right w:val="nil"/>
            </w:tcBorders>
            <w:shd w:val="clear" w:color="auto" w:fill="FFFFFF"/>
            <w:vAlign w:val="top"/>
          </w:tcPr>
          <w:p w14:paraId="0028DF68">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1.01 (0.79, 1.29)</w:t>
            </w:r>
          </w:p>
        </w:tc>
        <w:tc>
          <w:tcPr>
            <w:tcW w:w="1761" w:type="dxa"/>
            <w:tcBorders>
              <w:top w:val="nil"/>
              <w:left w:val="nil"/>
              <w:bottom w:val="nil"/>
              <w:right w:val="nil"/>
            </w:tcBorders>
            <w:shd w:val="clear" w:color="auto" w:fill="FFFFFF"/>
            <w:vAlign w:val="top"/>
          </w:tcPr>
          <w:p w14:paraId="4F16A105">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1.00 (0.78, 1.28)</w:t>
            </w:r>
          </w:p>
        </w:tc>
      </w:tr>
      <w:tr w14:paraId="21C8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nil"/>
              <w:left w:val="nil"/>
              <w:bottom w:val="nil"/>
              <w:right w:val="nil"/>
            </w:tcBorders>
            <w:shd w:val="clear" w:color="auto" w:fill="FFFFFF"/>
            <w:vAlign w:val="center"/>
          </w:tcPr>
          <w:p w14:paraId="10709F24">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Q3</w:t>
            </w:r>
          </w:p>
        </w:tc>
        <w:tc>
          <w:tcPr>
            <w:tcW w:w="1733" w:type="dxa"/>
            <w:tcBorders>
              <w:top w:val="nil"/>
              <w:left w:val="nil"/>
              <w:bottom w:val="nil"/>
              <w:right w:val="nil"/>
            </w:tcBorders>
            <w:shd w:val="clear" w:color="auto" w:fill="FFFFFF"/>
            <w:vAlign w:val="top"/>
          </w:tcPr>
          <w:p w14:paraId="2D7A3B0A">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158 / 818</w:t>
            </w:r>
          </w:p>
        </w:tc>
        <w:tc>
          <w:tcPr>
            <w:tcW w:w="1759" w:type="dxa"/>
            <w:tcBorders>
              <w:top w:val="nil"/>
              <w:left w:val="nil"/>
              <w:bottom w:val="nil"/>
              <w:right w:val="nil"/>
            </w:tcBorders>
            <w:shd w:val="clear" w:color="auto" w:fill="FFFFFF"/>
            <w:vAlign w:val="top"/>
          </w:tcPr>
          <w:p w14:paraId="5E5744B9">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1.23 (0.97, 1.55)</w:t>
            </w:r>
          </w:p>
        </w:tc>
        <w:tc>
          <w:tcPr>
            <w:tcW w:w="1759" w:type="dxa"/>
            <w:tcBorders>
              <w:top w:val="nil"/>
              <w:left w:val="nil"/>
              <w:bottom w:val="nil"/>
              <w:right w:val="nil"/>
            </w:tcBorders>
            <w:shd w:val="clear" w:color="auto" w:fill="FFFFFF"/>
            <w:vAlign w:val="top"/>
          </w:tcPr>
          <w:p w14:paraId="595A62D2">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1.16 (0.92, 1.48)</w:t>
            </w:r>
          </w:p>
        </w:tc>
        <w:tc>
          <w:tcPr>
            <w:tcW w:w="1761" w:type="dxa"/>
            <w:tcBorders>
              <w:top w:val="nil"/>
              <w:left w:val="nil"/>
              <w:bottom w:val="nil"/>
              <w:right w:val="nil"/>
            </w:tcBorders>
            <w:shd w:val="clear" w:color="auto" w:fill="FFFFFF"/>
            <w:vAlign w:val="top"/>
          </w:tcPr>
          <w:p w14:paraId="60A13C7F">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1.09 (0.86, 1.40)</w:t>
            </w:r>
          </w:p>
        </w:tc>
      </w:tr>
      <w:tr w14:paraId="0DDE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nil"/>
              <w:left w:val="nil"/>
              <w:bottom w:val="nil"/>
              <w:right w:val="nil"/>
            </w:tcBorders>
            <w:shd w:val="clear" w:color="auto" w:fill="FFFFFF"/>
            <w:vAlign w:val="center"/>
          </w:tcPr>
          <w:p w14:paraId="15C0632E">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Q4</w:t>
            </w:r>
          </w:p>
        </w:tc>
        <w:tc>
          <w:tcPr>
            <w:tcW w:w="1733" w:type="dxa"/>
            <w:tcBorders>
              <w:top w:val="nil"/>
              <w:left w:val="nil"/>
              <w:bottom w:val="nil"/>
              <w:right w:val="nil"/>
            </w:tcBorders>
            <w:shd w:val="clear" w:color="auto" w:fill="FFFFFF"/>
            <w:vAlign w:val="top"/>
          </w:tcPr>
          <w:p w14:paraId="0D5249E7">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208 / 815</w:t>
            </w:r>
          </w:p>
        </w:tc>
        <w:tc>
          <w:tcPr>
            <w:tcW w:w="1759" w:type="dxa"/>
            <w:tcBorders>
              <w:top w:val="nil"/>
              <w:left w:val="nil"/>
              <w:bottom w:val="nil"/>
              <w:right w:val="nil"/>
            </w:tcBorders>
            <w:shd w:val="clear" w:color="auto" w:fill="FFFFFF"/>
            <w:vAlign w:val="top"/>
          </w:tcPr>
          <w:p w14:paraId="3BBD6F72">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1.70 (1.36, 2.12)</w:t>
            </w:r>
          </w:p>
        </w:tc>
        <w:tc>
          <w:tcPr>
            <w:tcW w:w="1759" w:type="dxa"/>
            <w:tcBorders>
              <w:top w:val="nil"/>
              <w:left w:val="nil"/>
              <w:bottom w:val="nil"/>
              <w:right w:val="nil"/>
            </w:tcBorders>
            <w:shd w:val="clear" w:color="auto" w:fill="FFFFFF"/>
            <w:vAlign w:val="top"/>
          </w:tcPr>
          <w:p w14:paraId="1245081D">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1.52 (1.20, 1.92)</w:t>
            </w:r>
          </w:p>
        </w:tc>
        <w:tc>
          <w:tcPr>
            <w:tcW w:w="1761" w:type="dxa"/>
            <w:tcBorders>
              <w:top w:val="nil"/>
              <w:left w:val="nil"/>
              <w:bottom w:val="nil"/>
              <w:right w:val="nil"/>
            </w:tcBorders>
            <w:shd w:val="clear" w:color="auto" w:fill="FFFFFF"/>
            <w:vAlign w:val="top"/>
          </w:tcPr>
          <w:p w14:paraId="6EDA9669">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1.31 (1.02, 1.69)</w:t>
            </w:r>
          </w:p>
        </w:tc>
      </w:tr>
      <w:tr w14:paraId="0BF2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nil"/>
              <w:left w:val="nil"/>
              <w:bottom w:val="nil"/>
              <w:right w:val="nil"/>
            </w:tcBorders>
            <w:shd w:val="clear" w:color="auto" w:fill="FFFFFF"/>
            <w:vAlign w:val="center"/>
          </w:tcPr>
          <w:p w14:paraId="7F05CDA3">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P for trend</w:t>
            </w:r>
          </w:p>
        </w:tc>
        <w:tc>
          <w:tcPr>
            <w:tcW w:w="1733" w:type="dxa"/>
            <w:tcBorders>
              <w:top w:val="nil"/>
              <w:left w:val="nil"/>
              <w:bottom w:val="nil"/>
              <w:right w:val="nil"/>
            </w:tcBorders>
            <w:shd w:val="clear" w:color="auto" w:fill="FFFFFF"/>
            <w:vAlign w:val="center"/>
          </w:tcPr>
          <w:p w14:paraId="6F0B084F">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c>
          <w:tcPr>
            <w:tcW w:w="1759" w:type="dxa"/>
            <w:tcBorders>
              <w:top w:val="nil"/>
              <w:left w:val="nil"/>
              <w:bottom w:val="nil"/>
              <w:right w:val="nil"/>
            </w:tcBorders>
            <w:shd w:val="clear" w:color="auto" w:fill="FFFFFF"/>
            <w:vAlign w:val="center"/>
          </w:tcPr>
          <w:p w14:paraId="5AEC1F1C">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&lt;0.001</w:t>
            </w:r>
          </w:p>
        </w:tc>
        <w:tc>
          <w:tcPr>
            <w:tcW w:w="1759" w:type="dxa"/>
            <w:tcBorders>
              <w:top w:val="nil"/>
              <w:left w:val="nil"/>
              <w:bottom w:val="nil"/>
              <w:right w:val="nil"/>
            </w:tcBorders>
            <w:shd w:val="clear" w:color="auto" w:fill="FFFFFF"/>
            <w:vAlign w:val="center"/>
          </w:tcPr>
          <w:p w14:paraId="31151346">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&lt;0.001</w:t>
            </w:r>
          </w:p>
        </w:tc>
        <w:tc>
          <w:tcPr>
            <w:tcW w:w="1761" w:type="dxa"/>
            <w:tcBorders>
              <w:top w:val="nil"/>
              <w:left w:val="nil"/>
              <w:bottom w:val="nil"/>
              <w:right w:val="nil"/>
            </w:tcBorders>
            <w:shd w:val="clear" w:color="auto" w:fill="FFFFFF"/>
            <w:vAlign w:val="center"/>
          </w:tcPr>
          <w:p w14:paraId="03E2645D">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&lt;0.001</w:t>
            </w:r>
          </w:p>
        </w:tc>
      </w:tr>
      <w:tr w14:paraId="0480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10" w:type="dxa"/>
            <w:tcBorders>
              <w:top w:val="nil"/>
              <w:left w:val="nil"/>
              <w:bottom w:val="single" w:color="000000" w:sz="12" w:space="0"/>
              <w:right w:val="nil"/>
            </w:tcBorders>
            <w:shd w:val="clear" w:color="auto" w:fill="FFFFFF"/>
            <w:vAlign w:val="center"/>
          </w:tcPr>
          <w:p w14:paraId="58CCED25">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Events/N</w:t>
            </w:r>
          </w:p>
        </w:tc>
        <w:tc>
          <w:tcPr>
            <w:tcW w:w="1733" w:type="dxa"/>
            <w:tcBorders>
              <w:top w:val="nil"/>
              <w:left w:val="nil"/>
              <w:bottom w:val="single" w:color="000000" w:sz="12" w:space="0"/>
              <w:right w:val="nil"/>
            </w:tcBorders>
            <w:shd w:val="clear" w:color="auto" w:fill="FFFFFF"/>
            <w:vAlign w:val="center"/>
          </w:tcPr>
          <w:p w14:paraId="2D8159E3">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6</w:t>
            </w: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25</w:t>
            </w: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 xml:space="preserve">/ </w:t>
            </w:r>
            <w:r>
              <w:rPr>
                <w:rFonts w:hint="default" w:ascii="Times New Roman" w:hAnsi="Times New Roman" w:eastAsia="Times New Roman" w:cs="Times New Roman"/>
                <w:color w:val="000000" w:themeColor="text1"/>
                <w:sz w:val="20"/>
                <w:szCs w:val="20"/>
                <w:highlight w:val="none"/>
                <w:shd w:val="clear" w:color="auto" w:fill="auto"/>
                <w:lang w:val="en-US" w:eastAsia="zh-CN"/>
                <w14:textFill>
                  <w14:solidFill>
                    <w14:schemeClr w14:val="tx1"/>
                  </w14:solidFill>
                </w14:textFill>
              </w:rPr>
              <w:t>3283</w:t>
            </w:r>
            <w:r>
              <w:rPr>
                <w:rFonts w:hint="default" w:ascii="Times New Roman" w:hAnsi="Times New Roman" w:eastAsia="Times New Roman" w:cs="Times New Roman"/>
                <w:color w:val="000000" w:themeColor="text1"/>
                <w:sz w:val="20"/>
                <w:szCs w:val="20"/>
                <w:highlight w:val="none"/>
                <w:shd w:val="clear" w:color="auto" w:fill="auto"/>
                <w:lang w:val="en-US" w:eastAsia="en-US"/>
                <w14:textFill>
                  <w14:solidFill>
                    <w14:schemeClr w14:val="tx1"/>
                  </w14:solidFill>
                </w14:textFill>
              </w:rPr>
              <w:t xml:space="preserve"> </w:t>
            </w:r>
          </w:p>
        </w:tc>
        <w:tc>
          <w:tcPr>
            <w:tcW w:w="1759" w:type="dxa"/>
            <w:tcBorders>
              <w:top w:val="nil"/>
              <w:left w:val="nil"/>
              <w:bottom w:val="single" w:color="000000" w:sz="12" w:space="0"/>
              <w:right w:val="nil"/>
            </w:tcBorders>
            <w:shd w:val="clear" w:color="auto" w:fill="FFFFFF"/>
            <w:vAlign w:val="center"/>
          </w:tcPr>
          <w:p w14:paraId="7B2E9B25">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c>
          <w:tcPr>
            <w:tcW w:w="1759" w:type="dxa"/>
            <w:tcBorders>
              <w:top w:val="nil"/>
              <w:left w:val="nil"/>
              <w:bottom w:val="single" w:color="000000" w:sz="12" w:space="0"/>
              <w:right w:val="nil"/>
            </w:tcBorders>
            <w:shd w:val="clear" w:color="auto" w:fill="FFFFFF"/>
            <w:vAlign w:val="center"/>
          </w:tcPr>
          <w:p w14:paraId="27D97085">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c>
          <w:tcPr>
            <w:tcW w:w="1761" w:type="dxa"/>
            <w:tcBorders>
              <w:top w:val="nil"/>
              <w:left w:val="nil"/>
              <w:bottom w:val="single" w:color="000000" w:sz="12" w:space="0"/>
              <w:right w:val="nil"/>
            </w:tcBorders>
            <w:shd w:val="clear" w:color="auto" w:fill="FFFFFF"/>
            <w:vAlign w:val="center"/>
          </w:tcPr>
          <w:p w14:paraId="5500C305">
            <w:pPr>
              <w:pBdr>
                <w:top w:val="none" w:color="000000" w:sz="0" w:space="0"/>
                <w:left w:val="none" w:color="000000" w:sz="0" w:space="0"/>
                <w:bottom w:val="none" w:color="000000" w:sz="0" w:space="0"/>
                <w:right w:val="none" w:color="000000" w:sz="0" w:space="0"/>
              </w:pBdr>
              <w:spacing w:before="100" w:after="100" w:line="240" w:lineRule="auto"/>
              <w:ind w:left="300" w:leftChars="0" w:right="100" w:rightChars="0"/>
              <w:jc w:val="left"/>
              <w:rPr>
                <w:rFonts w:hint="default" w:ascii="Times New Roman" w:hAnsi="Times New Roman" w:eastAsia="Times New Roman" w:cs="Times New Roman"/>
                <w:color w:val="000000" w:themeColor="text1"/>
                <w:sz w:val="24"/>
                <w:szCs w:val="24"/>
                <w:highlight w:val="none"/>
                <w:shd w:val="clear" w:color="auto" w:fill="auto"/>
                <w:lang w:val="en-US" w:eastAsia="zh-CN"/>
                <w14:textFill>
                  <w14:solidFill>
                    <w14:schemeClr w14:val="tx1"/>
                  </w14:solidFill>
                </w14:textFill>
              </w:rPr>
            </w:pPr>
          </w:p>
        </w:tc>
      </w:tr>
    </w:tbl>
    <w:p w14:paraId="0A9EFFCA">
      <w:pPr>
        <w:widowControl/>
        <w:spacing w:line="480" w:lineRule="auto"/>
        <w:rPr>
          <w:rFonts w:hint="default" w:ascii="Times New Roman" w:hAnsi="Times New Roman" w:cs="Times New Roman"/>
          <w:b/>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iCs/>
          <w:color w:val="000000" w:themeColor="text1"/>
          <w:sz w:val="24"/>
          <w:szCs w:val="24"/>
          <w:highlight w:val="none"/>
          <w:shd w:val="clear" w:color="auto" w:fill="auto"/>
          <w:lang w:val="en-US" w:eastAsia="zh-CN"/>
          <w14:textFill>
            <w14:solidFill>
              <w14:schemeClr w14:val="tx1"/>
            </w14:solidFill>
          </w14:textFill>
        </w:rPr>
        <w:t>Notes:</w:t>
      </w:r>
    </w:p>
    <w:p w14:paraId="3FCF8DD1">
      <w:pPr>
        <w:pStyle w:val="11"/>
        <w:keepNext/>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60" w:after="60" w:line="480" w:lineRule="auto"/>
        <w:ind w:right="60"/>
        <w:jc w:val="both"/>
        <w:textAlignment w:val="auto"/>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Model 1: Adjusted for age and sex.</w:t>
      </w:r>
    </w:p>
    <w:p w14:paraId="379583B4">
      <w:pPr>
        <w:pStyle w:val="11"/>
        <w:keepNext/>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60" w:after="60" w:line="480" w:lineRule="auto"/>
        <w:ind w:right="60"/>
        <w:jc w:val="both"/>
        <w:textAlignment w:val="auto"/>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Model 2: Model 1 + marital status, education, residential area, smoking, drinking, systolic blood pressure, diastolic blood pressure, fasting blood glucose, and HbA1c.</w:t>
      </w:r>
    </w:p>
    <w:p w14:paraId="6C5CA493">
      <w:pPr>
        <w:pStyle w:val="11"/>
        <w:keepNext/>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60" w:after="60" w:line="480" w:lineRule="auto"/>
        <w:ind w:right="60"/>
        <w:jc w:val="both"/>
        <w:textAlignment w:val="auto"/>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Model 3: Model 2 + total cholesterol, HDL, eGFR, history of dyslipidemia, hypertension, diabetes, and medications for dyslipidemia, hypertension, and diabetes.</w:t>
      </w:r>
    </w:p>
    <w:p w14:paraId="6DFC0DD8">
      <w:pPr>
        <w:widowControl/>
        <w:spacing w:line="480" w:lineRule="auto"/>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Cs/>
          <w:iCs/>
          <w:color w:val="000000" w:themeColor="text1"/>
          <w:sz w:val="24"/>
          <w:szCs w:val="24"/>
          <w:highlight w:val="none"/>
          <w:shd w:val="clear" w:color="auto" w:fill="auto"/>
          <w:lang w:val="en-US" w:eastAsia="zh-CN"/>
          <w14:textFill>
            <w14:solidFill>
              <w14:schemeClr w14:val="tx1"/>
            </w14:solidFill>
          </w14:textFill>
        </w:rPr>
        <w:t>Events/N: Number of CVD events / Total number of participants</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p>
    <w:p w14:paraId="7CB39780">
      <w:pPr>
        <w:pStyle w:val="11"/>
        <w:keepNext/>
        <w:keepLines w:val="0"/>
        <w:pageBreakBefore w:val="0"/>
        <w:widowControl/>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firstLine="0" w:firstLineChars="0"/>
        <w:jc w:val="cente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Table S</w:t>
      </w:r>
      <w:r>
        <w:rPr>
          <w:rFonts w:hint="eastAsia"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8</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Subgroup Analyses of the Association Between Cumulative Exposure to METS</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VF and the Risk of CVD in a CKM Syndrome Stage 0</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3 Population</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 xml:space="preserve"> After Excluding Individuals With Any Missing Data or Cancer</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Layout w:type="autofit"/>
        <w:tblCellMar>
          <w:top w:w="0" w:type="dxa"/>
          <w:left w:w="0" w:type="dxa"/>
          <w:bottom w:w="0" w:type="dxa"/>
          <w:right w:w="0" w:type="dxa"/>
        </w:tblCellMar>
      </w:tblPr>
      <w:tblGrid>
        <w:gridCol w:w="1474"/>
        <w:gridCol w:w="1200"/>
        <w:gridCol w:w="821"/>
        <w:gridCol w:w="1177"/>
        <w:gridCol w:w="1563"/>
        <w:gridCol w:w="785"/>
        <w:gridCol w:w="1466"/>
      </w:tblGrid>
      <w:tr w14:paraId="565B1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rPr>
          <w:trHeight w:val="594" w:hRule="atLeast"/>
          <w:tblHeader/>
        </w:trPr>
        <w:tc>
          <w:tcPr>
            <w:tcW w:w="0" w:type="auto"/>
            <w:gridSpan w:val="2"/>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16FA5F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Variable</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553F96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Count</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1D0C33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Percent（%）</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630BDC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HR (95% CI)</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359AB1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P value</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6FB346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P for interaction</w:t>
            </w:r>
          </w:p>
        </w:tc>
      </w:tr>
      <w:tr w14:paraId="3EDB8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center"/>
          </w:tcPr>
          <w:p w14:paraId="0C2E75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Overall</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center"/>
          </w:tcPr>
          <w:p w14:paraId="4892A8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2E5750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3283</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5D4622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100</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3F245A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(1.05</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1.22)</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182D4F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0.001</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6BE553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5AE24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652A82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Age</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1A735A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&lt;60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E15A4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1931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F3EE2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3D080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(1.02</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40E11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0.019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A2AC3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0.603</w:t>
            </w:r>
          </w:p>
        </w:tc>
      </w:tr>
      <w:tr w14:paraId="7456F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1672CB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4BE041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≥60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6A26C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1352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B0221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41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0C3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1.12 (1.01</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2D044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0.036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4A6F9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60E79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1C3ABA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Gender</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4C4ACD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Females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EE678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1739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FBDC9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933C4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1.11 (1.01</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62808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0.039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11F16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0.644</w:t>
            </w:r>
          </w:p>
        </w:tc>
      </w:tr>
      <w:tr w14:paraId="5C494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0C69D8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A4096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Males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3647B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1544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2ADE0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47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A25743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1.15 (1.03</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49E33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0.016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852DE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5FE0F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035BB7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Smoking</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DA443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Current Smoker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7E4A4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1024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95BF2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8791D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1.10 (0.96</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07117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0.155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29AEB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0.944</w:t>
            </w:r>
          </w:p>
        </w:tc>
      </w:tr>
      <w:tr w14:paraId="6D794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7CEF500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EC86F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Former Smoker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0A7D4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238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D06A7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D80E5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1.20 (0.91</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1.58)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768EE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0.201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DBB3A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46FA6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59C8FE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5033EC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Never Smoked</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F4068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2021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1C95B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61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7F915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(1.03</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0CF61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0.011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4D62A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19F9C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5BA62E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Drinking</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34401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Current Drinker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DB85B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1074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A616D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FCC36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1.17 (1.02</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1.34)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E902D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0.026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31E8B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0.726</w:t>
            </w:r>
          </w:p>
        </w:tc>
      </w:tr>
      <w:tr w14:paraId="7DE05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4C8439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1B5D9F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Former Drinker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13B6D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243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BA977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A075D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1.05 (0.83</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1.34)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6D527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0.671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3E4DE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5D2A2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553B81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167E6F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Never Drinker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17C6F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1966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FF1BE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8C75D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(1.02</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652A1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0.014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09180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4AF1C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1AAF50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Dyslipidemia</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444AB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No</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CB07D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3036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6CA1D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92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41550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1.14 (1.05</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D6A4D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4DD0A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0.714</w:t>
            </w:r>
          </w:p>
        </w:tc>
      </w:tr>
      <w:tr w14:paraId="6DEE0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5F5489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31278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Yes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5ABAE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247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6BC55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33A3C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1.08 (0.87</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1.34)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D4AA9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0.467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0A5B8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2F2B6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136A45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Hypertension</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6937A3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No</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8B3A0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2580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AD335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78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DFF6E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1.11 (1.01</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FE257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0.023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0E713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0.532</w:t>
            </w:r>
          </w:p>
        </w:tc>
      </w:tr>
      <w:tr w14:paraId="7DA9E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54C0BA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9C59F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Yes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01699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703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5F987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0A8C2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1.20 (1.03</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1.40)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862D3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0.019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7BE14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5F7B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776932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Diabetes</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5872D7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No</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2785C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3102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83634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94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ED10B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1.14 (1.06</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CAE99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4E414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0.208</w:t>
            </w:r>
          </w:p>
        </w:tc>
      </w:tr>
      <w:tr w14:paraId="19BFD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302C20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4D882C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Yes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EEAF5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181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C5400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6BAB3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1.01 (0.77</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1.33)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8BE0D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0.943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CD88E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09F38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4D5116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CKM</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50559B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CB4A0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356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612A8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8BDEA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1.07 (0.60</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1.93)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37395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0.811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FEADB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0.026</w:t>
            </w:r>
          </w:p>
        </w:tc>
      </w:tr>
      <w:tr w14:paraId="02374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662505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C4BD4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74403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824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AD487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D3072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1.11 (0.94</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1.30)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DF05B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0.215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582216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1D195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6AA904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F0314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B78CE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1758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1BBA2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A4FEF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1.07 (0.97</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B0008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0.184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8A1AE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73439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single" w:color="000000" w:sz="12" w:space="0"/>
              <w:right w:val="nil"/>
            </w:tcBorders>
            <w:shd w:val="clear" w:color="auto" w:fill="FFFFFF"/>
            <w:tcMar>
              <w:top w:w="75" w:type="dxa"/>
              <w:left w:w="90" w:type="dxa"/>
              <w:bottom w:w="75" w:type="dxa"/>
              <w:right w:w="90" w:type="dxa"/>
            </w:tcMar>
            <w:vAlign w:val="center"/>
          </w:tcPr>
          <w:p w14:paraId="5CCE1E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center"/>
          </w:tcPr>
          <w:p w14:paraId="7A6F5B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0164D2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345</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1C2F9C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1C7354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1.61 (1.18</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2.20)</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75E79F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0.003</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50ED78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bl>
    <w:p w14:paraId="5FB51203">
      <w:pPr>
        <w:keepLines w:val="0"/>
        <w:pageBreakBefore w:val="0"/>
        <w:kinsoku/>
        <w:overflowPunct/>
        <w:autoSpaceDE/>
        <w:autoSpaceDN/>
        <w:bidi w:val="0"/>
        <w:adjustRightInd/>
        <w:snapToGrid/>
        <w:spacing w:line="480" w:lineRule="auto"/>
        <w:jc w:val="cente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bCs w:val="0"/>
          <w:i w:val="0"/>
          <w:iCs/>
          <w:color w:val="000000" w:themeColor="text1"/>
          <w:kern w:val="2"/>
          <w:sz w:val="24"/>
          <w:szCs w:val="24"/>
          <w:highlight w:val="none"/>
          <w:shd w:val="clear" w:color="auto" w:fill="auto"/>
          <w:lang w:val="en-US" w:eastAsia="zh-CN" w:bidi="ar-SA"/>
          <w14:textFill>
            <w14:solidFill>
              <w14:schemeClr w14:val="tx1"/>
            </w14:solidFill>
          </w14:textFill>
        </w:rPr>
        <w:t xml:space="preserve">Figure S3.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Kaplan</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Meier Curves for CVD</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Free Survival by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Quartiles (Diabetes Medications Excluded)</w:t>
      </w:r>
    </w:p>
    <w:p w14:paraId="7FF2C748">
      <w:pPr>
        <w:keepLines w:val="0"/>
        <w:pageBreakBefore w:val="0"/>
        <w:kinsoku/>
        <w:overflowPunct/>
        <w:autoSpaceDE/>
        <w:autoSpaceDN/>
        <w:bidi w:val="0"/>
        <w:adjustRightInd/>
        <w:snapToGrid/>
        <w:spacing w:line="480" w:lineRule="auto"/>
        <w:rPr>
          <w:rFonts w:hint="default" w:ascii="Times New Roman" w:hAnsi="Times New Roman" w:cs="Times New Roman"/>
          <w:b/>
          <w:b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shd w:val="clear" w:color="auto" w:fill="auto"/>
          <w:lang w:val="en-US" w:eastAsia="zh-CN"/>
          <w14:textFill>
            <w14:solidFill>
              <w14:schemeClr w14:val="tx1"/>
            </w14:solidFill>
          </w14:textFill>
        </w:rPr>
        <w:drawing>
          <wp:inline distT="0" distB="0" distL="114300" distR="114300">
            <wp:extent cx="5266690" cy="2703195"/>
            <wp:effectExtent l="0" t="0" r="635" b="1905"/>
            <wp:docPr id="8" name="图片 8" descr="KM曲线-排除糖尿病用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KM曲线-排除糖尿病用药"/>
                    <pic:cNvPicPr>
                      <a:picLocks noChangeAspect="1"/>
                    </pic:cNvPicPr>
                  </pic:nvPicPr>
                  <pic:blipFill>
                    <a:blip r:embed="rId7"/>
                    <a:stretch>
                      <a:fillRect/>
                    </a:stretch>
                  </pic:blipFill>
                  <pic:spPr>
                    <a:xfrm>
                      <a:off x="0" y="0"/>
                      <a:ext cx="5266690" cy="2703195"/>
                    </a:xfrm>
                    <a:prstGeom prst="rect">
                      <a:avLst/>
                    </a:prstGeom>
                  </pic:spPr>
                </pic:pic>
              </a:graphicData>
            </a:graphic>
          </wp:inline>
        </w:drawing>
      </w:r>
    </w:p>
    <w:p w14:paraId="746FA9D6">
      <w:pPr>
        <w:keepLines w:val="0"/>
        <w:pageBreakBefore w:val="0"/>
        <w:kinsoku/>
        <w:overflowPunct/>
        <w:autoSpaceDE/>
        <w:autoSpaceDN/>
        <w:bidi w:val="0"/>
        <w:adjustRightInd/>
        <w:snapToGrid/>
        <w:spacing w:line="480" w:lineRule="auto"/>
        <w:rPr>
          <w:rFonts w:hint="default" w:ascii="Times New Roman" w:hAnsi="Times New Roman" w:cs="Times New Roman"/>
          <w:color w:val="000000" w:themeColor="text1"/>
          <w:sz w:val="24"/>
          <w:szCs w:val="24"/>
          <w:highlight w:val="none"/>
          <w:shd w:val="clear" w:color="auto" w:fill="auto"/>
          <w14:textFill>
            <w14:solidFill>
              <w14:schemeClr w14:val="tx1"/>
            </w14:solidFill>
          </w14:textFill>
        </w:rPr>
      </w:pP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Kaplan</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Meier survival curves showing cumulative CVD</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free survival rates stratified by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exposure quartiles (Q1</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Q4) in participants not taking diabetes medications. The log</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rank test indicated significant differences between groups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P &lt;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0.0001). This sensitivity analysis excludes participants taking diabetes medications to evaluate the association between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and CVD risk independent of diabetes medication use, demonstrating that the association remains significant even when medication use is controlled for.</w:t>
      </w:r>
    </w:p>
    <w:p w14:paraId="5DC7FC83">
      <w:pPr>
        <w:keepNext w:val="0"/>
        <w:keepLines w:val="0"/>
        <w:pageBreakBefore w:val="0"/>
        <w:widowControl w:val="0"/>
        <w:kinsoku/>
        <w:wordWrap w:val="0"/>
        <w:overflowPunct/>
        <w:topLinePunct w:val="0"/>
        <w:autoSpaceDE/>
        <w:autoSpaceDN/>
        <w:bidi w:val="0"/>
        <w:adjustRightInd/>
        <w:snapToGrid/>
        <w:spacing w:line="480" w:lineRule="auto"/>
        <w:jc w:val="center"/>
        <w:textAlignment w:val="auto"/>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bCs w:val="0"/>
          <w:i w:val="0"/>
          <w:iCs/>
          <w:color w:val="000000" w:themeColor="text1"/>
          <w:kern w:val="2"/>
          <w:sz w:val="24"/>
          <w:szCs w:val="24"/>
          <w:highlight w:val="none"/>
          <w:shd w:val="clear" w:color="auto" w:fill="auto"/>
          <w:lang w:val="en-US" w:eastAsia="zh-CN" w:bidi="ar-SA"/>
          <w14:textFill>
            <w14:solidFill>
              <w14:schemeClr w14:val="tx1"/>
            </w14:solidFill>
          </w14:textFill>
        </w:rPr>
        <w:t xml:space="preserve">Figure S4.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Dose</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Response Relationship Between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Exposure and CVD Risk (Diabetes Medications Excluded</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drawing>
          <wp:inline distT="0" distB="0" distL="114300" distR="114300">
            <wp:extent cx="4690745" cy="2410460"/>
            <wp:effectExtent l="0" t="0" r="5080" b="8890"/>
            <wp:docPr id="2" name="图片 2" descr="RCS图-排除糖尿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CS图-排除糖尿病"/>
                    <pic:cNvPicPr>
                      <a:picLocks noChangeAspect="1"/>
                    </pic:cNvPicPr>
                  </pic:nvPicPr>
                  <pic:blipFill>
                    <a:blip r:embed="rId6"/>
                    <a:stretch>
                      <a:fillRect/>
                    </a:stretch>
                  </pic:blipFill>
                  <pic:spPr>
                    <a:xfrm>
                      <a:off x="0" y="0"/>
                      <a:ext cx="4690745" cy="2410460"/>
                    </a:xfrm>
                    <a:prstGeom prst="rect">
                      <a:avLst/>
                    </a:prstGeom>
                  </pic:spPr>
                </pic:pic>
              </a:graphicData>
            </a:graphic>
          </wp:inline>
        </w:drawing>
      </w:r>
    </w:p>
    <w:p w14:paraId="2B55CC31">
      <w:pPr>
        <w:keepLines w:val="0"/>
        <w:pageBreakBefore w:val="0"/>
        <w:kinsoku/>
        <w:overflowPunct/>
        <w:autoSpaceDE/>
        <w:autoSpaceDN/>
        <w:bidi w:val="0"/>
        <w:adjustRightInd/>
        <w:snapToGrid/>
        <w:spacing w:line="480" w:lineRule="auto"/>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eastAsiaTheme="minorEastAsia"/>
          <w:b/>
          <w:bCs w:val="0"/>
          <w:i w:val="0"/>
          <w:iCs/>
          <w:color w:val="000000" w:themeColor="text1"/>
          <w:kern w:val="2"/>
          <w:sz w:val="24"/>
          <w:szCs w:val="24"/>
          <w:highlight w:val="none"/>
          <w:shd w:val="clear" w:color="auto" w:fill="auto"/>
          <w:lang w:val="en-US" w:eastAsia="zh-CN" w:bidi="ar-SA"/>
          <w14:textFill>
            <w14:solidFill>
              <w14:schemeClr w14:val="tx1"/>
            </w14:solidFill>
          </w14:textFill>
        </w:rPr>
        <w:t>Note: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Restricted cubic spline curves showing the dose</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response relationship between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exposure and CVD risk with participants taking diabetes medications excluded from the analysis. Overall analysis used 4 knots at the 5th, 35th, 65th, and 95th percentiles.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The reference point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HR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1.0) is set at the median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Solid lines represent hazard ratios (HRs); shaded areas represent 95% confidence intervals (CIs). </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P values indicate overall association and non</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linearity. This sensitivity analysis confirms that the observed dose</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response relationship between </w:t>
      </w:r>
      <w:r>
        <w:rPr>
          <w:rFonts w:hint="eastAsia" w:ascii="Times New Roman" w:hAnsi="Times New Roman" w:cs="Times New Roman"/>
          <w:b w:val="0"/>
          <w:bCs/>
          <w:i w:val="0"/>
          <w:iCs/>
          <w:color w:val="000000" w:themeColor="text1"/>
          <w:kern w:val="2"/>
          <w:sz w:val="24"/>
          <w:szCs w:val="24"/>
          <w:highlight w:val="none"/>
          <w:shd w:val="clear" w:color="auto" w:fill="auto"/>
          <w:lang w:val="en-US" w:eastAsia="zh-CN" w:bidi="ar-SA"/>
          <w14:textFill>
            <w14:solidFill>
              <w14:schemeClr w14:val="tx1"/>
            </w14:solidFill>
          </w14:textFill>
        </w:rPr>
        <w:t>cumMETS-VF</w:t>
      </w:r>
      <w:r>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t xml:space="preserve"> and CVD risk is independent of diabetes medication use.</w:t>
      </w:r>
    </w:p>
    <w:p w14:paraId="66B820EC">
      <w:pPr>
        <w:pStyle w:val="11"/>
        <w:keepNext/>
        <w:keepLines w:val="0"/>
        <w:pageBreakBefore w:val="0"/>
        <w:widowControl/>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firstLine="0" w:firstLineChars="0"/>
        <w:jc w:val="cente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 w:val="0"/>
          <w:iCs/>
          <w:color w:val="000000" w:themeColor="text1"/>
          <w:sz w:val="24"/>
          <w:szCs w:val="24"/>
          <w:highlight w:val="none"/>
          <w:shd w:val="clear" w:color="auto" w:fill="auto"/>
          <w:lang w:val="en-US" w:eastAsia="en-US"/>
          <w14:textFill>
            <w14:solidFill>
              <w14:schemeClr w14:val="tx1"/>
            </w14:solidFill>
          </w14:textFill>
        </w:rPr>
        <w:t xml:space="preserve">Table </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S</w:t>
      </w:r>
      <w:r>
        <w:rPr>
          <w:rFonts w:hint="eastAsia"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9</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Association of Cumulative Exposure to METS</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VF with the Risk of CVD in a CKM Syndrome Stage 0</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3 Population After Excluding Individuals With Any Missing Data and Diabetes Medication Use</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p>
    <w:tbl>
      <w:tblPr>
        <w:tblStyle w:val="7"/>
        <w:tblW w:w="8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1330"/>
        <w:gridCol w:w="1993"/>
        <w:gridCol w:w="1993"/>
        <w:gridCol w:w="1993"/>
      </w:tblGrid>
      <w:tr w14:paraId="70CD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single" w:color="000000" w:sz="12" w:space="0"/>
              <w:left w:val="nil"/>
              <w:bottom w:val="single" w:color="000000" w:sz="4" w:space="0"/>
              <w:right w:val="nil"/>
              <w:tl2br w:val="nil"/>
            </w:tcBorders>
            <w:shd w:val="clear" w:color="auto" w:fill="FFFFFF"/>
            <w:vAlign w:val="center"/>
          </w:tcPr>
          <w:p w14:paraId="09A600B1">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p>
        </w:tc>
        <w:tc>
          <w:tcPr>
            <w:tcW w:w="1329" w:type="dxa"/>
            <w:tcBorders>
              <w:top w:val="single" w:color="000000" w:sz="12" w:space="0"/>
              <w:left w:val="nil"/>
              <w:bottom w:val="single" w:color="000000" w:sz="4" w:space="0"/>
              <w:right w:val="nil"/>
            </w:tcBorders>
            <w:shd w:val="clear" w:color="auto" w:fill="FFFFFF"/>
            <w:vAlign w:val="center"/>
          </w:tcPr>
          <w:p w14:paraId="10624FD5">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p>
        </w:tc>
        <w:tc>
          <w:tcPr>
            <w:tcW w:w="5976" w:type="dxa"/>
            <w:gridSpan w:val="3"/>
            <w:tcBorders>
              <w:top w:val="single" w:color="000000" w:sz="12" w:space="0"/>
              <w:left w:val="nil"/>
              <w:bottom w:val="single" w:color="000000" w:sz="4" w:space="0"/>
              <w:right w:val="nil"/>
            </w:tcBorders>
            <w:shd w:val="clear" w:color="auto" w:fill="FFFFFF"/>
            <w:vAlign w:val="center"/>
          </w:tcPr>
          <w:p w14:paraId="6B4ACB44">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HR (95% CI)</w:t>
            </w:r>
          </w:p>
        </w:tc>
      </w:tr>
      <w:tr w14:paraId="1492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single" w:color="000000" w:sz="4" w:space="0"/>
              <w:left w:val="nil"/>
              <w:bottom w:val="nil"/>
              <w:right w:val="nil"/>
            </w:tcBorders>
            <w:shd w:val="clear" w:color="auto" w:fill="FFFFFF"/>
            <w:vAlign w:val="center"/>
          </w:tcPr>
          <w:p w14:paraId="3B94C372">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Quartile</w:t>
            </w:r>
          </w:p>
        </w:tc>
        <w:tc>
          <w:tcPr>
            <w:tcW w:w="1329" w:type="dxa"/>
            <w:tcBorders>
              <w:top w:val="single" w:color="000000" w:sz="4" w:space="0"/>
              <w:left w:val="nil"/>
              <w:bottom w:val="nil"/>
              <w:right w:val="nil"/>
            </w:tcBorders>
            <w:shd w:val="clear" w:color="auto" w:fill="FFFFFF"/>
            <w:vAlign w:val="center"/>
          </w:tcPr>
          <w:p w14:paraId="09086E29">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Cases/Total</w:t>
            </w:r>
          </w:p>
        </w:tc>
        <w:tc>
          <w:tcPr>
            <w:tcW w:w="1992" w:type="dxa"/>
            <w:tcBorders>
              <w:top w:val="single" w:color="000000" w:sz="4" w:space="0"/>
              <w:left w:val="nil"/>
              <w:bottom w:val="nil"/>
              <w:right w:val="nil"/>
            </w:tcBorders>
            <w:shd w:val="clear" w:color="auto" w:fill="FFFFFF"/>
            <w:vAlign w:val="center"/>
          </w:tcPr>
          <w:p w14:paraId="31063B80">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Model 1</w:t>
            </w:r>
          </w:p>
        </w:tc>
        <w:tc>
          <w:tcPr>
            <w:tcW w:w="1992" w:type="dxa"/>
            <w:tcBorders>
              <w:top w:val="single" w:color="000000" w:sz="4" w:space="0"/>
              <w:left w:val="nil"/>
              <w:bottom w:val="nil"/>
              <w:right w:val="nil"/>
            </w:tcBorders>
            <w:shd w:val="clear" w:color="auto" w:fill="FFFFFF"/>
            <w:vAlign w:val="center"/>
          </w:tcPr>
          <w:p w14:paraId="2558772C">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Model 2</w:t>
            </w:r>
          </w:p>
        </w:tc>
        <w:tc>
          <w:tcPr>
            <w:tcW w:w="1992" w:type="dxa"/>
            <w:tcBorders>
              <w:top w:val="single" w:color="000000" w:sz="4" w:space="0"/>
              <w:left w:val="nil"/>
              <w:bottom w:val="nil"/>
              <w:right w:val="nil"/>
            </w:tcBorders>
            <w:shd w:val="clear" w:color="auto" w:fill="FFFFFF"/>
            <w:vAlign w:val="center"/>
          </w:tcPr>
          <w:p w14:paraId="7D383F92">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Model 3</w:t>
            </w:r>
          </w:p>
        </w:tc>
      </w:tr>
      <w:tr w14:paraId="0A99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nil"/>
              <w:left w:val="nil"/>
              <w:bottom w:val="nil"/>
              <w:right w:val="nil"/>
            </w:tcBorders>
            <w:shd w:val="clear" w:color="auto" w:fill="FFFFFF"/>
            <w:vAlign w:val="center"/>
          </w:tcPr>
          <w:p w14:paraId="189622E1">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Q1 (Ref)</w:t>
            </w:r>
          </w:p>
        </w:tc>
        <w:tc>
          <w:tcPr>
            <w:tcW w:w="1329" w:type="dxa"/>
            <w:tcBorders>
              <w:top w:val="nil"/>
              <w:left w:val="nil"/>
              <w:bottom w:val="nil"/>
              <w:right w:val="nil"/>
            </w:tcBorders>
            <w:shd w:val="clear" w:color="auto" w:fill="FFFFFF"/>
            <w:vAlign w:val="top"/>
          </w:tcPr>
          <w:p w14:paraId="1E76C484">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en-US"/>
                <w14:textFill>
                  <w14:solidFill>
                    <w14:schemeClr w14:val="tx1"/>
                  </w14:solidFill>
                </w14:textFill>
              </w:rPr>
              <w:t>113 / 761</w:t>
            </w:r>
          </w:p>
        </w:tc>
        <w:tc>
          <w:tcPr>
            <w:tcW w:w="1992" w:type="dxa"/>
            <w:tcBorders>
              <w:top w:val="nil"/>
              <w:left w:val="nil"/>
              <w:bottom w:val="nil"/>
              <w:right w:val="nil"/>
            </w:tcBorders>
            <w:shd w:val="clear" w:color="auto" w:fill="FFFFFF"/>
            <w:vAlign w:val="top"/>
          </w:tcPr>
          <w:p w14:paraId="5AC7BABD">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en-US"/>
                <w14:textFill>
                  <w14:solidFill>
                    <w14:schemeClr w14:val="tx1"/>
                  </w14:solidFill>
                </w14:textFill>
              </w:rPr>
              <w:t>Reference</w:t>
            </w:r>
          </w:p>
        </w:tc>
        <w:tc>
          <w:tcPr>
            <w:tcW w:w="1992" w:type="dxa"/>
            <w:tcBorders>
              <w:top w:val="nil"/>
              <w:left w:val="nil"/>
              <w:bottom w:val="nil"/>
              <w:right w:val="nil"/>
            </w:tcBorders>
            <w:shd w:val="clear" w:color="auto" w:fill="FFFFFF"/>
            <w:vAlign w:val="top"/>
          </w:tcPr>
          <w:p w14:paraId="60AD88AD">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en-US"/>
                <w14:textFill>
                  <w14:solidFill>
                    <w14:schemeClr w14:val="tx1"/>
                  </w14:solidFill>
                </w14:textFill>
              </w:rPr>
              <w:t>Reference</w:t>
            </w:r>
          </w:p>
        </w:tc>
        <w:tc>
          <w:tcPr>
            <w:tcW w:w="1992" w:type="dxa"/>
            <w:tcBorders>
              <w:top w:val="nil"/>
              <w:left w:val="nil"/>
              <w:bottom w:val="nil"/>
              <w:right w:val="nil"/>
            </w:tcBorders>
            <w:shd w:val="clear" w:color="auto" w:fill="FFFFFF"/>
            <w:vAlign w:val="top"/>
          </w:tcPr>
          <w:p w14:paraId="679CF5E5">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en-US"/>
                <w14:textFill>
                  <w14:solidFill>
                    <w14:schemeClr w14:val="tx1"/>
                  </w14:solidFill>
                </w14:textFill>
              </w:rPr>
              <w:t>Reference</w:t>
            </w:r>
          </w:p>
        </w:tc>
      </w:tr>
      <w:tr w14:paraId="1B5E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nil"/>
              <w:left w:val="nil"/>
              <w:bottom w:val="nil"/>
              <w:right w:val="nil"/>
            </w:tcBorders>
            <w:shd w:val="clear" w:color="auto" w:fill="FFFFFF"/>
            <w:vAlign w:val="center"/>
          </w:tcPr>
          <w:p w14:paraId="1B994551">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Q2</w:t>
            </w:r>
          </w:p>
        </w:tc>
        <w:tc>
          <w:tcPr>
            <w:tcW w:w="1329" w:type="dxa"/>
            <w:tcBorders>
              <w:top w:val="nil"/>
              <w:left w:val="nil"/>
              <w:bottom w:val="nil"/>
              <w:right w:val="nil"/>
            </w:tcBorders>
            <w:shd w:val="clear" w:color="auto" w:fill="FFFFFF"/>
            <w:vAlign w:val="top"/>
          </w:tcPr>
          <w:p w14:paraId="75B1CCC4">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en-US"/>
                <w14:textFill>
                  <w14:solidFill>
                    <w14:schemeClr w14:val="tx1"/>
                  </w14:solidFill>
                </w14:textFill>
              </w:rPr>
              <w:t>116 / 761</w:t>
            </w:r>
          </w:p>
        </w:tc>
        <w:tc>
          <w:tcPr>
            <w:tcW w:w="1992" w:type="dxa"/>
            <w:tcBorders>
              <w:top w:val="nil"/>
              <w:left w:val="nil"/>
              <w:bottom w:val="nil"/>
              <w:right w:val="nil"/>
            </w:tcBorders>
            <w:shd w:val="clear" w:color="auto" w:fill="FFFFFF"/>
            <w:vAlign w:val="top"/>
          </w:tcPr>
          <w:p w14:paraId="173A32D5">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1.013 (0.781</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1.314)</w:t>
            </w:r>
          </w:p>
        </w:tc>
        <w:tc>
          <w:tcPr>
            <w:tcW w:w="1992" w:type="dxa"/>
            <w:tcBorders>
              <w:top w:val="nil"/>
              <w:left w:val="nil"/>
              <w:bottom w:val="nil"/>
              <w:right w:val="nil"/>
            </w:tcBorders>
            <w:shd w:val="clear" w:color="auto" w:fill="FFFFFF"/>
            <w:vAlign w:val="top"/>
          </w:tcPr>
          <w:p w14:paraId="250CDAA9">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1.000 (0.770</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1.298)</w:t>
            </w:r>
          </w:p>
        </w:tc>
        <w:tc>
          <w:tcPr>
            <w:tcW w:w="1992" w:type="dxa"/>
            <w:tcBorders>
              <w:top w:val="nil"/>
              <w:left w:val="nil"/>
              <w:bottom w:val="nil"/>
              <w:right w:val="nil"/>
            </w:tcBorders>
            <w:shd w:val="clear" w:color="auto" w:fill="FFFFFF"/>
            <w:vAlign w:val="top"/>
          </w:tcPr>
          <w:p w14:paraId="10F2EC00">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0.998 (0.768</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1.298)</w:t>
            </w:r>
          </w:p>
        </w:tc>
      </w:tr>
      <w:tr w14:paraId="2AE4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nil"/>
              <w:left w:val="nil"/>
              <w:bottom w:val="nil"/>
              <w:right w:val="nil"/>
            </w:tcBorders>
            <w:shd w:val="clear" w:color="auto" w:fill="FFFFFF"/>
            <w:vAlign w:val="center"/>
          </w:tcPr>
          <w:p w14:paraId="3C35A17E">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Q3</w:t>
            </w:r>
          </w:p>
        </w:tc>
        <w:tc>
          <w:tcPr>
            <w:tcW w:w="1329" w:type="dxa"/>
            <w:tcBorders>
              <w:top w:val="nil"/>
              <w:left w:val="nil"/>
              <w:bottom w:val="nil"/>
              <w:right w:val="nil"/>
            </w:tcBorders>
            <w:shd w:val="clear" w:color="auto" w:fill="FFFFFF"/>
            <w:vAlign w:val="top"/>
          </w:tcPr>
          <w:p w14:paraId="2267837B">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en-US"/>
                <w14:textFill>
                  <w14:solidFill>
                    <w14:schemeClr w14:val="tx1"/>
                  </w14:solidFill>
                </w14:textFill>
              </w:rPr>
              <w:t>137 / 765</w:t>
            </w:r>
          </w:p>
        </w:tc>
        <w:tc>
          <w:tcPr>
            <w:tcW w:w="1992" w:type="dxa"/>
            <w:tcBorders>
              <w:top w:val="nil"/>
              <w:left w:val="nil"/>
              <w:bottom w:val="nil"/>
              <w:right w:val="nil"/>
            </w:tcBorders>
            <w:shd w:val="clear" w:color="auto" w:fill="FFFFFF"/>
            <w:vAlign w:val="top"/>
          </w:tcPr>
          <w:p w14:paraId="6BA2A5AA">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1.188 (0.925</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1.525)</w:t>
            </w:r>
          </w:p>
        </w:tc>
        <w:tc>
          <w:tcPr>
            <w:tcW w:w="1992" w:type="dxa"/>
            <w:tcBorders>
              <w:top w:val="nil"/>
              <w:left w:val="nil"/>
              <w:bottom w:val="nil"/>
              <w:right w:val="nil"/>
            </w:tcBorders>
            <w:shd w:val="clear" w:color="auto" w:fill="FFFFFF"/>
            <w:vAlign w:val="top"/>
          </w:tcPr>
          <w:p w14:paraId="2E510AA3">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1.147 (0.891</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1.478)</w:t>
            </w:r>
          </w:p>
        </w:tc>
        <w:tc>
          <w:tcPr>
            <w:tcW w:w="1992" w:type="dxa"/>
            <w:tcBorders>
              <w:top w:val="nil"/>
              <w:left w:val="nil"/>
              <w:bottom w:val="nil"/>
              <w:right w:val="nil"/>
            </w:tcBorders>
            <w:shd w:val="clear" w:color="auto" w:fill="FFFFFF"/>
            <w:vAlign w:val="top"/>
          </w:tcPr>
          <w:p w14:paraId="19CFBEFC">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1.093 (0.844</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1.416)</w:t>
            </w:r>
          </w:p>
        </w:tc>
      </w:tr>
      <w:tr w14:paraId="08AF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nil"/>
              <w:left w:val="nil"/>
              <w:bottom w:val="nil"/>
              <w:right w:val="nil"/>
            </w:tcBorders>
            <w:shd w:val="clear" w:color="auto" w:fill="FFFFFF"/>
            <w:vAlign w:val="center"/>
          </w:tcPr>
          <w:p w14:paraId="31AB4B81">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Q4</w:t>
            </w:r>
          </w:p>
        </w:tc>
        <w:tc>
          <w:tcPr>
            <w:tcW w:w="1329" w:type="dxa"/>
            <w:tcBorders>
              <w:top w:val="nil"/>
              <w:left w:val="nil"/>
              <w:bottom w:val="nil"/>
              <w:right w:val="nil"/>
            </w:tcBorders>
            <w:shd w:val="clear" w:color="auto" w:fill="FFFFFF"/>
            <w:vAlign w:val="top"/>
          </w:tcPr>
          <w:p w14:paraId="429A0AC7">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en-US"/>
                <w14:textFill>
                  <w14:solidFill>
                    <w14:schemeClr w14:val="tx1"/>
                  </w14:solidFill>
                </w14:textFill>
              </w:rPr>
              <w:t>178 / 751</w:t>
            </w:r>
          </w:p>
        </w:tc>
        <w:tc>
          <w:tcPr>
            <w:tcW w:w="1992" w:type="dxa"/>
            <w:tcBorders>
              <w:top w:val="nil"/>
              <w:left w:val="nil"/>
              <w:bottom w:val="nil"/>
              <w:right w:val="nil"/>
            </w:tcBorders>
            <w:shd w:val="clear" w:color="auto" w:fill="FFFFFF"/>
            <w:vAlign w:val="top"/>
          </w:tcPr>
          <w:p w14:paraId="0A971676">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1.596 (1.258</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2.025)</w:t>
            </w:r>
          </w:p>
        </w:tc>
        <w:tc>
          <w:tcPr>
            <w:tcW w:w="1992" w:type="dxa"/>
            <w:tcBorders>
              <w:top w:val="nil"/>
              <w:left w:val="nil"/>
              <w:bottom w:val="nil"/>
              <w:right w:val="nil"/>
            </w:tcBorders>
            <w:shd w:val="clear" w:color="auto" w:fill="FFFFFF"/>
            <w:vAlign w:val="top"/>
          </w:tcPr>
          <w:p w14:paraId="67534C21">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1.474 (1.148</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1.893)</w:t>
            </w:r>
          </w:p>
        </w:tc>
        <w:tc>
          <w:tcPr>
            <w:tcW w:w="1992" w:type="dxa"/>
            <w:tcBorders>
              <w:top w:val="nil"/>
              <w:left w:val="nil"/>
              <w:bottom w:val="nil"/>
              <w:right w:val="nil"/>
            </w:tcBorders>
            <w:shd w:val="clear" w:color="auto" w:fill="FFFFFF"/>
            <w:vAlign w:val="top"/>
          </w:tcPr>
          <w:p w14:paraId="1A2DA64E">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1.325 (1.014</w:t>
            </w:r>
            <w:r>
              <w:rPr>
                <w:rFonts w:hint="eastAsia"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w:t>
            </w: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1.730)</w:t>
            </w:r>
          </w:p>
        </w:tc>
      </w:tr>
      <w:tr w14:paraId="293E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nil"/>
              <w:left w:val="nil"/>
              <w:bottom w:val="nil"/>
              <w:right w:val="nil"/>
            </w:tcBorders>
            <w:shd w:val="clear" w:color="auto" w:fill="FFFFFF"/>
            <w:vAlign w:val="center"/>
          </w:tcPr>
          <w:p w14:paraId="41D90901">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P for trend</w:t>
            </w:r>
          </w:p>
        </w:tc>
        <w:tc>
          <w:tcPr>
            <w:tcW w:w="1329" w:type="dxa"/>
            <w:tcBorders>
              <w:top w:val="nil"/>
              <w:left w:val="nil"/>
              <w:bottom w:val="nil"/>
              <w:right w:val="nil"/>
            </w:tcBorders>
            <w:shd w:val="clear" w:color="auto" w:fill="FFFFFF"/>
            <w:vAlign w:val="center"/>
          </w:tcPr>
          <w:p w14:paraId="2BF096A0">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p>
        </w:tc>
        <w:tc>
          <w:tcPr>
            <w:tcW w:w="1992" w:type="dxa"/>
            <w:tcBorders>
              <w:top w:val="nil"/>
              <w:left w:val="nil"/>
              <w:bottom w:val="nil"/>
              <w:right w:val="nil"/>
            </w:tcBorders>
            <w:shd w:val="clear" w:color="auto" w:fill="FFFFFF"/>
            <w:vAlign w:val="center"/>
          </w:tcPr>
          <w:p w14:paraId="5970A8E6">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&lt;0.001</w:t>
            </w:r>
          </w:p>
        </w:tc>
        <w:tc>
          <w:tcPr>
            <w:tcW w:w="1992" w:type="dxa"/>
            <w:tcBorders>
              <w:top w:val="nil"/>
              <w:left w:val="nil"/>
              <w:bottom w:val="nil"/>
              <w:right w:val="nil"/>
            </w:tcBorders>
            <w:shd w:val="clear" w:color="auto" w:fill="FFFFFF"/>
            <w:vAlign w:val="center"/>
          </w:tcPr>
          <w:p w14:paraId="2BB54F1C">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&lt;0.001</w:t>
            </w:r>
          </w:p>
        </w:tc>
        <w:tc>
          <w:tcPr>
            <w:tcW w:w="1992" w:type="dxa"/>
            <w:tcBorders>
              <w:top w:val="nil"/>
              <w:left w:val="nil"/>
              <w:bottom w:val="nil"/>
              <w:right w:val="nil"/>
            </w:tcBorders>
            <w:shd w:val="clear" w:color="auto" w:fill="FFFFFF"/>
            <w:vAlign w:val="center"/>
          </w:tcPr>
          <w:p w14:paraId="6B34AB0C">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&lt;0.001</w:t>
            </w:r>
          </w:p>
        </w:tc>
      </w:tr>
      <w:tr w14:paraId="562D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329" w:type="dxa"/>
            <w:tcBorders>
              <w:top w:val="nil"/>
              <w:left w:val="nil"/>
              <w:bottom w:val="single" w:color="000000" w:sz="12" w:space="0"/>
              <w:right w:val="nil"/>
            </w:tcBorders>
            <w:shd w:val="clear" w:color="auto" w:fill="FFFFFF"/>
            <w:vAlign w:val="center"/>
          </w:tcPr>
          <w:p w14:paraId="15EEB0E4">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Events/N</w:t>
            </w:r>
          </w:p>
        </w:tc>
        <w:tc>
          <w:tcPr>
            <w:tcW w:w="1329" w:type="dxa"/>
            <w:tcBorders>
              <w:top w:val="nil"/>
              <w:left w:val="nil"/>
              <w:bottom w:val="single" w:color="000000" w:sz="12" w:space="0"/>
              <w:right w:val="nil"/>
            </w:tcBorders>
            <w:shd w:val="clear" w:color="auto" w:fill="FFFFFF"/>
            <w:vAlign w:val="center"/>
          </w:tcPr>
          <w:p w14:paraId="7AD453EF">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544/3038</w:t>
            </w:r>
          </w:p>
        </w:tc>
        <w:tc>
          <w:tcPr>
            <w:tcW w:w="1992" w:type="dxa"/>
            <w:tcBorders>
              <w:top w:val="nil"/>
              <w:left w:val="nil"/>
              <w:bottom w:val="single" w:color="000000" w:sz="12" w:space="0"/>
              <w:right w:val="nil"/>
            </w:tcBorders>
            <w:shd w:val="clear" w:color="auto" w:fill="FFFFFF"/>
            <w:vAlign w:val="center"/>
          </w:tcPr>
          <w:p w14:paraId="3A094DFE">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Cs/>
                <w:color w:val="000000" w:themeColor="text1"/>
                <w:sz w:val="20"/>
                <w:szCs w:val="20"/>
                <w:highlight w:val="none"/>
                <w:shd w:val="clear" w:color="auto" w:fill="auto"/>
                <w:lang w:val="en-US" w:eastAsia="zh-CN"/>
                <w14:textFill>
                  <w14:solidFill>
                    <w14:schemeClr w14:val="tx1"/>
                  </w14:solidFill>
                </w14:textFill>
              </w:rPr>
              <w:t xml:space="preserve"> </w:t>
            </w:r>
          </w:p>
        </w:tc>
        <w:tc>
          <w:tcPr>
            <w:tcW w:w="1992" w:type="dxa"/>
            <w:tcBorders>
              <w:top w:val="nil"/>
              <w:left w:val="nil"/>
              <w:bottom w:val="single" w:color="000000" w:sz="12" w:space="0"/>
              <w:right w:val="nil"/>
            </w:tcBorders>
            <w:shd w:val="clear" w:color="auto" w:fill="FFFFFF"/>
            <w:vAlign w:val="center"/>
          </w:tcPr>
          <w:p w14:paraId="128B32D9">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p>
        </w:tc>
        <w:tc>
          <w:tcPr>
            <w:tcW w:w="1992" w:type="dxa"/>
            <w:tcBorders>
              <w:top w:val="nil"/>
              <w:left w:val="nil"/>
              <w:bottom w:val="single" w:color="000000" w:sz="12" w:space="0"/>
              <w:right w:val="nil"/>
            </w:tcBorders>
            <w:shd w:val="clear" w:color="auto" w:fill="FFFFFF"/>
            <w:vAlign w:val="center"/>
          </w:tcPr>
          <w:p w14:paraId="3496D35B">
            <w:pPr>
              <w:widowControl/>
              <w:spacing w:line="240" w:lineRule="auto"/>
              <w:jc w:val="center"/>
              <w:rPr>
                <w:rFonts w:hint="default" w:ascii="Times New Roman" w:hAnsi="Times New Roman" w:cs="Times New Roman"/>
                <w:iCs/>
                <w:color w:val="000000" w:themeColor="text1"/>
                <w:sz w:val="24"/>
                <w:szCs w:val="24"/>
                <w:highlight w:val="none"/>
                <w:shd w:val="clear" w:color="auto" w:fill="auto"/>
                <w:lang w:val="en-US" w:eastAsia="zh-CN"/>
                <w14:textFill>
                  <w14:solidFill>
                    <w14:schemeClr w14:val="tx1"/>
                  </w14:solidFill>
                </w14:textFill>
              </w:rPr>
            </w:pPr>
          </w:p>
        </w:tc>
      </w:tr>
    </w:tbl>
    <w:p w14:paraId="7ECAEC04">
      <w:pPr>
        <w:widowControl/>
        <w:spacing w:line="480" w:lineRule="auto"/>
        <w:rPr>
          <w:rFonts w:hint="default" w:ascii="Times New Roman" w:hAnsi="Times New Roman" w:cs="Times New Roman"/>
          <w:b/>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iCs/>
          <w:color w:val="000000" w:themeColor="text1"/>
          <w:sz w:val="24"/>
          <w:szCs w:val="24"/>
          <w:highlight w:val="none"/>
          <w:shd w:val="clear" w:color="auto" w:fill="auto"/>
          <w:lang w:val="en-US" w:eastAsia="zh-CN"/>
          <w14:textFill>
            <w14:solidFill>
              <w14:schemeClr w14:val="tx1"/>
            </w14:solidFill>
          </w14:textFill>
        </w:rPr>
        <w:t>Notes:</w:t>
      </w:r>
    </w:p>
    <w:p w14:paraId="1BC2C317">
      <w:pPr>
        <w:pStyle w:val="11"/>
        <w:keepNext/>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60" w:after="60" w:line="480" w:lineRule="auto"/>
        <w:ind w:right="60"/>
        <w:jc w:val="both"/>
        <w:textAlignment w:val="auto"/>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Model 1: Adjusted for age and sex.</w:t>
      </w:r>
    </w:p>
    <w:p w14:paraId="42B03FCE">
      <w:pPr>
        <w:pStyle w:val="11"/>
        <w:keepNext/>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60" w:after="60" w:line="480" w:lineRule="auto"/>
        <w:ind w:right="60"/>
        <w:jc w:val="both"/>
        <w:textAlignment w:val="auto"/>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Model 2: Model 1 + marital status, education, residential area, smoking, drinking, systolic blood pressure, diastolic blood pressure, fasting blood glucose, and HbA1c.</w:t>
      </w:r>
    </w:p>
    <w:p w14:paraId="09CE4AB3">
      <w:pPr>
        <w:pStyle w:val="11"/>
        <w:keepNext/>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60" w:after="60" w:line="480" w:lineRule="auto"/>
        <w:ind w:right="60"/>
        <w:jc w:val="both"/>
        <w:textAlignment w:val="auto"/>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Model 3: Model 2 + total cholesterol, HDL, eGFR, history of dyslipidemia, hypertension, diabetes, and medications for dyslipidemia, hypertension, and diabetes.</w:t>
      </w:r>
    </w:p>
    <w:p w14:paraId="22623C7E">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i w:val="0"/>
          <w:iCs/>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bCs/>
          <w:iCs/>
          <w:color w:val="000000" w:themeColor="text1"/>
          <w:sz w:val="24"/>
          <w:szCs w:val="24"/>
          <w:highlight w:val="none"/>
          <w:shd w:val="clear" w:color="auto" w:fill="auto"/>
          <w:lang w:val="en-US" w:eastAsia="zh-CN"/>
          <w14:textFill>
            <w14:solidFill>
              <w14:schemeClr w14:val="tx1"/>
            </w14:solidFill>
          </w14:textFill>
        </w:rPr>
        <w:t>Events/N: Number of CVD events / Total number of participants</w:t>
      </w:r>
      <w:r>
        <w:rPr>
          <w:rFonts w:hint="default" w:ascii="Times New Roman" w:hAnsi="Times New Roman" w:cs="Times New Roman"/>
          <w:b w:val="0"/>
          <w:bCs/>
          <w:iCs/>
          <w:color w:val="000000" w:themeColor="text1"/>
          <w:sz w:val="24"/>
          <w:szCs w:val="24"/>
          <w:highlight w:val="none"/>
          <w:shd w:val="clear" w:color="auto" w:fill="auto"/>
          <w:lang w:val="en-US" w:eastAsia="zh-CN"/>
          <w14:textFill>
            <w14:solidFill>
              <w14:schemeClr w14:val="tx1"/>
            </w14:solidFill>
          </w14:textFill>
        </w:rPr>
        <w:t>.</w:t>
      </w:r>
    </w:p>
    <w:p w14:paraId="5F6B0BE0">
      <w:pPr>
        <w:pStyle w:val="11"/>
        <w:keepNext/>
        <w:keepLines w:val="0"/>
        <w:pageBreakBefore w:val="0"/>
        <w:widowControl/>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firstLine="0" w:firstLineChars="0"/>
        <w:jc w:val="cente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pPr>
    </w:p>
    <w:p w14:paraId="48C3D487">
      <w:pPr>
        <w:pStyle w:val="11"/>
        <w:keepNext/>
        <w:keepLines w:val="0"/>
        <w:pageBreakBefore w:val="0"/>
        <w:widowControl/>
        <w:pBdr>
          <w:top w:val="none" w:color="000000" w:sz="0" w:space="0"/>
          <w:left w:val="none" w:color="000000" w:sz="0" w:space="0"/>
          <w:bottom w:val="none" w:color="000000" w:sz="0" w:space="0"/>
          <w:right w:val="none" w:color="000000" w:sz="0" w:space="0"/>
        </w:pBdr>
        <w:kinsoku/>
        <w:overflowPunct/>
        <w:autoSpaceDE/>
        <w:autoSpaceDN/>
        <w:bidi w:val="0"/>
        <w:adjustRightInd/>
        <w:snapToGrid/>
        <w:spacing w:before="60" w:after="60" w:line="480" w:lineRule="auto"/>
        <w:ind w:left="60" w:right="60" w:firstLine="0" w:firstLineChars="0"/>
        <w:jc w:val="cente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pP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Table S</w:t>
      </w:r>
      <w:r>
        <w:rPr>
          <w:rFonts w:hint="eastAsia"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10</w:t>
      </w:r>
      <w:r>
        <w:rPr>
          <w:rFonts w:hint="default" w:ascii="Times New Roman" w:hAnsi="Times New Roman" w:cs="Times New Roman"/>
          <w:i w:val="0"/>
          <w:iCs/>
          <w:color w:val="000000" w:themeColor="text1"/>
          <w:sz w:val="24"/>
          <w:szCs w:val="24"/>
          <w:highlight w:val="none"/>
          <w:shd w:val="clear" w:color="auto" w:fill="auto"/>
          <w:lang w:val="en-US" w:eastAsia="zh-CN"/>
          <w14:textFill>
            <w14:solidFill>
              <w14:schemeClr w14:val="tx1"/>
            </w14:solidFill>
          </w14:textFill>
        </w:rPr>
        <w:t xml:space="preserve">   </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Subgroup Analyses of the Association Between Cumulative Exposure to METS</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VF and the Risk of CVD in a CKM Syndrome Stage 0</w:t>
      </w:r>
      <w:r>
        <w:rPr>
          <w:rFonts w:hint="eastAsia"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3 Population</w:t>
      </w:r>
      <w:r>
        <w:rPr>
          <w:rFonts w:hint="default" w:ascii="Times New Roman" w:hAnsi="Times New Roman" w:cs="Times New Roman"/>
          <w:b w:val="0"/>
          <w:bCs/>
          <w:i w:val="0"/>
          <w:iCs/>
          <w:color w:val="000000" w:themeColor="text1"/>
          <w:sz w:val="24"/>
          <w:szCs w:val="24"/>
          <w:highlight w:val="none"/>
          <w:shd w:val="clear" w:color="auto" w:fill="auto"/>
          <w:lang w:val="en-US" w:eastAsia="en-US"/>
          <w14:textFill>
            <w14:solidFill>
              <w14:schemeClr w14:val="tx1"/>
            </w14:solidFill>
          </w14:textFill>
        </w:rPr>
        <w:t xml:space="preserve"> After Excluding Individuals With Any Missing Data and Diabetes Medication Use</w:t>
      </w:r>
      <w:r>
        <w:rPr>
          <w:rFonts w:hint="default" w:ascii="Times New Roman" w:hAnsi="Times New Roman" w:cs="Times New Roman"/>
          <w:b w:val="0"/>
          <w:bCs/>
          <w:i w:val="0"/>
          <w:iCs/>
          <w:color w:val="000000" w:themeColor="text1"/>
          <w:sz w:val="24"/>
          <w:szCs w:val="24"/>
          <w:highlight w:val="none"/>
          <w:shd w:val="clear" w:color="auto" w:fill="auto"/>
          <w:lang w:val="en-US" w:eastAsia="zh-CN"/>
          <w14:textFill>
            <w14:solidFill>
              <w14:schemeClr w14:val="tx1"/>
            </w14:solidFill>
          </w14:textFill>
        </w:rPr>
        <w:t>.</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Layout w:type="autofit"/>
        <w:tblCellMar>
          <w:top w:w="0" w:type="dxa"/>
          <w:left w:w="0" w:type="dxa"/>
          <w:bottom w:w="0" w:type="dxa"/>
          <w:right w:w="0" w:type="dxa"/>
        </w:tblCellMar>
      </w:tblPr>
      <w:tblGrid>
        <w:gridCol w:w="1474"/>
        <w:gridCol w:w="1174"/>
        <w:gridCol w:w="821"/>
        <w:gridCol w:w="1152"/>
        <w:gridCol w:w="1546"/>
        <w:gridCol w:w="873"/>
        <w:gridCol w:w="1446"/>
      </w:tblGrid>
      <w:tr w14:paraId="05C4F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rPr>
          <w:trHeight w:val="594" w:hRule="atLeast"/>
          <w:tblHeader/>
        </w:trPr>
        <w:tc>
          <w:tcPr>
            <w:tcW w:w="0" w:type="auto"/>
            <w:gridSpan w:val="2"/>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6594F47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Variable</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31FB1B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Count</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7C5FE5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Percent（%）</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1F73B6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HR (95% CI)</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5DD1EC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P value</w:t>
            </w:r>
          </w:p>
        </w:tc>
        <w:tc>
          <w:tcPr>
            <w:tcW w:w="0" w:type="auto"/>
            <w:tcBorders>
              <w:top w:val="single" w:color="000000" w:sz="12" w:space="0"/>
              <w:left w:val="nil"/>
              <w:bottom w:val="single" w:color="000000" w:sz="6" w:space="0"/>
              <w:right w:val="nil"/>
            </w:tcBorders>
            <w:shd w:val="clear" w:color="auto" w:fill="FFFFFF"/>
            <w:tcMar>
              <w:top w:w="75" w:type="dxa"/>
              <w:left w:w="90" w:type="dxa"/>
              <w:bottom w:w="75" w:type="dxa"/>
              <w:right w:w="90" w:type="dxa"/>
            </w:tcMar>
            <w:vAlign w:val="center"/>
          </w:tcPr>
          <w:p w14:paraId="229197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bCs/>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P for interaction</w:t>
            </w:r>
          </w:p>
        </w:tc>
      </w:tr>
      <w:tr w14:paraId="66C9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center"/>
          </w:tcPr>
          <w:p w14:paraId="4062106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Overall</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center"/>
          </w:tcPr>
          <w:p w14:paraId="081FFB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5A0FE4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3038</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239B72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100</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0E8CF1D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(1.04</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1.22)</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55437E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0.003</w:t>
            </w:r>
          </w:p>
        </w:tc>
        <w:tc>
          <w:tcPr>
            <w:tcW w:w="0" w:type="auto"/>
            <w:tcBorders>
              <w:top w:val="single" w:color="000000" w:sz="6" w:space="0"/>
              <w:left w:val="nil"/>
              <w:bottom w:val="nil"/>
              <w:right w:val="nil"/>
            </w:tcBorders>
            <w:shd w:val="clear" w:color="auto" w:fill="FFFFFF"/>
            <w:tcMar>
              <w:top w:w="75" w:type="dxa"/>
              <w:left w:w="90" w:type="dxa"/>
              <w:bottom w:w="75" w:type="dxa"/>
              <w:right w:w="90" w:type="dxa"/>
            </w:tcMar>
            <w:vAlign w:val="top"/>
          </w:tcPr>
          <w:p w14:paraId="3D9822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2DE72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6CDAE6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Age</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5DE54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&lt;60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BC953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1805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47BCB6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59.4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C5394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1.12 (1.00</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D123B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0.042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3996B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0.91</w:t>
            </w:r>
          </w:p>
        </w:tc>
      </w:tr>
      <w:tr w14:paraId="2B49E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2B2A76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74B59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≥60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B0C77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1233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77C83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40.6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76DCF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(1.01</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2B973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8321F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09B4D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1AD3D3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Gender</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21FE79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Females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C0254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1587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09D08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52.2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F7656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1.10 (0.98</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3E10C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0.104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1C63B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0.445</w:t>
            </w:r>
          </w:p>
        </w:tc>
      </w:tr>
      <w:tr w14:paraId="37039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0872FE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4C30B7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Males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B8B20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1451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66D23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47.8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1D06F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1.15 (1.03</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FADEE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0.016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EEC84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6D170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3BC5BC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Smoking</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DA4F4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Current Smoker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796CD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965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A407B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31.8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DD261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1.08 (0.94</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63E53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0.272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AA3A5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0.683</w:t>
            </w:r>
          </w:p>
        </w:tc>
      </w:tr>
      <w:tr w14:paraId="25B7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1BBC4A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31950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Former Smoker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38E95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219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93721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7.2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8F931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1.29 (0.95</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1.73)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18486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0.098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80DF1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3EE50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6132B6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09E673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Never Smoked</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0CB0A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1854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E4EDC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61.0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6EE38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(1.02</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8BADF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0.021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5E870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25146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018F17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Drinking</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202D9B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Current Drinker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2E8FF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1013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898EE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33.3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C5AAB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1.10 (0.95</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0F38B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0.191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2CC55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0.945</w:t>
            </w:r>
          </w:p>
        </w:tc>
      </w:tr>
      <w:tr w14:paraId="5BD0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310E17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2F894A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Former Drinker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263B53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215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69C5B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7.1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2F5EF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1.16 (0.90</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1.51)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5C30D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0.257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A7900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627E4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4B0CE8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2AAC5D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Never Drinker</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C0511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1810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9BF5A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59.6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D780A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1.14 (1.03</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9D236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0.014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7D7F4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77E09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1EC3D6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Dyslipidemia</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59256B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No</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F9830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2838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DF018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93.4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7E0B0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(1.04</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F2E06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441DA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0.876</w:t>
            </w:r>
          </w:p>
        </w:tc>
      </w:tr>
      <w:tr w14:paraId="0AE2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71CA107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7AEB6F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Yes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0F521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200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528E3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6.6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16C02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1.10 (0.85</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1.41)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3C17F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0.477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2006C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6AA11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4F8674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Hypertension</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2E846E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No</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2D984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2440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5B39A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80.3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DF1F8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1.10 (1.01</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A2BEA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0.038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D5219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0.43</w:t>
            </w:r>
          </w:p>
        </w:tc>
      </w:tr>
      <w:tr w14:paraId="55E35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48321C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6FFFE3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Yes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9A664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598</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2C8F1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19.7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0691F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1.22 (1.03</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1.44)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518A5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B2331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5BAD1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497C38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Diabetes</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70CF0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No</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D5C46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3019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3F7E3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99.4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358C3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1.13 (1.04</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396F5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897B0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0.874</w:t>
            </w:r>
          </w:p>
        </w:tc>
      </w:tr>
      <w:tr w14:paraId="2631F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nil"/>
              <w:right w:val="nil"/>
            </w:tcBorders>
            <w:shd w:val="clear" w:color="auto" w:fill="FFFFFF"/>
            <w:tcMar>
              <w:top w:w="75" w:type="dxa"/>
              <w:left w:w="90" w:type="dxa"/>
              <w:bottom w:w="75" w:type="dxa"/>
              <w:right w:w="90" w:type="dxa"/>
            </w:tcMar>
            <w:vAlign w:val="center"/>
          </w:tcPr>
          <w:p w14:paraId="382DEB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3EEE3E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Yes</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62BE4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9A987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ADE62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 (0.00</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F1CF6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&lt;0.001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557AC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05D5C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restart"/>
            <w:tcBorders>
              <w:top w:val="nil"/>
              <w:left w:val="nil"/>
              <w:right w:val="nil"/>
            </w:tcBorders>
            <w:shd w:val="clear" w:color="auto" w:fill="FFFFFF"/>
            <w:tcMar>
              <w:top w:w="75" w:type="dxa"/>
              <w:left w:w="90" w:type="dxa"/>
              <w:bottom w:w="75" w:type="dxa"/>
              <w:right w:w="90" w:type="dxa"/>
            </w:tcMar>
            <w:vAlign w:val="center"/>
          </w:tcPr>
          <w:p w14:paraId="04565F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CKM</w:t>
            </w: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43B41E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1BF7E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354</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5CC963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11.7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44BEF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1.04 (0.59</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1.83)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4E46C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0.893</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505B5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0.14</w:t>
            </w:r>
          </w:p>
        </w:tc>
      </w:tr>
      <w:tr w14:paraId="6B211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0C911F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27346C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B3263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806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319048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26.5</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F9EA7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1.09 (0.92</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D665C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0.316</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0457F7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1F15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right w:val="nil"/>
            </w:tcBorders>
            <w:shd w:val="clear" w:color="auto" w:fill="FFFFFF"/>
            <w:tcMar>
              <w:top w:w="75" w:type="dxa"/>
              <w:left w:w="90" w:type="dxa"/>
              <w:bottom w:w="75" w:type="dxa"/>
              <w:right w:w="90" w:type="dxa"/>
            </w:tcMar>
            <w:vAlign w:val="center"/>
          </w:tcPr>
          <w:p w14:paraId="5837C9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nil"/>
              <w:right w:val="nil"/>
            </w:tcBorders>
            <w:shd w:val="clear" w:color="auto" w:fill="FFFFFF"/>
            <w:tcMar>
              <w:top w:w="75" w:type="dxa"/>
              <w:left w:w="90" w:type="dxa"/>
              <w:bottom w:w="75" w:type="dxa"/>
              <w:right w:w="90" w:type="dxa"/>
            </w:tcMar>
            <w:vAlign w:val="center"/>
          </w:tcPr>
          <w:p w14:paraId="4240E2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7D4FAE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1607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24806C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52.9</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1F4CD0E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1.09 (0.98</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1.21)</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634511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0.117</w:t>
            </w:r>
          </w:p>
        </w:tc>
        <w:tc>
          <w:tcPr>
            <w:tcW w:w="0" w:type="auto"/>
            <w:tcBorders>
              <w:top w:val="nil"/>
              <w:left w:val="nil"/>
              <w:bottom w:val="nil"/>
              <w:right w:val="nil"/>
            </w:tcBorders>
            <w:shd w:val="clear" w:color="auto" w:fill="FFFFFF"/>
            <w:tcMar>
              <w:top w:w="75" w:type="dxa"/>
              <w:left w:w="90" w:type="dxa"/>
              <w:bottom w:w="75" w:type="dxa"/>
              <w:right w:w="90" w:type="dxa"/>
            </w:tcMar>
            <w:vAlign w:val="top"/>
          </w:tcPr>
          <w:p w14:paraId="4C3B08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r w14:paraId="6EF4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CFC"/>
          <w:tblCellMar>
            <w:top w:w="0" w:type="dxa"/>
            <w:left w:w="0" w:type="dxa"/>
            <w:bottom w:w="0" w:type="dxa"/>
            <w:right w:w="0" w:type="dxa"/>
          </w:tblCellMar>
        </w:tblPrEx>
        <w:tc>
          <w:tcPr>
            <w:tcW w:w="0" w:type="auto"/>
            <w:vMerge w:val="continue"/>
            <w:tcBorders>
              <w:left w:val="nil"/>
              <w:bottom w:val="single" w:color="000000" w:sz="12" w:space="0"/>
              <w:right w:val="nil"/>
            </w:tcBorders>
            <w:shd w:val="clear" w:color="auto" w:fill="FFFFFF"/>
            <w:tcMar>
              <w:top w:w="75" w:type="dxa"/>
              <w:left w:w="90" w:type="dxa"/>
              <w:bottom w:w="75" w:type="dxa"/>
              <w:right w:w="90" w:type="dxa"/>
            </w:tcMar>
            <w:vAlign w:val="center"/>
          </w:tcPr>
          <w:p w14:paraId="582C18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center"/>
          </w:tcPr>
          <w:p w14:paraId="00E912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3</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08DA99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271</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776E810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8.9</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35D700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1.47 (1.05</w:t>
            </w: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2.04)</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282C01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0.023</w:t>
            </w:r>
          </w:p>
        </w:tc>
        <w:tc>
          <w:tcPr>
            <w:tcW w:w="0" w:type="auto"/>
            <w:tcBorders>
              <w:top w:val="nil"/>
              <w:left w:val="nil"/>
              <w:bottom w:val="single" w:color="000000" w:sz="12" w:space="0"/>
              <w:right w:val="nil"/>
            </w:tcBorders>
            <w:shd w:val="clear" w:color="auto" w:fill="FFFFFF"/>
            <w:tcMar>
              <w:top w:w="75" w:type="dxa"/>
              <w:left w:w="90" w:type="dxa"/>
              <w:bottom w:w="75" w:type="dxa"/>
              <w:right w:w="90" w:type="dxa"/>
            </w:tcMar>
            <w:vAlign w:val="top"/>
          </w:tcPr>
          <w:p w14:paraId="1729C3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textAlignment w:val="baseline"/>
              <w:rPr>
                <w:rFonts w:hint="default"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pPr>
            <w:r>
              <w:rPr>
                <w:rFonts w:hint="eastAsia" w:ascii="Times New Roman" w:hAnsi="Times New Roman" w:eastAsia="黑体" w:cs="Times New Roman"/>
                <w:b w:val="0"/>
                <w:bCs w:val="0"/>
                <w:color w:val="000000" w:themeColor="text1"/>
                <w:kern w:val="2"/>
                <w:sz w:val="24"/>
                <w:szCs w:val="24"/>
                <w:highlight w:val="none"/>
                <w:shd w:val="clear" w:color="auto" w:fill="auto"/>
                <w:lang w:val="en-US" w:eastAsia="zh-CN" w:bidi="ar-SA"/>
                <w14:textFill>
                  <w14:solidFill>
                    <w14:schemeClr w14:val="tx1"/>
                  </w14:solidFill>
                </w14:textFill>
                <w14:ligatures w14:val="standardContextual"/>
              </w:rPr>
              <w:t>-</w:t>
            </w:r>
          </w:p>
        </w:tc>
      </w:tr>
    </w:tbl>
    <w:p w14:paraId="17D96DE6">
      <w:pP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pPr>
    </w:p>
    <w:p w14:paraId="7055EA20">
      <w:pPr>
        <w:rPr>
          <w:rFonts w:hint="default" w:ascii="Times New Roman" w:hAnsi="Times New Roman" w:cs="Times New Roman"/>
          <w:color w:val="000000" w:themeColor="text1"/>
          <w:sz w:val="24"/>
          <w:szCs w:val="24"/>
          <w:highlight w:val="none"/>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51F6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5DDA9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5DDA9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7EA6"/>
    <w:rsid w:val="02322A46"/>
    <w:rsid w:val="03D900A5"/>
    <w:rsid w:val="0E853D3D"/>
    <w:rsid w:val="157558A2"/>
    <w:rsid w:val="245C1523"/>
    <w:rsid w:val="254367AB"/>
    <w:rsid w:val="26B1141E"/>
    <w:rsid w:val="281C5836"/>
    <w:rsid w:val="293C06B1"/>
    <w:rsid w:val="2DE54EFF"/>
    <w:rsid w:val="2F601055"/>
    <w:rsid w:val="34D3220B"/>
    <w:rsid w:val="34F03D1E"/>
    <w:rsid w:val="39F25870"/>
    <w:rsid w:val="3AAB08B1"/>
    <w:rsid w:val="42E06979"/>
    <w:rsid w:val="43BB30E7"/>
    <w:rsid w:val="52CA50F4"/>
    <w:rsid w:val="59202D39"/>
    <w:rsid w:val="5A5F43B4"/>
    <w:rsid w:val="5A7E03E1"/>
    <w:rsid w:val="6B6E1C65"/>
    <w:rsid w:val="70E3540E"/>
    <w:rsid w:val="721B268D"/>
    <w:rsid w:val="78580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Bibliography"/>
    <w:basedOn w:val="1"/>
    <w:next w:val="1"/>
    <w:qFormat/>
    <w:uiPriority w:val="0"/>
    <w:pPr>
      <w:tabs>
        <w:tab w:val="left" w:pos="264"/>
      </w:tabs>
      <w:spacing w:after="240"/>
      <w:ind w:left="264" w:hanging="264"/>
    </w:pPr>
  </w:style>
  <w:style w:type="paragraph" w:customStyle="1" w:styleId="11">
    <w:name w:val="Table Caption"/>
    <w:basedOn w:val="12"/>
    <w:qFormat/>
    <w:uiPriority w:val="0"/>
  </w:style>
  <w:style w:type="paragraph" w:customStyle="1" w:styleId="12">
    <w:name w:val="Image Caption"/>
    <w:basedOn w:val="1"/>
    <w:qFormat/>
    <w:uiPriority w:val="0"/>
    <w:pPr>
      <w:jc w:val="center"/>
    </w:pPr>
    <w:rPr>
      <w:b/>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727</Words>
  <Characters>4111</Characters>
  <Lines>0</Lines>
  <Paragraphs>0</Paragraphs>
  <TotalTime>5</TotalTime>
  <ScaleCrop>false</ScaleCrop>
  <LinksUpToDate>false</LinksUpToDate>
  <CharactersWithSpaces>4744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2026-01-13T16:36:00Z</dcterms:created>
  <dc:creator>ZZZ</dc:creator>
  <cp:lastModifiedBy>金鱼浩</cp:lastModifiedBy>
  <dcterms:modified xsi:type="dcterms:W3CDTF">2026-03-24T16:02:13Z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eyJoZGlkIjoiNjlhYWE2ZTdlMmJhZjMwYzI5NmQ5NzNmZTk5Mzk0N2UiLCJ1c2VySWQiOiIzMTcwMDEzMDgifQ==</vt:lpwstr>
  </property>
  <property fmtid="{D5CDD505-2E9C-101B-9397-08002B2CF9AE}" pid="4" name="ICV">
    <vt:lpwstr>6BBA273A219B4398A707B8F3D26520A0_12</vt:lpwstr>
  </property>
</Properties>
</file>