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E122F">
      <w:pPr>
        <w:rPr>
          <w:rFonts w:hint="eastAsia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Supplementary Material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</w:p>
    <w:p w14:paraId="1BFBEF69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Multivariate Cox Regression After Excluding Covariates with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Missing Values </w:t>
      </w:r>
    </w:p>
    <w:tbl>
      <w:tblPr>
        <w:tblStyle w:val="3"/>
        <w:tblpPr w:leftFromText="180" w:rightFromText="180" w:vertAnchor="text" w:horzAnchor="page" w:tblpX="1097" w:tblpY="109"/>
        <w:tblOverlap w:val="never"/>
        <w:tblW w:w="600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432"/>
        <w:gridCol w:w="807"/>
        <w:gridCol w:w="1156"/>
        <w:gridCol w:w="807"/>
        <w:gridCol w:w="1155"/>
        <w:gridCol w:w="807"/>
        <w:gridCol w:w="1155"/>
        <w:gridCol w:w="808"/>
      </w:tblGrid>
      <w:tr w14:paraId="03E6A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2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240B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Exposure</w:t>
            </w:r>
          </w:p>
        </w:tc>
        <w:tc>
          <w:tcPr>
            <w:tcW w:w="69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2F2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Crude Model</w:t>
            </w:r>
          </w:p>
        </w:tc>
        <w:tc>
          <w:tcPr>
            <w:tcW w:w="39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E56210">
            <w:pPr>
              <w:widowControl/>
              <w:jc w:val="center"/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56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99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ModelⅠ</w:t>
            </w:r>
          </w:p>
        </w:tc>
        <w:tc>
          <w:tcPr>
            <w:tcW w:w="39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10A620">
            <w:pPr>
              <w:widowControl/>
              <w:jc w:val="center"/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56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33F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ModelⅡ</w:t>
            </w:r>
          </w:p>
        </w:tc>
        <w:tc>
          <w:tcPr>
            <w:tcW w:w="39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8012C0">
            <w:pPr>
              <w:widowControl/>
              <w:jc w:val="center"/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</w:p>
        </w:tc>
        <w:tc>
          <w:tcPr>
            <w:tcW w:w="56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D0A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ModelⅢ</w:t>
            </w:r>
          </w:p>
        </w:tc>
        <w:tc>
          <w:tcPr>
            <w:tcW w:w="39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E3663E8">
            <w:pPr>
              <w:widowControl/>
              <w:jc w:val="center"/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14:paraId="4DC46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2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FF18D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E22AD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39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250A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552E7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39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C6902B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8AA32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39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EFFF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CEAB23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HR(95%CI)</w:t>
            </w:r>
          </w:p>
        </w:tc>
        <w:tc>
          <w:tcPr>
            <w:tcW w:w="39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C5071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235E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611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sodium-to-chloride ratio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6F5B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1.11 (1.06~1.16)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A0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3EDF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1.12 (1.07~1.17)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19B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75394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1.07 (1.03~1.12)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84DF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0.001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9ADFA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1.06 (1.02~1.11)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70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0.006</w:t>
            </w:r>
          </w:p>
        </w:tc>
      </w:tr>
      <w:tr w14:paraId="6AE96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47E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sodium-to-chloride ratio tertiles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646F"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5BA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B2D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5D41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109F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4DCD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1C77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395A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9FC3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B243">
            <w:pPr>
              <w:widowControl/>
              <w:ind w:firstLine="220" w:firstLineChars="100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Tertile 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BD3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341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CCC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86D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C6A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97F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147F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0DB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4689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47731">
            <w:pPr>
              <w:widowControl/>
              <w:ind w:firstLine="220" w:firstLineChars="100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Tertile 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1BAB9B">
            <w:pPr>
              <w:widowControl/>
              <w:ind w:firstLine="770" w:firstLineChars="350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1.1 (0.62~1.95)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CE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0.736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FD3D">
            <w:pPr>
              <w:widowControl/>
              <w:ind w:left="105" w:leftChars="50" w:firstLine="550" w:firstLineChars="250"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1.24 (0.7~2.19)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105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0.46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97AE7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1.38 (0.78~2.45)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21F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0.266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D7AA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1.25 (0.7~2.22)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09E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14:paraId="71819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93E47">
            <w:pPr>
              <w:widowControl/>
              <w:ind w:firstLine="220" w:firstLineChars="100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Tertile 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D8A95">
            <w:pPr>
              <w:widowControl/>
              <w:ind w:firstLine="770" w:firstLineChars="350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1.8 (1.08~3.01)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22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0.025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DC899">
            <w:pPr>
              <w:widowControl/>
              <w:ind w:left="105" w:leftChars="50" w:firstLine="550" w:firstLineChars="250"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2.11 (1.26~3.53)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283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0.005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1C4AC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1.98 (1.18~3.33)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CC1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76A96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1.78 (1.04~3.04)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8BE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0.037</w:t>
            </w:r>
          </w:p>
        </w:tc>
      </w:tr>
      <w:tr w14:paraId="0EE5B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BA09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 xml:space="preserve"> for trend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F96EB78"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A44F1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0.017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1B10D6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CCBDB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238D94F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77667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0.009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731AC79">
            <w:pPr>
              <w:widowControl/>
              <w:jc w:val="righ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2F377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0.032</w:t>
            </w:r>
          </w:p>
        </w:tc>
      </w:tr>
    </w:tbl>
    <w:p w14:paraId="794F3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Sodium-to-chloride ratio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was entered as continuous variable per 0.01 increase; Crude Model: didn’t adjusted for covaria</w:t>
      </w:r>
      <w:r>
        <w:rPr>
          <w:rFonts w:hint="eastAsia"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es; ModelⅠ: adjusted for age, gender; ModelⅡ: ModelⅠ+ myocardial infarction, congestive heart failure, cerebrovascular disease, chronic pulmonary disease, diabetes, renal disease, CCI, and APSⅢ; Model Ⅲ: ModelⅡ+heart rate, MBP, RR, SPO2, WBC, </w:t>
      </w:r>
      <w:r>
        <w:rPr>
          <w:rFonts w:hint="eastAsia"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rea </w:t>
      </w:r>
      <w:r>
        <w:rPr>
          <w:rFonts w:hint="eastAsia"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lucose.</w:t>
      </w:r>
    </w:p>
    <w:p w14:paraId="1658B9AC">
      <w:pPr>
        <w:rPr>
          <w:rFonts w:hint="eastAsia"/>
          <w:b/>
          <w:bCs/>
          <w:lang w:val="en-US" w:eastAsia="zh-CN"/>
        </w:rPr>
      </w:pPr>
    </w:p>
    <w:p w14:paraId="794265B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 xml:space="preserve">2. Table S2.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Multivariable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ox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egression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to assess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ssociation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etween 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odium-to-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hloride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atio and 30-Day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ortality (Including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actate)</w:t>
      </w:r>
    </w:p>
    <w:tbl>
      <w:tblPr>
        <w:tblStyle w:val="3"/>
        <w:tblW w:w="618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70"/>
        <w:gridCol w:w="808"/>
        <w:gridCol w:w="1156"/>
        <w:gridCol w:w="808"/>
        <w:gridCol w:w="1155"/>
        <w:gridCol w:w="808"/>
        <w:gridCol w:w="1154"/>
        <w:gridCol w:w="1148"/>
      </w:tblGrid>
      <w:tr w14:paraId="0509A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5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C0B99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1A47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Crude Model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68A5BC6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426D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FFF9EF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1F93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Ⅱ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13BCECA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5577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Ⅲ</w:t>
            </w:r>
          </w:p>
        </w:tc>
        <w:tc>
          <w:tcPr>
            <w:tcW w:w="54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7984F44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</w:tr>
      <w:tr w14:paraId="67F3B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0F1FE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00EA73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2B63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09D027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31003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44088A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19C7A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6C98E0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HR(95%CI)</w:t>
            </w:r>
          </w:p>
        </w:tc>
        <w:tc>
          <w:tcPr>
            <w:tcW w:w="54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D5C1B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7C0A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372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A6BE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1.11 (1.06~1.16)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EC3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7F9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1.12 (1.07~1.17)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657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9DBA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1.07 (1.03~1.12)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36A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49EE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(1.02~1.1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8C88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</w:tr>
      <w:tr w14:paraId="145E5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EA3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 tertiles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B81C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0FD8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638CC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C3E6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2EF17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8D3C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10955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A11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49FF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38DB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E17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E7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8EE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9B4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27BC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49B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1677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EFF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52778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717C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0AD8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1.15 (0.65~2.02)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A07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0.632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0ACD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1.29 (0.74~2.27)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76D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0.373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87FF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1.44 (0.82~2.53)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AEC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8CD6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0B724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696</w:t>
            </w:r>
          </w:p>
        </w:tc>
      </w:tr>
      <w:tr w14:paraId="41955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C3F89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4612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1.81 (1.08~3.03)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2CD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C86D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2.13 (1.27~3.56)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EF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7A88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1.99 (1.18~3.34)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CB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9738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~3.05)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0AC6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</w:tr>
      <w:tr w14:paraId="28491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6D70E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52CE24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55CD5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8D3A5E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F16C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77EC0F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D8F47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10718F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E5DC4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</w:tbl>
    <w:p w14:paraId="03253815">
      <w:pPr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Note: sodium-to-chloride ratio</w:t>
      </w:r>
      <w:r>
        <w:rPr>
          <w:rFonts w:ascii="Times New Roman" w:hAnsi="Times New Roman" w:cs="Times New Roman" w:eastAsiaTheme="minorHAnsi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was entered as continuous variable per 0.01 increase; Crude Model: didn’t adjusted for covaria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t</w:t>
      </w:r>
      <w:r>
        <w:rPr>
          <w:rFonts w:ascii="Times New Roman" w:hAnsi="Times New Roman" w:cs="Times New Roman" w:eastAsiaTheme="minorHAnsi"/>
          <w:sz w:val="24"/>
          <w:szCs w:val="24"/>
        </w:rPr>
        <w:t>es;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Ⅰ: adjusted for age, gender;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Ⅰ+myocardial infarction, congestive heart failure, cerebrovascular disease, chronic pulmonary disease, diabetes, renal disease, CCI, and APSⅢ; Model Ⅲ: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Ⅱ+heart rate, MBP, RR, SPO</w:t>
      </w:r>
      <w:r>
        <w:rPr>
          <w:rFonts w:ascii="Times New Roman" w:hAnsi="Times New Roman" w:cs="Times New Roman" w:eastAsiaTheme="minorHAnsi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, WBC,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c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h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u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rea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n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g</w:t>
      </w:r>
      <w:r>
        <w:rPr>
          <w:rFonts w:ascii="Times New Roman" w:hAnsi="Times New Roman" w:cs="Times New Roman" w:eastAsiaTheme="minorHAnsi"/>
          <w:sz w:val="24"/>
          <w:szCs w:val="24"/>
        </w:rPr>
        <w:t>lucose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, lactate</w:t>
      </w:r>
      <w:r>
        <w:rPr>
          <w:rFonts w:ascii="Times New Roman" w:hAnsi="Times New Roman" w:cs="Times New Roman" w:eastAsiaTheme="minorHAnsi"/>
          <w:sz w:val="24"/>
          <w:szCs w:val="24"/>
        </w:rPr>
        <w:t>.</w:t>
      </w:r>
    </w:p>
    <w:p w14:paraId="43CA3DC7">
      <w:pPr>
        <w:rPr>
          <w:rFonts w:ascii="Times New Roman" w:hAnsi="Times New Roman" w:cs="Times New Roman" w:eastAsiaTheme="minorHAnsi"/>
          <w:sz w:val="24"/>
          <w:szCs w:val="24"/>
        </w:rPr>
      </w:pPr>
    </w:p>
    <w:p w14:paraId="4559AB2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 xml:space="preserve">. Table S3.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Association between sodium-to-chloride ratio tertiles and 30-day mortality across three analytical models</w:t>
      </w:r>
    </w:p>
    <w:tbl>
      <w:tblPr>
        <w:tblStyle w:val="3"/>
        <w:tblW w:w="105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  <w:gridCol w:w="1826"/>
        <w:gridCol w:w="831"/>
        <w:gridCol w:w="2016"/>
        <w:gridCol w:w="831"/>
        <w:gridCol w:w="1346"/>
        <w:gridCol w:w="756"/>
      </w:tblGrid>
      <w:tr w14:paraId="081D4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C21463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20B5C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831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0981DE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</w:p>
        </w:tc>
        <w:tc>
          <w:tcPr>
            <w:tcW w:w="201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D0983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4"/>
                <w:szCs w:val="24"/>
              </w:rPr>
              <w:t>Multivariable HR</w:t>
            </w:r>
          </w:p>
        </w:tc>
        <w:tc>
          <w:tcPr>
            <w:tcW w:w="831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A4D0E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</w:p>
        </w:tc>
        <w:tc>
          <w:tcPr>
            <w:tcW w:w="13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C323E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4"/>
                <w:szCs w:val="24"/>
              </w:rPr>
              <w:t>Doubly Robust HR</w:t>
            </w:r>
          </w:p>
        </w:tc>
        <w:tc>
          <w:tcPr>
            <w:tcW w:w="784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CD50EC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</w:p>
        </w:tc>
      </w:tr>
      <w:tr w14:paraId="544AB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D232A3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81E2ED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831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3FA864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DAED6F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831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061081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604559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 xml:space="preserve">HR </w:t>
            </w:r>
          </w:p>
          <w:p w14:paraId="123DB05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784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769E01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165DA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57DD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sodium-to-chloride ratio tertiles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53D1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A0E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B2E3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648A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EC6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B07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69AC2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D2CE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Tertile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ED2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6330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A456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268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9EF1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2FB1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B586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035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Tertile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908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1.15 (0.65~2.02)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CB0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0.632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593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(0.74~2.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57E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314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(0.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~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BEFD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472</w:t>
            </w:r>
          </w:p>
        </w:tc>
      </w:tr>
      <w:tr w14:paraId="0F6E7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F60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Tertile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B9C3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1.81 (1.08~3.03)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C0B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0.023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1A0A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(1.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~3.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C537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8651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(1.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~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241D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</w:tr>
      <w:tr w14:paraId="612F2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D5F29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11169E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4D4903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0.017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24059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8984AD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67D03B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B1181B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</w:tr>
    </w:tbl>
    <w:p w14:paraId="1E321F5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Note: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Crude: unadjusted; Multivariable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adjusted for all covariates;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Doubly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obust: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oubly robust estimation using inverse probability of treatment weighting (IPTW) and multivariable Cox regression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</w:p>
    <w:p w14:paraId="3963339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394E9BD">
      <w:pPr>
        <w:pStyle w:val="2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Kaplan-Meier Survival Curves After Excluding </w:t>
      </w:r>
      <w:bookmarkStart w:id="0" w:name="OLE_LINK5"/>
      <w:r>
        <w:rPr>
          <w:rFonts w:ascii="Times New Roman" w:hAnsi="Times New Roman" w:cs="Times New Roman"/>
          <w:b/>
          <w:bCs/>
          <w:sz w:val="24"/>
          <w:szCs w:val="24"/>
        </w:rPr>
        <w:t>Covariates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Missing Values</w:t>
      </w:r>
    </w:p>
    <w:p w14:paraId="24B9C893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3844290" cy="2151380"/>
            <wp:effectExtent l="0" t="0" r="13335" b="7620"/>
            <wp:docPr id="123611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11558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29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F762E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 xml:space="preserve">5. </w:t>
      </w: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Table S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4. Multivariable cox regression to assess the association between serum sodium and 30-Day mortality</w:t>
      </w:r>
    </w:p>
    <w:tbl>
      <w:tblPr>
        <w:tblStyle w:val="3"/>
        <w:tblW w:w="618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70"/>
        <w:gridCol w:w="808"/>
        <w:gridCol w:w="1156"/>
        <w:gridCol w:w="808"/>
        <w:gridCol w:w="1155"/>
        <w:gridCol w:w="808"/>
        <w:gridCol w:w="1154"/>
        <w:gridCol w:w="1148"/>
      </w:tblGrid>
      <w:tr w14:paraId="7E7A63D8">
        <w:trPr>
          <w:trHeight w:val="463" w:hRule="atLeast"/>
          <w:jc w:val="center"/>
        </w:trPr>
        <w:tc>
          <w:tcPr>
            <w:tcW w:w="105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04F9C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C2C2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Crude Model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31D53A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9D4B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188F7DB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13134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Ⅱ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6893D58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055F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Ⅲ</w:t>
            </w:r>
          </w:p>
        </w:tc>
        <w:tc>
          <w:tcPr>
            <w:tcW w:w="54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5D9B747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</w:tr>
      <w:tr w14:paraId="5A752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832D3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9ECEDF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5B4DE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34FDB9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9E3A4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172F23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3ED1B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2E6870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HR(95%CI)</w:t>
            </w:r>
          </w:p>
        </w:tc>
        <w:tc>
          <w:tcPr>
            <w:tcW w:w="54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9708F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D9B4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27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C688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75B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C88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(1.07~1.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6B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2AB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D15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A6DF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FD42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</w:tr>
      <w:tr w14:paraId="2DA0A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733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 tertiles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2EF8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2AC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874C8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737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926BD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582D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EEEB6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A407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897A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DE30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CD9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0B3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03E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6A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32E1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CB5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B1AB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956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2307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F79E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89F1F">
            <w:pPr>
              <w:widowControl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06</w:t>
            </w:r>
          </w:p>
          <w:p w14:paraId="39AD3B9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54DB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845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F4D2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094D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2F49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1B69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375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D31E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5171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296</w:t>
            </w:r>
          </w:p>
        </w:tc>
      </w:tr>
      <w:tr w14:paraId="17AE7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450C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CA0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(1.08~3.0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770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0321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73C7A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B376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21C9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D919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D88B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</w:tr>
      <w:tr w14:paraId="665F7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CCD4B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02E7D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F0F84D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3732FC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65A8BF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0382B0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B75C3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EF2DF0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1B8EA5C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38</w:t>
            </w:r>
          </w:p>
        </w:tc>
      </w:tr>
    </w:tbl>
    <w:p w14:paraId="1595BA0A">
      <w:pPr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Note: </w:t>
      </w:r>
      <w:r>
        <w:rPr>
          <w:rFonts w:ascii="Times New Roman" w:hAnsi="Times New Roman" w:cs="Times New Roman" w:eastAsiaTheme="minorHAnsi"/>
          <w:sz w:val="24"/>
          <w:szCs w:val="24"/>
        </w:rPr>
        <w:t>Crude Model: didn’t adjusted for covaria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t</w:t>
      </w:r>
      <w:r>
        <w:rPr>
          <w:rFonts w:ascii="Times New Roman" w:hAnsi="Times New Roman" w:cs="Times New Roman" w:eastAsiaTheme="minorHAnsi"/>
          <w:sz w:val="24"/>
          <w:szCs w:val="24"/>
        </w:rPr>
        <w:t>es;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Ⅰ: adjusted for age, gender;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Ⅰ+myocardial infarction, congestive heart failure, cerebrovascular disease, chronic pulmonary disease, diabetes, renal disease, CCI, and APSⅢ; Model Ⅲ: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Ⅱ+heart rate, MBP, RR, SPO</w:t>
      </w:r>
      <w:r>
        <w:rPr>
          <w:rFonts w:ascii="Times New Roman" w:hAnsi="Times New Roman" w:cs="Times New Roman" w:eastAsiaTheme="minorHAnsi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, WBC,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c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h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u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rea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n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g</w:t>
      </w:r>
      <w:r>
        <w:rPr>
          <w:rFonts w:ascii="Times New Roman" w:hAnsi="Times New Roman" w:cs="Times New Roman" w:eastAsiaTheme="minorHAnsi"/>
          <w:sz w:val="24"/>
          <w:szCs w:val="24"/>
        </w:rPr>
        <w:t>lucose.</w:t>
      </w:r>
    </w:p>
    <w:p w14:paraId="75FE417A">
      <w:pPr>
        <w:rPr>
          <w:rFonts w:hint="eastAsia"/>
        </w:rPr>
      </w:pPr>
    </w:p>
    <w:p w14:paraId="301E8317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6. </w:t>
      </w: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2. 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estricted cubic spline analysis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for serum sodium</w:t>
      </w:r>
    </w:p>
    <w:p w14:paraId="27B3ECA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Restricted cubic spline (RCS) analysis demonstrated a significant association between serum sodium and 30-day mortality (P for overall = 0.001), with evidence of a non-linear relationship (P for non-linearity = 0.007).</w:t>
      </w:r>
    </w:p>
    <w:p w14:paraId="715A1EA8">
      <w:pPr>
        <w:rPr>
          <w:rFonts w:hint="default" w:ascii="Times New Roman" w:hAnsi="Times New Roman" w:cs="Times New Roman"/>
          <w:sz w:val="24"/>
          <w:szCs w:val="24"/>
        </w:rPr>
      </w:pPr>
    </w:p>
    <w:p w14:paraId="5BB0E7E3">
      <w:pPr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2639060" cy="2633345"/>
            <wp:effectExtent l="0" t="0" r="1206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F37F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CA1252D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 xml:space="preserve">7. </w:t>
      </w: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Table S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5. Multivariable cox regression to assess the association between serum chloride and 30-Day mortality</w:t>
      </w:r>
    </w:p>
    <w:tbl>
      <w:tblPr>
        <w:tblStyle w:val="3"/>
        <w:tblW w:w="618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70"/>
        <w:gridCol w:w="808"/>
        <w:gridCol w:w="1156"/>
        <w:gridCol w:w="808"/>
        <w:gridCol w:w="1155"/>
        <w:gridCol w:w="808"/>
        <w:gridCol w:w="1154"/>
        <w:gridCol w:w="1148"/>
      </w:tblGrid>
      <w:tr w14:paraId="3DEC4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5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91D8B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CCF0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Crude Model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BCDB97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1BC2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A894E6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0ED0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Ⅱ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ADF3511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6A9C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Ⅲ</w:t>
            </w:r>
          </w:p>
        </w:tc>
        <w:tc>
          <w:tcPr>
            <w:tcW w:w="54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7D09CD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</w:tr>
      <w:tr w14:paraId="3A6A6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D9C18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99CF37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6A57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0C6CF4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67DA9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6409CE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E5FB7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3FEACC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HR(95%CI)</w:t>
            </w:r>
          </w:p>
        </w:tc>
        <w:tc>
          <w:tcPr>
            <w:tcW w:w="54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C72A9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3C71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3A34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chloride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A1EB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E647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484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6EB9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26CC4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1866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B845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522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98AD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B8AE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662</w:t>
            </w:r>
          </w:p>
        </w:tc>
      </w:tr>
      <w:tr w14:paraId="3FCB3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664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chloride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tertiles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0485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03C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3D1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9033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69B67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6F91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E8A8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4E5E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6C5E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967A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E4A5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38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DBC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965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8A49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344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F742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D84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4346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6C8D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7733F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68</w:t>
            </w:r>
          </w:p>
          <w:p w14:paraId="42F76F0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F7BE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166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49DF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BE7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151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D854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287FC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569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3839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4328D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576</w:t>
            </w:r>
          </w:p>
        </w:tc>
      </w:tr>
      <w:tr w14:paraId="5FCCC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503A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A37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20D4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458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D804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9E32C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216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45A8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31DC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699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B599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BC3CD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781</w:t>
            </w:r>
          </w:p>
        </w:tc>
      </w:tr>
      <w:tr w14:paraId="68CE4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6C834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3D773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515F25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532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483EF0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DA297F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259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3CD129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985CCE4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728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147DDF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A56F4DA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817</w:t>
            </w:r>
          </w:p>
        </w:tc>
      </w:tr>
    </w:tbl>
    <w:p w14:paraId="28A33225">
      <w:pPr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hint="eastAsia" w:ascii="Times New Roman" w:hAnsi="Times New Roman" w:cs="Times New Roman" w:eastAsiaTheme="minorHAnsi"/>
          <w:sz w:val="24"/>
          <w:szCs w:val="24"/>
          <w:lang w:val="en-US" w:eastAsia="zh-CN"/>
        </w:rPr>
        <w:t xml:space="preserve">Note: </w:t>
      </w:r>
      <w:r>
        <w:rPr>
          <w:rFonts w:ascii="Times New Roman" w:hAnsi="Times New Roman" w:cs="Times New Roman" w:eastAsiaTheme="minorHAnsi"/>
          <w:sz w:val="24"/>
          <w:szCs w:val="24"/>
        </w:rPr>
        <w:t>Crude Model: didn’t adjusted for covaria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t</w:t>
      </w:r>
      <w:r>
        <w:rPr>
          <w:rFonts w:ascii="Times New Roman" w:hAnsi="Times New Roman" w:cs="Times New Roman" w:eastAsiaTheme="minorHAnsi"/>
          <w:sz w:val="24"/>
          <w:szCs w:val="24"/>
        </w:rPr>
        <w:t>es;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Ⅰ: adjusted for age, gender;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Ⅰ+myocardial infarction, congestive heart failure, cerebrovascular disease, chronic pulmonary disease, diabetes, renal disease, CCI, and APSⅢ; Model Ⅲ: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Ⅱ+heart rate, MBP, RR, SPO</w:t>
      </w:r>
      <w:r>
        <w:rPr>
          <w:rFonts w:ascii="Times New Roman" w:hAnsi="Times New Roman" w:cs="Times New Roman" w:eastAsiaTheme="minorHAnsi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, WBC,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c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h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u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rea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n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g</w:t>
      </w:r>
      <w:r>
        <w:rPr>
          <w:rFonts w:ascii="Times New Roman" w:hAnsi="Times New Roman" w:cs="Times New Roman" w:eastAsiaTheme="minorHAnsi"/>
          <w:sz w:val="24"/>
          <w:szCs w:val="24"/>
        </w:rPr>
        <w:t>lucose.</w:t>
      </w:r>
    </w:p>
    <w:p w14:paraId="5024FAEF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</w:p>
    <w:p w14:paraId="0BC6E1E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8. </w:t>
      </w: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3. 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estricted cubic spline analysis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for serum chloride</w:t>
      </w:r>
    </w:p>
    <w:p w14:paraId="60BB805A">
      <w:pPr>
        <w:spacing w:line="360" w:lineRule="auto"/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4"/>
          <w:szCs w:val="24"/>
        </w:rPr>
        <w:t>Restricted cubic spline (RCS) analysis showed no significant association between serum chloride and 30-day mortality (P for overall = 0.125).</w:t>
      </w:r>
    </w:p>
    <w:p w14:paraId="0FCB6E27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3725545" cy="2952750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55EA9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</w:p>
    <w:p w14:paraId="4BFE2D45">
      <w:pP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</w:p>
    <w:p w14:paraId="112D53B2">
      <w:pP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</w:pPr>
    </w:p>
    <w:p w14:paraId="778AF2B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9.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S6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The meaning of ICD-9 and ICD-10 codes for chronic pulmonary disease and renal disease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892"/>
        <w:gridCol w:w="2548"/>
        <w:gridCol w:w="4457"/>
      </w:tblGrid>
      <w:tr w14:paraId="45BD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</w:tcPr>
          <w:p w14:paraId="47F7A8C0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Variables</w:t>
            </w:r>
          </w:p>
        </w:tc>
        <w:tc>
          <w:tcPr>
            <w:tcW w:w="892" w:type="dxa"/>
          </w:tcPr>
          <w:p w14:paraId="6797FBF4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</w:t>
            </w:r>
          </w:p>
        </w:tc>
        <w:tc>
          <w:tcPr>
            <w:tcW w:w="2548" w:type="dxa"/>
          </w:tcPr>
          <w:p w14:paraId="0311B40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ICD codes</w:t>
            </w:r>
          </w:p>
        </w:tc>
        <w:tc>
          <w:tcPr>
            <w:tcW w:w="4457" w:type="dxa"/>
          </w:tcPr>
          <w:p w14:paraId="5934480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Meaning of diagnostic code</w:t>
            </w:r>
          </w:p>
        </w:tc>
      </w:tr>
      <w:tr w14:paraId="7A22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restart"/>
          </w:tcPr>
          <w:p w14:paraId="09649237">
            <w:pPr>
              <w:snapToGrid w:val="0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chronic pulmonary disease</w:t>
            </w:r>
          </w:p>
        </w:tc>
        <w:tc>
          <w:tcPr>
            <w:tcW w:w="892" w:type="dxa"/>
            <w:vMerge w:val="restart"/>
          </w:tcPr>
          <w:p w14:paraId="48AFE4BE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ICD-9</w:t>
            </w:r>
          </w:p>
        </w:tc>
        <w:tc>
          <w:tcPr>
            <w:tcW w:w="2548" w:type="dxa"/>
          </w:tcPr>
          <w:p w14:paraId="724A0186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490</w:t>
            </w:r>
          </w:p>
        </w:tc>
        <w:tc>
          <w:tcPr>
            <w:tcW w:w="4457" w:type="dxa"/>
          </w:tcPr>
          <w:p w14:paraId="1C295EB4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ronchitis, not specified as acute or chronic</w:t>
            </w:r>
          </w:p>
        </w:tc>
      </w:tr>
      <w:tr w14:paraId="25E31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26A9CD2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2EA1568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5B313B25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49121,49122,49120,4919,4918,4911</w:t>
            </w:r>
          </w:p>
        </w:tc>
        <w:tc>
          <w:tcPr>
            <w:tcW w:w="4457" w:type="dxa"/>
          </w:tcPr>
          <w:p w14:paraId="13EA9F1E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bronchitis</w:t>
            </w:r>
          </w:p>
        </w:tc>
      </w:tr>
      <w:tr w14:paraId="5CE90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150F831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2213F22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F24C587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4928,4920</w:t>
            </w:r>
          </w:p>
        </w:tc>
        <w:tc>
          <w:tcPr>
            <w:tcW w:w="4457" w:type="dxa"/>
          </w:tcPr>
          <w:p w14:paraId="4A1403E9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emphysema</w:t>
            </w:r>
          </w:p>
        </w:tc>
      </w:tr>
      <w:tr w14:paraId="1BE9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738EAB4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371D30D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434DC265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49390,49391,49320,49392,49322,49300,49381,49302,49382,49321,49301,49312,49310</w:t>
            </w:r>
          </w:p>
        </w:tc>
        <w:tc>
          <w:tcPr>
            <w:tcW w:w="4457" w:type="dxa"/>
          </w:tcPr>
          <w:p w14:paraId="292745FC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sthma</w:t>
            </w:r>
          </w:p>
        </w:tc>
      </w:tr>
      <w:tr w14:paraId="5F15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671A2AD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66BE43E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71EAAF21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4940,4941</w:t>
            </w:r>
          </w:p>
        </w:tc>
        <w:tc>
          <w:tcPr>
            <w:tcW w:w="4457" w:type="dxa"/>
          </w:tcPr>
          <w:p w14:paraId="348C3B52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allergic alveolitis and pneumonitis</w:t>
            </w:r>
          </w:p>
        </w:tc>
      </w:tr>
      <w:tr w14:paraId="48EA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579815F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3F8B48B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08F773B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4959,4958</w:t>
            </w:r>
          </w:p>
        </w:tc>
        <w:tc>
          <w:tcPr>
            <w:tcW w:w="4457" w:type="dxa"/>
          </w:tcPr>
          <w:p w14:paraId="51E9436A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allergic alveolitis and pneumonitis</w:t>
            </w:r>
          </w:p>
        </w:tc>
      </w:tr>
      <w:tr w14:paraId="4FB4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5AFC1C1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612E17D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14CE2BD8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496</w:t>
            </w:r>
          </w:p>
        </w:tc>
        <w:tc>
          <w:tcPr>
            <w:tcW w:w="4457" w:type="dxa"/>
          </w:tcPr>
          <w:p w14:paraId="4474CB9E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hronic airway obstruction, not elsewhere classified</w:t>
            </w:r>
          </w:p>
        </w:tc>
      </w:tr>
      <w:tr w14:paraId="5406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548F65F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267BDD8C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1C474884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500</w:t>
            </w:r>
          </w:p>
        </w:tc>
        <w:tc>
          <w:tcPr>
            <w:tcW w:w="4457" w:type="dxa"/>
          </w:tcPr>
          <w:p w14:paraId="1122FEB9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oal workers' pneumoconiosis</w:t>
            </w:r>
          </w:p>
        </w:tc>
      </w:tr>
      <w:tr w14:paraId="7A4F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1992270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754430A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16EF97A0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501</w:t>
            </w:r>
          </w:p>
        </w:tc>
        <w:tc>
          <w:tcPr>
            <w:tcW w:w="4457" w:type="dxa"/>
          </w:tcPr>
          <w:p w14:paraId="2C50245F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sbestosis</w:t>
            </w:r>
          </w:p>
        </w:tc>
      </w:tr>
      <w:tr w14:paraId="13D9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7503326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0C3798E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C078FF1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502</w:t>
            </w:r>
          </w:p>
        </w:tc>
        <w:tc>
          <w:tcPr>
            <w:tcW w:w="4457" w:type="dxa"/>
          </w:tcPr>
          <w:p w14:paraId="00066207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neumoconiosis due to other silica or silicates</w:t>
            </w:r>
          </w:p>
        </w:tc>
      </w:tr>
      <w:tr w14:paraId="45C6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694E5CC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0008824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7CF75089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5060</w:t>
            </w:r>
          </w:p>
        </w:tc>
        <w:tc>
          <w:tcPr>
            <w:tcW w:w="4457" w:type="dxa"/>
          </w:tcPr>
          <w:p w14:paraId="495882D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Bronchitis and pneumonitis due to fumes and vapors</w:t>
            </w:r>
          </w:p>
        </w:tc>
      </w:tr>
      <w:tr w14:paraId="3DF1B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21FDEA3C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581D2B1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486801C3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5081</w:t>
            </w:r>
          </w:p>
        </w:tc>
        <w:tc>
          <w:tcPr>
            <w:tcW w:w="4457" w:type="dxa"/>
          </w:tcPr>
          <w:p w14:paraId="74560B74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and other pulmonary manifestations due to radiation</w:t>
            </w:r>
          </w:p>
        </w:tc>
      </w:tr>
      <w:tr w14:paraId="28375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4C293E7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3843AFA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1D203AC3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5088</w:t>
            </w:r>
          </w:p>
        </w:tc>
        <w:tc>
          <w:tcPr>
            <w:tcW w:w="4457" w:type="dxa"/>
          </w:tcPr>
          <w:p w14:paraId="4537BC91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Respiratory conditions due to other specified external agents</w:t>
            </w:r>
          </w:p>
        </w:tc>
      </w:tr>
      <w:tr w14:paraId="76DC3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0840DBA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restart"/>
          </w:tcPr>
          <w:p w14:paraId="1B1C12D6">
            <w:pPr>
              <w:snapToGrid w:val="0"/>
              <w:rPr>
                <w:rFonts w:hint="default" w:ascii="Times New Roman" w:hAnsi="Times New Roman" w:cs="Times New Roman"/>
                <w:kern w:val="0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ICD-10</w:t>
            </w:r>
          </w:p>
        </w:tc>
        <w:tc>
          <w:tcPr>
            <w:tcW w:w="2548" w:type="dxa"/>
          </w:tcPr>
          <w:p w14:paraId="2D885F45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J40</w:t>
            </w:r>
          </w:p>
        </w:tc>
        <w:tc>
          <w:tcPr>
            <w:tcW w:w="4457" w:type="dxa"/>
          </w:tcPr>
          <w:p w14:paraId="69F6B8F4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Bronchitis, not specified as acute or chronic</w:t>
            </w:r>
          </w:p>
        </w:tc>
      </w:tr>
      <w:tr w14:paraId="04A3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548C978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79D807A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50F7982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J410,J411</w:t>
            </w:r>
          </w:p>
        </w:tc>
        <w:tc>
          <w:tcPr>
            <w:tcW w:w="4457" w:type="dxa"/>
          </w:tcPr>
          <w:p w14:paraId="07A0CE0E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bronchitis</w:t>
            </w:r>
          </w:p>
        </w:tc>
      </w:tr>
      <w:tr w14:paraId="0FA5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2BB24F2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0037027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1A9B2B5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J42</w:t>
            </w:r>
          </w:p>
        </w:tc>
        <w:tc>
          <w:tcPr>
            <w:tcW w:w="4457" w:type="dxa"/>
          </w:tcPr>
          <w:p w14:paraId="7DA92741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chronic bronchitis</w:t>
            </w:r>
          </w:p>
        </w:tc>
      </w:tr>
      <w:tr w14:paraId="28E4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682B069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113F95A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307DA2E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J430,J431,J432,J438,J439</w:t>
            </w:r>
          </w:p>
        </w:tc>
        <w:tc>
          <w:tcPr>
            <w:tcW w:w="4457" w:type="dxa"/>
          </w:tcPr>
          <w:p w14:paraId="68C7D221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emphysema</w:t>
            </w:r>
          </w:p>
        </w:tc>
      </w:tr>
      <w:tr w14:paraId="6995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460CE0C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42F6565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27ADDE57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J44,J440,J441,J449</w:t>
            </w:r>
          </w:p>
        </w:tc>
        <w:tc>
          <w:tcPr>
            <w:tcW w:w="4457" w:type="dxa"/>
          </w:tcPr>
          <w:p w14:paraId="3D8A4E2E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obstructive pulmonary disease</w:t>
            </w:r>
          </w:p>
        </w:tc>
      </w:tr>
      <w:tr w14:paraId="3B71F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340A32B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2523BB8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3BFF66A5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J45909,J45901,J45990,J45998,J45991,J45902</w:t>
            </w:r>
          </w:p>
        </w:tc>
        <w:tc>
          <w:tcPr>
            <w:tcW w:w="4457" w:type="dxa"/>
          </w:tcPr>
          <w:p w14:paraId="61000B63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asthma</w:t>
            </w:r>
          </w:p>
        </w:tc>
      </w:tr>
      <w:tr w14:paraId="2DE3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04D84BE2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4FC7EAC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40111A9A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J470,J471,J479</w:t>
            </w:r>
          </w:p>
        </w:tc>
        <w:tc>
          <w:tcPr>
            <w:tcW w:w="4457" w:type="dxa"/>
          </w:tcPr>
          <w:p w14:paraId="2934240A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ronchiectasis</w:t>
            </w:r>
          </w:p>
        </w:tc>
      </w:tr>
      <w:tr w14:paraId="4317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3B6AADF2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7319DC7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493A3318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J60</w:t>
            </w:r>
          </w:p>
        </w:tc>
        <w:tc>
          <w:tcPr>
            <w:tcW w:w="4457" w:type="dxa"/>
          </w:tcPr>
          <w:p w14:paraId="44CB40B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oalworker's pneumoconiosis</w:t>
            </w:r>
          </w:p>
        </w:tc>
      </w:tr>
      <w:tr w14:paraId="22C2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45B65D72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6DBD7A3A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5B19042E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J61</w:t>
            </w:r>
          </w:p>
        </w:tc>
        <w:tc>
          <w:tcPr>
            <w:tcW w:w="4457" w:type="dxa"/>
          </w:tcPr>
          <w:p w14:paraId="69E1FE65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neumoconiosis due to asbestos and other mineral fibers</w:t>
            </w:r>
          </w:p>
        </w:tc>
      </w:tr>
      <w:tr w14:paraId="12554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394CBDA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034191B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596BC302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J62</w:t>
            </w:r>
          </w:p>
        </w:tc>
        <w:tc>
          <w:tcPr>
            <w:tcW w:w="4457" w:type="dxa"/>
          </w:tcPr>
          <w:p w14:paraId="42DEA24A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neumoconiosis due to other dust containing silica</w:t>
            </w:r>
          </w:p>
        </w:tc>
      </w:tr>
      <w:tr w14:paraId="45EB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4DAABE7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3AC0D6D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0EA40A24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J632,J634,J636</w:t>
            </w:r>
          </w:p>
        </w:tc>
        <w:tc>
          <w:tcPr>
            <w:tcW w:w="4457" w:type="dxa"/>
          </w:tcPr>
          <w:p w14:paraId="5793933B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neumoconiosis</w:t>
            </w:r>
          </w:p>
        </w:tc>
      </w:tr>
      <w:tr w14:paraId="2F9C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3BD1263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1EBB2B5C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53EB2A4B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J64</w:t>
            </w:r>
          </w:p>
        </w:tc>
        <w:tc>
          <w:tcPr>
            <w:tcW w:w="4457" w:type="dxa"/>
          </w:tcPr>
          <w:p w14:paraId="44C458F9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nspecified pneumoconiosis</w:t>
            </w:r>
          </w:p>
        </w:tc>
      </w:tr>
      <w:tr w14:paraId="1EBA7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  <w:jc w:val="center"/>
        </w:trPr>
        <w:tc>
          <w:tcPr>
            <w:tcW w:w="1175" w:type="dxa"/>
            <w:vMerge w:val="continue"/>
          </w:tcPr>
          <w:p w14:paraId="3A8BA37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41B9FAE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1FE08E71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J668</w:t>
            </w:r>
          </w:p>
        </w:tc>
        <w:tc>
          <w:tcPr>
            <w:tcW w:w="4457" w:type="dxa"/>
          </w:tcPr>
          <w:p w14:paraId="7163231E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irway disease due to other specific organic dusts</w:t>
            </w:r>
          </w:p>
        </w:tc>
      </w:tr>
      <w:tr w14:paraId="2199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0B74AA8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1519CB5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501C4B44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J678,J679</w:t>
            </w:r>
          </w:p>
        </w:tc>
        <w:tc>
          <w:tcPr>
            <w:tcW w:w="4457" w:type="dxa"/>
          </w:tcPr>
          <w:p w14:paraId="5B49688A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ypersensitivity pneumonitis</w:t>
            </w:r>
          </w:p>
        </w:tc>
      </w:tr>
      <w:tr w14:paraId="30287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0157B57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769DD65D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</w:p>
        </w:tc>
        <w:tc>
          <w:tcPr>
            <w:tcW w:w="2548" w:type="dxa"/>
          </w:tcPr>
          <w:p w14:paraId="02377590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J684</w:t>
            </w:r>
          </w:p>
        </w:tc>
        <w:tc>
          <w:tcPr>
            <w:tcW w:w="4457" w:type="dxa"/>
          </w:tcPr>
          <w:p w14:paraId="0B07D1C7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respiratory conditions due to chemicals, gases, fumes and vapors</w:t>
            </w:r>
          </w:p>
        </w:tc>
      </w:tr>
      <w:tr w14:paraId="3565C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1D17543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28CD5E1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611FD257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J701</w:t>
            </w:r>
          </w:p>
        </w:tc>
        <w:tc>
          <w:tcPr>
            <w:tcW w:w="4457" w:type="dxa"/>
          </w:tcPr>
          <w:p w14:paraId="091D6590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and other pulmonary manifestations due to radiation</w:t>
            </w:r>
          </w:p>
        </w:tc>
      </w:tr>
      <w:tr w14:paraId="72E8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vMerge w:val="continue"/>
          </w:tcPr>
          <w:p w14:paraId="11B9B3A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92" w:type="dxa"/>
            <w:vMerge w:val="continue"/>
          </w:tcPr>
          <w:p w14:paraId="144D2C8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548" w:type="dxa"/>
          </w:tcPr>
          <w:p w14:paraId="7A330083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J703</w:t>
            </w:r>
          </w:p>
        </w:tc>
        <w:tc>
          <w:tcPr>
            <w:tcW w:w="4457" w:type="dxa"/>
          </w:tcPr>
          <w:p w14:paraId="21B2BC7B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drug-induced interstitial lung disorders</w:t>
            </w:r>
          </w:p>
        </w:tc>
      </w:tr>
    </w:tbl>
    <w:p w14:paraId="427E8CE3">
      <w:pPr>
        <w:rPr>
          <w:rFonts w:hint="default" w:ascii="Times New Roman" w:hAnsi="Times New Roman" w:cs="Times New Roman"/>
        </w:rPr>
      </w:pPr>
    </w:p>
    <w:p w14:paraId="266FE130">
      <w:pPr>
        <w:rPr>
          <w:rFonts w:hint="default" w:ascii="Times New Roman" w:hAnsi="Times New Roman" w:cs="Times New Roman"/>
        </w:rPr>
      </w:pP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853"/>
        <w:gridCol w:w="2618"/>
        <w:gridCol w:w="4257"/>
      </w:tblGrid>
      <w:tr w14:paraId="2AFB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</w:tcPr>
          <w:p w14:paraId="2D7EA47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Variables</w:t>
            </w:r>
          </w:p>
        </w:tc>
        <w:tc>
          <w:tcPr>
            <w:tcW w:w="853" w:type="dxa"/>
          </w:tcPr>
          <w:p w14:paraId="553D1430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</w:t>
            </w:r>
          </w:p>
        </w:tc>
        <w:tc>
          <w:tcPr>
            <w:tcW w:w="2618" w:type="dxa"/>
          </w:tcPr>
          <w:p w14:paraId="05E37FB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ICD codes</w:t>
            </w:r>
          </w:p>
        </w:tc>
        <w:tc>
          <w:tcPr>
            <w:tcW w:w="4257" w:type="dxa"/>
          </w:tcPr>
          <w:p w14:paraId="74CCD7B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Meaning of diagnostic code</w:t>
            </w:r>
          </w:p>
        </w:tc>
      </w:tr>
      <w:tr w14:paraId="5C69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restart"/>
          </w:tcPr>
          <w:p w14:paraId="4204DC4C">
            <w:pPr>
              <w:snapToGrid w:val="0"/>
              <w:rPr>
                <w:rFonts w:hint="default" w:ascii="Times New Roman" w:hAnsi="Times New Roman" w:eastAsia="宋体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Renal </w:t>
            </w:r>
            <w:r>
              <w:rPr>
                <w:rFonts w:hint="default" w:ascii="Times New Roman" w:hAnsi="Times New Roman" w:cs="Times New Roman"/>
                <w:b/>
                <w:bCs/>
              </w:rPr>
              <w:t>disease</w:t>
            </w:r>
          </w:p>
        </w:tc>
        <w:tc>
          <w:tcPr>
            <w:tcW w:w="853" w:type="dxa"/>
            <w:vMerge w:val="restart"/>
          </w:tcPr>
          <w:p w14:paraId="51EDB44D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ICD-9</w:t>
            </w:r>
          </w:p>
        </w:tc>
        <w:tc>
          <w:tcPr>
            <w:tcW w:w="2618" w:type="dxa"/>
          </w:tcPr>
          <w:p w14:paraId="044D128C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5821,58281,5829,58289,5822</w:t>
            </w:r>
          </w:p>
        </w:tc>
        <w:tc>
          <w:tcPr>
            <w:tcW w:w="4257" w:type="dxa"/>
          </w:tcPr>
          <w:p w14:paraId="55EBDFDF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Chronic glomerulonephritis</w:t>
            </w:r>
          </w:p>
        </w:tc>
      </w:tr>
      <w:tr w14:paraId="342A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65D79FE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286FCB1C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D67CF43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5859,5851,5852,5853,5854,5855,5856</w:t>
            </w:r>
          </w:p>
        </w:tc>
        <w:tc>
          <w:tcPr>
            <w:tcW w:w="4257" w:type="dxa"/>
          </w:tcPr>
          <w:p w14:paraId="1F964942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Chronic kidney disease</w:t>
            </w:r>
          </w:p>
        </w:tc>
      </w:tr>
      <w:tr w14:paraId="6C094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6B50A3B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27C1468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5259B969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586</w:t>
            </w:r>
          </w:p>
        </w:tc>
        <w:tc>
          <w:tcPr>
            <w:tcW w:w="4257" w:type="dxa"/>
          </w:tcPr>
          <w:p w14:paraId="142AA152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Renal failure, unspecified</w:t>
            </w:r>
          </w:p>
        </w:tc>
      </w:tr>
      <w:tr w14:paraId="345A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4F99B6B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7E7986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48BDCFBE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V560,V561,V562,V568,V5631</w:t>
            </w:r>
          </w:p>
        </w:tc>
        <w:tc>
          <w:tcPr>
            <w:tcW w:w="4257" w:type="dxa"/>
          </w:tcPr>
          <w:p w14:paraId="35CBF115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other dialysis</w:t>
            </w:r>
          </w:p>
        </w:tc>
      </w:tr>
      <w:tr w14:paraId="0D29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933354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2A1829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3BC575A2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5880</w:t>
            </w:r>
          </w:p>
        </w:tc>
        <w:tc>
          <w:tcPr>
            <w:tcW w:w="4257" w:type="dxa"/>
          </w:tcPr>
          <w:p w14:paraId="111F5ABD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Renal osteodystrophy</w:t>
            </w:r>
          </w:p>
        </w:tc>
      </w:tr>
      <w:tr w14:paraId="4CE6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2DC478BA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570DF21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41272C67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V420</w:t>
            </w:r>
          </w:p>
        </w:tc>
        <w:tc>
          <w:tcPr>
            <w:tcW w:w="4257" w:type="dxa"/>
          </w:tcPr>
          <w:p w14:paraId="5165E46F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Kidney replaced by transplant</w:t>
            </w:r>
          </w:p>
        </w:tc>
      </w:tr>
      <w:tr w14:paraId="1342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63F8E15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1E1C3CB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3003847F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V4511,V4512</w:t>
            </w:r>
          </w:p>
        </w:tc>
        <w:tc>
          <w:tcPr>
            <w:tcW w:w="4257" w:type="dxa"/>
          </w:tcPr>
          <w:p w14:paraId="1A1B40B0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Renal dialysis status</w:t>
            </w:r>
          </w:p>
        </w:tc>
      </w:tr>
      <w:tr w14:paraId="4C1B4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2BB0458C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7690439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D4B827D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5830</w:t>
            </w:r>
          </w:p>
        </w:tc>
        <w:tc>
          <w:tcPr>
            <w:tcW w:w="4257" w:type="dxa"/>
          </w:tcPr>
          <w:p w14:paraId="7359B36E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Nephritis and nephropathy, not specified as acute or chronic, with lesion of proliferative glomerulonephritis</w:t>
            </w:r>
          </w:p>
        </w:tc>
      </w:tr>
      <w:tr w14:paraId="23690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46E1003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33983F4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415B1E42">
            <w:pPr>
              <w:snapToGrid w:val="0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5831</w:t>
            </w:r>
          </w:p>
        </w:tc>
        <w:tc>
          <w:tcPr>
            <w:tcW w:w="4257" w:type="dxa"/>
          </w:tcPr>
          <w:p w14:paraId="7CFB1EB6">
            <w:pPr>
              <w:snapToGrid w:val="0"/>
              <w:rPr>
                <w:rFonts w:hint="default" w:ascii="Times New Roman" w:hAnsi="Times New Roman" w:cs="Times New Roman"/>
                <w:b/>
                <w:bCs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>Nephritis and nephropathy, not specified as acute or chronic, with lesion of membranous glomerulonephritis</w:t>
            </w:r>
          </w:p>
        </w:tc>
      </w:tr>
      <w:tr w14:paraId="5709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23D65D0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2EAF74E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4C4C8826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5832</w:t>
            </w:r>
          </w:p>
        </w:tc>
        <w:tc>
          <w:tcPr>
            <w:tcW w:w="4257" w:type="dxa"/>
          </w:tcPr>
          <w:p w14:paraId="5DB2C098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Nephritis and nephropathy, not specified as acute or chronic, with lesion of membranoproliferative glomerulonephritis</w:t>
            </w:r>
          </w:p>
        </w:tc>
      </w:tr>
      <w:tr w14:paraId="5972C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06097AE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AFA46EA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7DF0A541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5834</w:t>
            </w:r>
          </w:p>
        </w:tc>
        <w:tc>
          <w:tcPr>
            <w:tcW w:w="4257" w:type="dxa"/>
          </w:tcPr>
          <w:p w14:paraId="006E778D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Nephritis and nephropathy, not specified as acute or chronic, with lesion of rapidly progressive glomerulonephritis</w:t>
            </w:r>
          </w:p>
        </w:tc>
      </w:tr>
      <w:tr w14:paraId="3FD0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228D6DE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C335D9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604FC6EF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5836</w:t>
            </w:r>
          </w:p>
        </w:tc>
        <w:tc>
          <w:tcPr>
            <w:tcW w:w="4257" w:type="dxa"/>
          </w:tcPr>
          <w:p w14:paraId="1FFD8CC9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Nephritis and nephropathy, not specified as acute or chronic, with lesion of renal cortical necrosis</w:t>
            </w:r>
          </w:p>
        </w:tc>
      </w:tr>
      <w:tr w14:paraId="037E7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1862842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421AAE5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D250F84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58381,5839,58389</w:t>
            </w:r>
          </w:p>
        </w:tc>
        <w:tc>
          <w:tcPr>
            <w:tcW w:w="4257" w:type="dxa"/>
          </w:tcPr>
          <w:p w14:paraId="51A88DAD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Nephritis and nephropathy</w:t>
            </w:r>
          </w:p>
        </w:tc>
      </w:tr>
      <w:tr w14:paraId="1210A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A58CDB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0F129E6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66078390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40391,40310,40311,40301,40300</w:t>
            </w:r>
          </w:p>
        </w:tc>
        <w:tc>
          <w:tcPr>
            <w:tcW w:w="4257" w:type="dxa"/>
          </w:tcPr>
          <w:p w14:paraId="1AB49DA9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chronic kidney disease</w:t>
            </w:r>
          </w:p>
        </w:tc>
      </w:tr>
      <w:tr w14:paraId="2819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B2912B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28DC202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45F494A8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40403</w:t>
            </w:r>
          </w:p>
        </w:tc>
        <w:tc>
          <w:tcPr>
            <w:tcW w:w="4257" w:type="dxa"/>
          </w:tcPr>
          <w:p w14:paraId="2F5D704B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heart and chronic kidney disease, malignant, with heart failure and with chronic kidney disease stage V or end stage renal disease</w:t>
            </w:r>
          </w:p>
        </w:tc>
      </w:tr>
      <w:tr w14:paraId="1C8EB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08E7E48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750079D3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67299803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40413</w:t>
            </w:r>
          </w:p>
        </w:tc>
        <w:tc>
          <w:tcPr>
            <w:tcW w:w="4257" w:type="dxa"/>
          </w:tcPr>
          <w:p w14:paraId="6E8CCC13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heart and chronic kidney disease, benign, with heart failure and chronic kidney disease stage V or end stage renal disease</w:t>
            </w:r>
          </w:p>
        </w:tc>
      </w:tr>
      <w:tr w14:paraId="0496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133661B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1CBEEF9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501DF566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40493,40492,40490</w:t>
            </w:r>
          </w:p>
        </w:tc>
        <w:tc>
          <w:tcPr>
            <w:tcW w:w="4257" w:type="dxa"/>
          </w:tcPr>
          <w:p w14:paraId="4064D91E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heart and chronic kidney disease</w:t>
            </w:r>
          </w:p>
        </w:tc>
      </w:tr>
      <w:tr w14:paraId="4441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4918A6F2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restart"/>
          </w:tcPr>
          <w:p w14:paraId="635E0069">
            <w:pPr>
              <w:snapToGrid w:val="0"/>
              <w:rPr>
                <w:rFonts w:hint="default" w:ascii="Times New Roman" w:hAnsi="Times New Roman" w:cs="Times New Roman"/>
                <w:kern w:val="0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ICD-10</w:t>
            </w:r>
          </w:p>
        </w:tc>
        <w:tc>
          <w:tcPr>
            <w:tcW w:w="2618" w:type="dxa"/>
          </w:tcPr>
          <w:p w14:paraId="7B9106E6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N189,N183,N186,N182,N184,N185,N1830,N1831,N1832,N181</w:t>
            </w:r>
          </w:p>
        </w:tc>
        <w:tc>
          <w:tcPr>
            <w:tcW w:w="4257" w:type="dxa"/>
          </w:tcPr>
          <w:p w14:paraId="48650B54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kidney disease</w:t>
            </w:r>
          </w:p>
        </w:tc>
      </w:tr>
      <w:tr w14:paraId="0661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5CCC885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389F7A8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81D4DA8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N19</w:t>
            </w:r>
          </w:p>
        </w:tc>
        <w:tc>
          <w:tcPr>
            <w:tcW w:w="4257" w:type="dxa"/>
          </w:tcPr>
          <w:p w14:paraId="1BACBC44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kidney failure</w:t>
            </w:r>
          </w:p>
        </w:tc>
      </w:tr>
      <w:tr w14:paraId="61BF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1BB65DA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B90549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2374EE76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I120</w:t>
            </w:r>
          </w:p>
        </w:tc>
        <w:tc>
          <w:tcPr>
            <w:tcW w:w="4257" w:type="dxa"/>
          </w:tcPr>
          <w:p w14:paraId="6D5F95CF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chronic kidney disease with stage 5 chronic kidney disease or end stage renal disease</w:t>
            </w:r>
          </w:p>
        </w:tc>
      </w:tr>
      <w:tr w14:paraId="3E67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7A17B41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F0E856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22CAE17D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I1310,I1311</w:t>
            </w:r>
          </w:p>
        </w:tc>
        <w:tc>
          <w:tcPr>
            <w:tcW w:w="4257" w:type="dxa"/>
          </w:tcPr>
          <w:p w14:paraId="13484447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Hypertensive heart and chronic kidney disease</w:t>
            </w:r>
          </w:p>
        </w:tc>
      </w:tr>
      <w:tr w14:paraId="1B1B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0A7EA34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BA6FCA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92FDF26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N250</w:t>
            </w:r>
          </w:p>
        </w:tc>
        <w:tc>
          <w:tcPr>
            <w:tcW w:w="4257" w:type="dxa"/>
          </w:tcPr>
          <w:p w14:paraId="41184098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Renal osteodystrophy</w:t>
            </w:r>
          </w:p>
        </w:tc>
      </w:tr>
      <w:tr w14:paraId="695ED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0587575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6032E0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2BDABE22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Z4901,Z4902</w:t>
            </w:r>
          </w:p>
        </w:tc>
        <w:tc>
          <w:tcPr>
            <w:tcW w:w="4257" w:type="dxa"/>
          </w:tcPr>
          <w:p w14:paraId="2F517C8B">
            <w:pPr>
              <w:snapToGrid w:val="0"/>
              <w:rPr>
                <w:rFonts w:hint="default" w:ascii="Times New Roman" w:hAnsi="Times New Roman" w:cs="Times New Roman" w:eastAsiaTheme="minorEastAsia"/>
                <w:kern w:val="0"/>
                <w:shd w:val="clear" w:color="auto" w:fill="F9F9F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Dialysis</w:t>
            </w: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  <w:lang w:val="en-US" w:eastAsia="zh-CN"/>
              </w:rPr>
              <w:t xml:space="preserve"> </w:t>
            </w:r>
          </w:p>
        </w:tc>
      </w:tr>
      <w:tr w14:paraId="3C29D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7C77914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2C8AB1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0C894352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Z940</w:t>
            </w:r>
          </w:p>
        </w:tc>
        <w:tc>
          <w:tcPr>
            <w:tcW w:w="4257" w:type="dxa"/>
          </w:tcPr>
          <w:p w14:paraId="6E0853A1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Kidney transplant status</w:t>
            </w:r>
          </w:p>
        </w:tc>
      </w:tr>
      <w:tr w14:paraId="7DD8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tblHeader/>
          <w:jc w:val="center"/>
        </w:trPr>
        <w:tc>
          <w:tcPr>
            <w:tcW w:w="1115" w:type="dxa"/>
            <w:vMerge w:val="continue"/>
          </w:tcPr>
          <w:p w14:paraId="5F58887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6FCF5AF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7594D653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Z992</w:t>
            </w:r>
          </w:p>
        </w:tc>
        <w:tc>
          <w:tcPr>
            <w:tcW w:w="4257" w:type="dxa"/>
          </w:tcPr>
          <w:p w14:paraId="3922BD6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Dependence on renal dialysis</w:t>
            </w:r>
          </w:p>
        </w:tc>
      </w:tr>
      <w:tr w14:paraId="2A9F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E3025C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1354D5F9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755BF741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N032</w:t>
            </w:r>
          </w:p>
        </w:tc>
        <w:tc>
          <w:tcPr>
            <w:tcW w:w="4257" w:type="dxa"/>
          </w:tcPr>
          <w:p w14:paraId="4FB8489A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nephritic syndrome with diffuse membranous glomerulonephritis</w:t>
            </w:r>
          </w:p>
        </w:tc>
      </w:tr>
      <w:tr w14:paraId="467F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2931F60A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0E8A360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7419B2D7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N039</w:t>
            </w:r>
          </w:p>
        </w:tc>
        <w:tc>
          <w:tcPr>
            <w:tcW w:w="4257" w:type="dxa"/>
          </w:tcPr>
          <w:p w14:paraId="177B12E1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nephritic syndrome with unspecified morphologic changes</w:t>
            </w:r>
          </w:p>
        </w:tc>
      </w:tr>
      <w:tr w14:paraId="2F61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tblHeader/>
          <w:jc w:val="center"/>
        </w:trPr>
        <w:tc>
          <w:tcPr>
            <w:tcW w:w="1115" w:type="dxa"/>
            <w:vMerge w:val="continue"/>
          </w:tcPr>
          <w:p w14:paraId="27BDEAC7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733768E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2F440DEB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N038</w:t>
            </w:r>
          </w:p>
        </w:tc>
        <w:tc>
          <w:tcPr>
            <w:tcW w:w="4257" w:type="dxa"/>
          </w:tcPr>
          <w:p w14:paraId="1BCE22A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Chronic nephritic syndrome with other morphologic changes</w:t>
            </w:r>
          </w:p>
        </w:tc>
      </w:tr>
      <w:tr w14:paraId="3DDA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322861A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4936F6DD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C50F5B5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N050</w:t>
            </w:r>
          </w:p>
        </w:tc>
        <w:tc>
          <w:tcPr>
            <w:tcW w:w="4257" w:type="dxa"/>
          </w:tcPr>
          <w:p w14:paraId="3879DC6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minor glomerular abnormality</w:t>
            </w:r>
          </w:p>
        </w:tc>
      </w:tr>
      <w:tr w14:paraId="478A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18B0454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5147988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5E0197A2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N051</w:t>
            </w:r>
          </w:p>
        </w:tc>
        <w:tc>
          <w:tcPr>
            <w:tcW w:w="4257" w:type="dxa"/>
          </w:tcPr>
          <w:p w14:paraId="2936FD8C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focal and segmental glomerular lesions</w:t>
            </w:r>
          </w:p>
        </w:tc>
      </w:tr>
      <w:tr w14:paraId="4854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5C12F21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9167B8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2AFBE478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N052</w:t>
            </w:r>
          </w:p>
        </w:tc>
        <w:tc>
          <w:tcPr>
            <w:tcW w:w="4257" w:type="dxa"/>
          </w:tcPr>
          <w:p w14:paraId="6DD691F2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diffuse membranous glomerulonephritis</w:t>
            </w:r>
          </w:p>
        </w:tc>
      </w:tr>
      <w:tr w14:paraId="64D5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5E06A9D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8285FB1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6D6457B1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N055</w:t>
            </w:r>
          </w:p>
        </w:tc>
        <w:tc>
          <w:tcPr>
            <w:tcW w:w="4257" w:type="dxa"/>
          </w:tcPr>
          <w:p w14:paraId="753FEFA8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diffuse mesangiocapillary glomerulonephritis</w:t>
            </w:r>
          </w:p>
        </w:tc>
      </w:tr>
      <w:tr w14:paraId="302A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4107A716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0A459CDB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528B34D8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N057</w:t>
            </w:r>
          </w:p>
        </w:tc>
        <w:tc>
          <w:tcPr>
            <w:tcW w:w="4257" w:type="dxa"/>
          </w:tcPr>
          <w:p w14:paraId="43197DA6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diffuse crescentic glomerulonephritis</w:t>
            </w:r>
          </w:p>
        </w:tc>
      </w:tr>
      <w:tr w14:paraId="368E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6FC65536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FBE15D8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0E8CBDBD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N058</w:t>
            </w:r>
          </w:p>
        </w:tc>
        <w:tc>
          <w:tcPr>
            <w:tcW w:w="4257" w:type="dxa"/>
          </w:tcPr>
          <w:p w14:paraId="4DB8C74E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other morphologic changes</w:t>
            </w:r>
          </w:p>
        </w:tc>
      </w:tr>
      <w:tr w14:paraId="5CAD8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5" w:type="dxa"/>
            <w:vMerge w:val="continue"/>
          </w:tcPr>
          <w:p w14:paraId="5CB40654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853" w:type="dxa"/>
            <w:vMerge w:val="continue"/>
          </w:tcPr>
          <w:p w14:paraId="69058686">
            <w:pPr>
              <w:snapToGrid w:val="0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2618" w:type="dxa"/>
          </w:tcPr>
          <w:p w14:paraId="1018F486">
            <w:pPr>
              <w:snapToGrid w:val="0"/>
              <w:rPr>
                <w:rFonts w:hint="default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lang w:val="en-US" w:eastAsia="zh-CN"/>
              </w:rPr>
              <w:t>N059</w:t>
            </w:r>
          </w:p>
        </w:tc>
        <w:tc>
          <w:tcPr>
            <w:tcW w:w="4257" w:type="dxa"/>
          </w:tcPr>
          <w:p w14:paraId="39BB1EC0">
            <w:pPr>
              <w:snapToGrid w:val="0"/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</w:pPr>
            <w:r>
              <w:rPr>
                <w:rFonts w:hint="default" w:ascii="Times New Roman" w:hAnsi="Times New Roman" w:cs="Times New Roman"/>
                <w:kern w:val="0"/>
                <w:shd w:val="clear" w:color="auto" w:fill="F9F9F9"/>
              </w:rPr>
              <w:t>Unspecified nephritic syndrome with unspecified morphologic changes</w:t>
            </w:r>
          </w:p>
        </w:tc>
      </w:tr>
    </w:tbl>
    <w:p w14:paraId="52CF0905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Abbreviation: ICD: international classification of diseases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09CEBF85"/>
    <w:p w14:paraId="22DAA2F5">
      <w:pPr>
        <w:spacing w:line="240" w:lineRule="exact"/>
        <w:jc w:val="both"/>
        <w:rPr>
          <w:rFonts w:ascii="Times New Roman" w:hAnsi="Times New Roman" w:cs="Times New Roman" w:eastAsiaTheme="minorHAnsi"/>
          <w:sz w:val="24"/>
          <w:szCs w:val="24"/>
        </w:rPr>
      </w:pPr>
    </w:p>
    <w:p w14:paraId="03A5D5FC">
      <w:pPr>
        <w:spacing w:line="240" w:lineRule="exact"/>
        <w:jc w:val="both"/>
        <w:rPr>
          <w:rFonts w:ascii="Times New Roman" w:hAnsi="Times New Roman" w:cs="Times New Roman" w:eastAsiaTheme="minorHAnsi"/>
          <w:sz w:val="24"/>
          <w:szCs w:val="24"/>
        </w:rPr>
      </w:pPr>
    </w:p>
    <w:p w14:paraId="1C7882B3">
      <w:pPr>
        <w:spacing w:line="24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10.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Multivariable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logistic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egression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to assess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ssociation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etween 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odium-to-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hloride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atio and 30-Day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ortality </w:t>
      </w:r>
    </w:p>
    <w:tbl>
      <w:tblPr>
        <w:tblStyle w:val="3"/>
        <w:tblW w:w="618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70"/>
        <w:gridCol w:w="808"/>
        <w:gridCol w:w="1156"/>
        <w:gridCol w:w="808"/>
        <w:gridCol w:w="1155"/>
        <w:gridCol w:w="808"/>
        <w:gridCol w:w="1318"/>
        <w:gridCol w:w="984"/>
      </w:tblGrid>
      <w:tr w14:paraId="19453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5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B1235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4C27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Crude Model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8850F9D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5734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F71775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548D1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Ⅱ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6A030C1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62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8DF1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Ⅲ</w:t>
            </w:r>
          </w:p>
        </w:tc>
        <w:tc>
          <w:tcPr>
            <w:tcW w:w="466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E31A28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</w:tr>
      <w:tr w14:paraId="57655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20319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BE4100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034FF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11158C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A6131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8AFDF4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074FF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2C939B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</w:t>
            </w:r>
          </w:p>
          <w:p w14:paraId="3F008B0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bookmarkStart w:id="1" w:name="_GoBack"/>
            <w:bookmarkEnd w:id="1"/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(95%CI)</w:t>
            </w:r>
          </w:p>
        </w:tc>
        <w:tc>
          <w:tcPr>
            <w:tcW w:w="466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0858E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6323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85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CDB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1.11 (1.06~1.16)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3C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E72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1.12 (1.07~1.1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69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8AD7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(1.03~1.1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A8C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A7BD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(1.02~1.1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D343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</w:tr>
      <w:tr w14:paraId="664DB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FB8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 tertiles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1D1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28C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B3D9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B4D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A83B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6EE7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D614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5BA7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7CA3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6900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F19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D5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6BFC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652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54D9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4C9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FF13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CE1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E583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E058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68BE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1.15 (0.65~2.02)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BCF7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0.63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5FD9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0AA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36AA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(0.8~2.5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B29D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C013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2D12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345</w:t>
            </w:r>
          </w:p>
        </w:tc>
      </w:tr>
      <w:tr w14:paraId="24724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A485A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A8D4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(1.08~3.0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91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3EC7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(1.27~3.6)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1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8474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(1.18~3.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FDC0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B859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C3F9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</w:tr>
      <w:tr w14:paraId="4F35B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CCCBA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C6C8A0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EC323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F6CAD9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8F3E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8DCD41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BB51F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38B352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C33AA2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</w:tr>
    </w:tbl>
    <w:p w14:paraId="388F1583">
      <w:pPr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Note: sodium-to-chloride ratio</w:t>
      </w:r>
      <w:r>
        <w:rPr>
          <w:rFonts w:ascii="Times New Roman" w:hAnsi="Times New Roman" w:cs="Times New Roman" w:eastAsiaTheme="minorHAnsi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was entered as continuous variable per 0.01 increase; Crude Model: didn’t adjusted for covaria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t</w:t>
      </w:r>
      <w:r>
        <w:rPr>
          <w:rFonts w:ascii="Times New Roman" w:hAnsi="Times New Roman" w:cs="Times New Roman" w:eastAsiaTheme="minorHAnsi"/>
          <w:sz w:val="24"/>
          <w:szCs w:val="24"/>
        </w:rPr>
        <w:t>es;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Ⅰ: adjusted for age, gender;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Ⅰ+myocardial infarction, congestive heart failure, cerebrovascular disease, chronic pulmonary disease, diabetes, renal disease, CCI, and APSⅢ; Model Ⅲ: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Ⅱ+heart rate, MBP, RR, SPO</w:t>
      </w:r>
      <w:r>
        <w:rPr>
          <w:rFonts w:ascii="Times New Roman" w:hAnsi="Times New Roman" w:cs="Times New Roman" w:eastAsiaTheme="minorHAnsi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, WBC,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c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h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u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rea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n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g</w:t>
      </w:r>
      <w:r>
        <w:rPr>
          <w:rFonts w:ascii="Times New Roman" w:hAnsi="Times New Roman" w:cs="Times New Roman" w:eastAsiaTheme="minorHAnsi"/>
          <w:sz w:val="24"/>
          <w:szCs w:val="24"/>
        </w:rPr>
        <w:t>lucose.</w:t>
      </w:r>
    </w:p>
    <w:p w14:paraId="584DD324">
      <w:pPr>
        <w:rPr>
          <w:rFonts w:ascii="Times New Roman" w:hAnsi="Times New Roman" w:cs="Times New Roman" w:eastAsiaTheme="minorHAnsi"/>
          <w:sz w:val="24"/>
          <w:szCs w:val="24"/>
        </w:rPr>
      </w:pPr>
    </w:p>
    <w:p w14:paraId="0C9E8DC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11.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Multivariable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ox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egression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to assess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ssociation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etween the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odium-to-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hloride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atio and 30-Day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ortality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with additional adjustment for surgical type (on-pump vs off-pump).</w:t>
      </w:r>
    </w:p>
    <w:tbl>
      <w:tblPr>
        <w:tblStyle w:val="3"/>
        <w:tblW w:w="618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70"/>
        <w:gridCol w:w="808"/>
        <w:gridCol w:w="1156"/>
        <w:gridCol w:w="808"/>
        <w:gridCol w:w="1155"/>
        <w:gridCol w:w="808"/>
        <w:gridCol w:w="1154"/>
        <w:gridCol w:w="1148"/>
      </w:tblGrid>
      <w:tr w14:paraId="11797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59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1BEF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6957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Crude Model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A9AE6A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5F0D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A747B2A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1DCE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Ⅱ</w:t>
            </w:r>
          </w:p>
        </w:tc>
        <w:tc>
          <w:tcPr>
            <w:tcW w:w="383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E473D25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5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60EE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Model Ⅲ</w:t>
            </w:r>
          </w:p>
        </w:tc>
        <w:tc>
          <w:tcPr>
            <w:tcW w:w="544" w:type="pct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D275815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</w:p>
        </w:tc>
      </w:tr>
      <w:tr w14:paraId="637C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14525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03C905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8269A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2CD6E2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11CEE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2280E2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83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94A71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F1456F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HR(95%CI)</w:t>
            </w:r>
          </w:p>
        </w:tc>
        <w:tc>
          <w:tcPr>
            <w:tcW w:w="544" w:type="pct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5B66F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8DD7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0D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178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1.11 (1.06~1.16)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928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AE06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1.12 (1.07~1.17)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F62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BF21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1.07 (1.03~1.12)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6C4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9394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DD4E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 w14:paraId="545F5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A93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sodium-to-chloride ratio tertiles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B352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F457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B99B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469A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1AE85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649A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8E0EF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E132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6F90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644E0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E45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44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D08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246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8E67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7FA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B60E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41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16ED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6CCA1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8F6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1.15 (0.65~2.02)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00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0.632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05E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1.29 (0.74~2.27)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68B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0.373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75C3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1.44 (0.82~2.53)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105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B6A9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76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~2.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A0CA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301</w:t>
            </w:r>
          </w:p>
        </w:tc>
      </w:tr>
      <w:tr w14:paraId="587F8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AC4AD">
            <w:pPr>
              <w:widowControl/>
              <w:ind w:firstLine="220" w:firstLineChars="10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Tertile 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326A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1.81 (1.08~3.03)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22F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84A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2.13 (1.27~3.56)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2B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16D1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1.99 (1.18~3.34)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B1A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5F37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01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~3.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49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5AD0F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</w:tr>
      <w:tr w14:paraId="7AC75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4D32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D9AB00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66FBA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0CD1F5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69EF3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15D733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4AC0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7AF814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899BEB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</w:tr>
    </w:tbl>
    <w:p w14:paraId="7EF65BEF">
      <w:pPr>
        <w:spacing w:line="240" w:lineRule="exact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Note: sodium-to-chloride ratio</w:t>
      </w:r>
      <w:r>
        <w:rPr>
          <w:rFonts w:ascii="Times New Roman" w:hAnsi="Times New Roman" w:cs="Times New Roman" w:eastAsiaTheme="minorHAnsi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was entered as continuous variable per 0.01 increase; Crude Model: didn’t adjusted for covaria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t</w:t>
      </w:r>
      <w:r>
        <w:rPr>
          <w:rFonts w:ascii="Times New Roman" w:hAnsi="Times New Roman" w:cs="Times New Roman" w:eastAsiaTheme="minorHAnsi"/>
          <w:sz w:val="24"/>
          <w:szCs w:val="24"/>
        </w:rPr>
        <w:t>es;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Ⅰ: adjusted for age, gender;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Ⅰ+myocardial infarction, congestive heart failure, cerebrovascular disease, chronic pulmonary disease, diabetes, renal disease, CCI, and APSⅢ; Model Ⅲ: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</w:rPr>
        <w:t>Ⅱ+heart rate, MBP, RR, SPO</w:t>
      </w:r>
      <w:r>
        <w:rPr>
          <w:rFonts w:ascii="Times New Roman" w:hAnsi="Times New Roman" w:cs="Times New Roman" w:eastAsiaTheme="minorHAnsi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, WBC,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latelet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c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ount,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h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emoglobin,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p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otassium,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u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rea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n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itrogen, and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g</w:t>
      </w:r>
      <w:r>
        <w:rPr>
          <w:rFonts w:ascii="Times New Roman" w:hAnsi="Times New Roman" w:cs="Times New Roman" w:eastAsiaTheme="minorHAnsi"/>
          <w:sz w:val="24"/>
          <w:szCs w:val="24"/>
        </w:rPr>
        <w:t>lucose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 w:eastAsiaTheme="minorHAnsi"/>
          <w:sz w:val="24"/>
          <w:szCs w:val="24"/>
        </w:rPr>
        <w:t>surgical type (on-pump vs off-pump)</w:t>
      </w:r>
      <w:r>
        <w:rPr>
          <w:rFonts w:ascii="Times New Roman" w:hAnsi="Times New Roman" w:cs="Times New Roman" w:eastAsiaTheme="minorHAnsi"/>
          <w:sz w:val="24"/>
          <w:szCs w:val="24"/>
        </w:rPr>
        <w:t>.</w:t>
      </w:r>
    </w:p>
    <w:p w14:paraId="582D73F7"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2A50BD8">
      <w:pPr>
        <w:rPr>
          <w:rFonts w:ascii="Times New Roman" w:hAnsi="Times New Roman" w:cs="Times New Roman" w:eastAsiaTheme="minorHAnsi"/>
          <w:sz w:val="24"/>
          <w:szCs w:val="24"/>
        </w:rPr>
      </w:pPr>
    </w:p>
    <w:p w14:paraId="49958331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1A61912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0E24"/>
    <w:rsid w:val="004D5EFB"/>
    <w:rsid w:val="03CE5F43"/>
    <w:rsid w:val="04702B56"/>
    <w:rsid w:val="08B222EC"/>
    <w:rsid w:val="090441B5"/>
    <w:rsid w:val="0C0F70F9"/>
    <w:rsid w:val="0C761B5C"/>
    <w:rsid w:val="0D2766C4"/>
    <w:rsid w:val="0D790106"/>
    <w:rsid w:val="0D7A0F4E"/>
    <w:rsid w:val="0DCD2DC7"/>
    <w:rsid w:val="0FCF40FE"/>
    <w:rsid w:val="12912455"/>
    <w:rsid w:val="14430BC2"/>
    <w:rsid w:val="17AF1D7C"/>
    <w:rsid w:val="180D0CCB"/>
    <w:rsid w:val="1AA11864"/>
    <w:rsid w:val="1ACC6A0A"/>
    <w:rsid w:val="1AE6196C"/>
    <w:rsid w:val="1CC730D8"/>
    <w:rsid w:val="1DCA10D2"/>
    <w:rsid w:val="22C6598A"/>
    <w:rsid w:val="252217F3"/>
    <w:rsid w:val="26F92A28"/>
    <w:rsid w:val="2766511E"/>
    <w:rsid w:val="2C6609A6"/>
    <w:rsid w:val="2C663E3F"/>
    <w:rsid w:val="2EFC1307"/>
    <w:rsid w:val="2F0245FB"/>
    <w:rsid w:val="2FDD4C94"/>
    <w:rsid w:val="30C916BD"/>
    <w:rsid w:val="31484F45"/>
    <w:rsid w:val="31CA749A"/>
    <w:rsid w:val="325A7D01"/>
    <w:rsid w:val="33AD497E"/>
    <w:rsid w:val="33CC574C"/>
    <w:rsid w:val="34C75F13"/>
    <w:rsid w:val="3F88629F"/>
    <w:rsid w:val="428B0580"/>
    <w:rsid w:val="45024BED"/>
    <w:rsid w:val="45603F46"/>
    <w:rsid w:val="47FD3CCE"/>
    <w:rsid w:val="49521DF7"/>
    <w:rsid w:val="49EA0282"/>
    <w:rsid w:val="4C6D441A"/>
    <w:rsid w:val="4C9269AF"/>
    <w:rsid w:val="4FA312A5"/>
    <w:rsid w:val="50FD6AED"/>
    <w:rsid w:val="543C16DA"/>
    <w:rsid w:val="55782BE6"/>
    <w:rsid w:val="584D6A82"/>
    <w:rsid w:val="58BA3515"/>
    <w:rsid w:val="5B394BC5"/>
    <w:rsid w:val="5C974299"/>
    <w:rsid w:val="5DDB6408"/>
    <w:rsid w:val="5F4B3119"/>
    <w:rsid w:val="5F5D4BFA"/>
    <w:rsid w:val="5FC5111D"/>
    <w:rsid w:val="622D6320"/>
    <w:rsid w:val="63EE0517"/>
    <w:rsid w:val="64562340"/>
    <w:rsid w:val="651D10B4"/>
    <w:rsid w:val="68925915"/>
    <w:rsid w:val="69D9607C"/>
    <w:rsid w:val="6AC36259"/>
    <w:rsid w:val="6F062BB9"/>
    <w:rsid w:val="6F434B68"/>
    <w:rsid w:val="72BC2352"/>
    <w:rsid w:val="7397170C"/>
    <w:rsid w:val="73C44DF0"/>
    <w:rsid w:val="73D425A8"/>
    <w:rsid w:val="755F1275"/>
    <w:rsid w:val="76F37EC6"/>
    <w:rsid w:val="7B6C6499"/>
    <w:rsid w:val="7FB1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table" w:styleId="4">
    <w:name w:val="Table Grid"/>
    <w:basedOn w:val="3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501</Words>
  <Characters>3707</Characters>
  <Lines>0</Lines>
  <Paragraphs>0</Paragraphs>
  <TotalTime>4</TotalTime>
  <ScaleCrop>false</ScaleCrop>
  <LinksUpToDate>false</LinksUpToDate>
  <CharactersWithSpaces>4063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2026-03-16T15:18:00Z</dcterms:created>
  <dc:creator>HUAWEI</dc:creator>
  <cp:lastModifiedBy>明天会更好</cp:lastModifiedBy>
  <dcterms:modified xsi:type="dcterms:W3CDTF">2026-03-24T07:54:22Z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eyJoZGlkIjoiMTg3M2E1YTkxNjYzZDU2YjNlMzVkZjQ4ZjE0ZWQ4MzIiLCJ1c2VySWQiOiIzNTA4MzEyNTkifQ==</vt:lpwstr>
  </property>
  <property fmtid="{D5CDD505-2E9C-101B-9397-08002B2CF9AE}" pid="4" name="ICV">
    <vt:lpwstr>C7244C73939D498F8195BF3463186B06_12</vt:lpwstr>
  </property>
</Properties>
</file>