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E9E97">
      <w:pPr>
        <w:tabs>
          <w:tab w:val="left" w:pos="1260"/>
        </w:tabs>
        <w:spacing w:after="0" w:line="360" w:lineRule="auto"/>
        <w:jc w:val="both"/>
        <w:rPr>
          <w:rFonts w:hint="eastAsia" w:ascii="Times New Roman" w:hAnsi="Times New Roman" w:eastAsia="宋体" w:cs="Times New Roman"/>
          <w:bCs/>
          <w:sz w:val="24"/>
          <w:lang w:val="en-US" w:eastAsia="zh-CN"/>
          <w14:ligatures w14:val="none"/>
        </w:rPr>
      </w:pPr>
      <w:bookmarkStart w:id="0" w:name="_Hlk218850752"/>
      <w:r>
        <w:rPr>
          <w:rFonts w:ascii="Times New Roman" w:hAnsi="Times New Roman" w:eastAsia="Calibri" w:cs="Times New Roman"/>
          <w:bCs/>
          <w:sz w:val="24"/>
          <w14:ligatures w14:val="none"/>
        </w:rPr>
        <w:t>Table S</w:t>
      </w:r>
      <w:bookmarkEnd w:id="0"/>
      <w:r>
        <w:rPr>
          <w:rFonts w:hint="eastAsia" w:ascii="Times New Roman" w:hAnsi="Times New Roman" w:eastAsia="宋体" w:cs="Times New Roman"/>
          <w:bCs/>
          <w:sz w:val="24"/>
          <w:lang w:val="en-US" w:eastAsia="zh-CN"/>
          <w14:ligatures w14:val="none"/>
        </w:rPr>
        <w:t>4</w:t>
      </w:r>
      <w:r>
        <w:rPr>
          <w:rFonts w:hint="eastAsia" w:ascii="Times New Roman" w:hAnsi="Times New Roman" w:eastAsia="宋体" w:cs="Times New Roman"/>
          <w:bCs/>
          <w:sz w:val="24"/>
          <w14:ligatures w14:val="none"/>
        </w:rPr>
        <w:t>. PRISMA 2020 Checklist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  <w14:ligatures w14:val="none"/>
        </w:rPr>
        <w:t xml:space="preserve"> of this study.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1073"/>
        <w:gridCol w:w="5000"/>
        <w:gridCol w:w="1209"/>
        <w:gridCol w:w="6811"/>
      </w:tblGrid>
      <w:tr w14:paraId="15102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C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bookmarkStart w:id="1" w:name="_GoBack" w:colFirst="3" w:colLast="3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Section/Topic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Item No.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8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Checklist Item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0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Compliant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4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Brief Explanation</w:t>
            </w:r>
          </w:p>
        </w:tc>
      </w:tr>
      <w:tr w14:paraId="59C61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7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Title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E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Identify the report as a systematic review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57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The subtitle “A Systematic Critical Appraisal” indicates a systematic review, and the content meets the definition.</w:t>
            </w:r>
          </w:p>
        </w:tc>
      </w:tr>
      <w:tr w14:paraId="305BA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1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Abstract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9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Provide a structured summary including background, objectives, methods, results, and conclusions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B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Structured abstract reports objectives, methods (AGREE II), key results (22 CPGs, mean score 70.3%), and conclusions.</w:t>
            </w:r>
          </w:p>
        </w:tc>
      </w:tr>
      <w:tr w14:paraId="38434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DF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Introduction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7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Describe the rationale for the review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B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Introduction describes the burden of ACS and importance of antiplatelet guidelines.</w:t>
            </w:r>
          </w:p>
        </w:tc>
      </w:tr>
      <w:tr w14:paraId="09CF3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3EF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9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State the objective(s) or question(s)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4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Objective clearly stated: to critically appraise methodological quality and synthesise recommendations of ACS antiplatelet CPGs.</w:t>
            </w:r>
          </w:p>
        </w:tc>
      </w:tr>
      <w:tr w14:paraId="0EB68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2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Methods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7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Specify a priori protocol and registration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8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D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 mention of a pre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registered protocol or registration (e.g., PROSPERO).</w:t>
            </w:r>
          </w:p>
        </w:tc>
      </w:tr>
      <w:tr w14:paraId="5326F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F27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E7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Specify eligibility criteria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F5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Inclusion and exclusion criteria detailed in section 2.2.</w:t>
            </w:r>
          </w:p>
        </w:tc>
      </w:tr>
      <w:tr w14:paraId="69BE6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FD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5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Present complete search strategy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1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2.1 describes databases, time range, keywords, guideline repositories, and hand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searching; Table S1 provides an example.</w:t>
            </w:r>
          </w:p>
        </w:tc>
      </w:tr>
      <w:tr w14:paraId="443A8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490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F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State whether automation tools were used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C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 mention of using automation or machine learning tools for screening.</w:t>
            </w:r>
          </w:p>
        </w:tc>
      </w:tr>
      <w:tr w14:paraId="32E25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B9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71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Describe the study selection process (e.g., independent screening)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D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2.3 states two independent reviewers screened records, with disagreements resolved by consensus or a third reviewer.</w:t>
            </w:r>
          </w:p>
        </w:tc>
      </w:tr>
      <w:tr w14:paraId="286A8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1E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4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Describe the data extraction process (e.g., independent extraction)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7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39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2.3 describes use of a standardised form and verification by a second investigator.</w:t>
            </w:r>
          </w:p>
        </w:tc>
      </w:tr>
      <w:tr w14:paraId="1C7E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E7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A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List all data items extracted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8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2.3 lists extracted items (publication details, region, organisation, topic, ACS type, methods, recommendations).</w:t>
            </w:r>
          </w:p>
        </w:tc>
      </w:tr>
      <w:tr w14:paraId="0687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0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6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Report methods for risk of bias assessment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A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AGREE II tool used (section 2.4); inter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rater reliability assessed with ICC (section 2.6).</w:t>
            </w:r>
          </w:p>
        </w:tc>
      </w:tr>
      <w:tr w14:paraId="659AE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998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C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5D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Specify effect measures and synthesis methods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Not applicable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8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 meta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analysis; only descriptive synthesis of AGREE II domain scores.</w:t>
            </w:r>
          </w:p>
        </w:tc>
      </w:tr>
      <w:tr w14:paraId="19B7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22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B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Describe methods for data synthesis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Partially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4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2.6 states means, SDs, and ICCs calculated using SPSS, but no details on handling missing data.</w:t>
            </w:r>
          </w:p>
        </w:tc>
      </w:tr>
      <w:tr w14:paraId="6792E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92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8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Describe methods for assessing publication bias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9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BD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 systematic assessment of publication or language bias (though limitations mention possible language bias).</w:t>
            </w:r>
          </w:p>
        </w:tc>
      </w:tr>
      <w:tr w14:paraId="0DA8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25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B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Describe any additional analyses (e.g., subgroups, sensitivity)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53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3.2.2 reports temporal and geographic subgroup analyses; section 3.2.3 reports sensitivity analysis using ≥50% threshold.</w:t>
            </w:r>
          </w:p>
        </w:tc>
      </w:tr>
      <w:tr w14:paraId="6AD29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31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Results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7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Report numbers of studies screened, assessed, and included (provide flow diagram)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1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A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Figure S1 shows flow diagram: 8,186 records → 22 CPGs.</w:t>
            </w:r>
          </w:p>
        </w:tc>
      </w:tr>
      <w:tr w14:paraId="793D2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69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B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E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Present basic characteristics of each included study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A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Table 1 summarises characteristics (region, organisation, topic, evidence system, etc.).</w:t>
            </w:r>
          </w:p>
        </w:tc>
      </w:tr>
      <w:tr w14:paraId="4DE5D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96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B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Present risk of bias assessment results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65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3.2.1 reports AGREE II domain scores (Figures 1, 2) and ICC values (Table S2).</w:t>
            </w:r>
          </w:p>
        </w:tc>
      </w:tr>
      <w:tr w14:paraId="2585A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11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4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Present results for each individual study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Not applicable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5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 individual effect estimates; aggregated domain scores presented.</w:t>
            </w:r>
          </w:p>
        </w:tc>
      </w:tr>
      <w:tr w14:paraId="24213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14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E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D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Present results of syntheses (e.g., meta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analysis)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Not applicable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A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 meta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analysis performed.</w:t>
            </w:r>
          </w:p>
        </w:tc>
      </w:tr>
      <w:tr w14:paraId="5D5B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913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9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0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Present evidence of publication bias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9E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 assessment of publication bias reported.</w:t>
            </w:r>
          </w:p>
        </w:tc>
      </w:tr>
      <w:tr w14:paraId="7747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6F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0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Present results of any additional analyses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9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Section 3.2.2 (time/region comparisons) and 3.2.3 (sensitivity analysis) results reported.</w:t>
            </w:r>
          </w:p>
        </w:tc>
      </w:tr>
      <w:tr w14:paraId="4384B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3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Discussion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F0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Summarise evidence and interpret results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A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Discussion interprets AGREE II scoring patterns, strengths, weaknesses, and consistency of recommendations.</w:t>
            </w:r>
          </w:p>
        </w:tc>
      </w:tr>
      <w:tr w14:paraId="33439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56D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2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Discuss limitations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A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Limitations discussed: heterogeneity of CPGs, low ICC due to ceiling effect, language restriction, lack of patient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level variables.</w:t>
            </w:r>
          </w:p>
        </w:tc>
      </w:tr>
      <w:tr w14:paraId="41F89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04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0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Provide conclusions with implications for practice/research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D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Conclusions highlight need for improved guideline quality, summarise key recommendations (DAPT, ticagrelor first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line, duration ≥12 months, no routine testing).</w:t>
            </w:r>
          </w:p>
        </w:tc>
      </w:tr>
      <w:tr w14:paraId="164D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16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Other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F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1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E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Disclose conflicts of interest and funding sources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C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Yes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D3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F1115"/>
                <w:sz w:val="22"/>
                <w:szCs w:val="22"/>
                <w:u w:val="none"/>
              </w:rPr>
              <w:t>Conflict of interest and funding sources have been clearly declared</w:t>
            </w:r>
          </w:p>
        </w:tc>
      </w:tr>
      <w:bookmarkEnd w:id="1"/>
    </w:tbl>
    <w:p w14:paraId="4F2B6D2D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30A39"/>
    <w:rsid w:val="076B2201"/>
    <w:rsid w:val="18267CA4"/>
    <w:rsid w:val="20987041"/>
    <w:rsid w:val="20AF2801"/>
    <w:rsid w:val="2A1C040D"/>
    <w:rsid w:val="35D73F34"/>
    <w:rsid w:val="36AA0337"/>
    <w:rsid w:val="556545D9"/>
    <w:rsid w:val="6E67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585</Words>
  <Characters>3645</Characters>
  <Lines>0</Lines>
  <Paragraphs>0</Paragraphs>
  <TotalTime>1</TotalTime>
  <ScaleCrop>false</ScaleCrop>
  <LinksUpToDate>false</LinksUpToDate>
  <CharactersWithSpaces>4109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2026-04-07T13:10:00Z</dcterms:created>
  <dc:creator>Yijin Wang</dc:creator>
  <cp:lastModifiedBy>Chuhui Wang</cp:lastModifiedBy>
  <dcterms:modified xsi:type="dcterms:W3CDTF">2026-04-08T08:43:59Z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eyJoZGlkIjoiYTc2ZGZiNzZiNDVlOGViOWVmM2JhOTY0NGJkNjUyYzgiLCJ1c2VySWQiOiI0MzEyNDYwMDYifQ==</vt:lpwstr>
  </property>
  <property fmtid="{D5CDD505-2E9C-101B-9397-08002B2CF9AE}" pid="4" name="ICV">
    <vt:lpwstr>24F1E05DCCD745B4B2B82C4B902512ED_12</vt:lpwstr>
  </property>
</Properties>
</file>