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9731" w14:textId="77777777" w:rsidR="001A5ECD" w:rsidRDefault="0000000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sz w:val="24"/>
        </w:rPr>
        <w:t>Supplementary Table S1. Baseline Characteristics of Patients Before and After Propensity Score Matching (PSM)</w:t>
      </w:r>
    </w:p>
    <w:p w14:paraId="14BCD8B4" w14:textId="77777777" w:rsidR="001A5ECD" w:rsidRDefault="001A5ECD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51"/>
        <w:gridCol w:w="1171"/>
        <w:gridCol w:w="895"/>
        <w:gridCol w:w="895"/>
        <w:gridCol w:w="669"/>
        <w:gridCol w:w="895"/>
        <w:gridCol w:w="895"/>
        <w:gridCol w:w="782"/>
        <w:gridCol w:w="669"/>
      </w:tblGrid>
      <w:tr w:rsidR="001A5ECD" w14:paraId="7237D5F3" w14:textId="77777777"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52DBEF" w14:textId="77777777" w:rsidR="001A5ECD" w:rsidRDefault="0000000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Characteristics</w:t>
            </w:r>
          </w:p>
        </w:tc>
        <w:tc>
          <w:tcPr>
            <w:tcW w:w="3630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C05313" w14:textId="77777777" w:rsidR="001A5ECD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Before Matching</w:t>
            </w:r>
          </w:p>
        </w:tc>
        <w:tc>
          <w:tcPr>
            <w:tcW w:w="324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A218EA" w14:textId="77777777" w:rsidR="001A5ECD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After Matching</w:t>
            </w:r>
          </w:p>
        </w:tc>
      </w:tr>
      <w:tr w:rsidR="001A5ECD" w14:paraId="554E0E4C" w14:textId="77777777"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A1215" w14:textId="77777777" w:rsidR="001A5ECD" w:rsidRDefault="001A5EC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1404C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Low burden (n = 482)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29165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High burden (n = 756)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83DC3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 value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863CF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SMD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86B2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Low burden (n = 450)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21885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High burden (n = 450)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B61E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 value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6BC22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SMD</w:t>
            </w:r>
          </w:p>
        </w:tc>
      </w:tr>
      <w:tr w:rsidR="001A5ECD" w14:paraId="50D1B09D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F0AA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Age, years (mean ± SD)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EA38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61.5 ± 11.2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589C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68.2 ± 9.8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CAB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687A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E1E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66.7 ± 10.4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D0B6F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67.3 ± 10.1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358B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4B8D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0.06</w:t>
            </w:r>
          </w:p>
        </w:tc>
      </w:tr>
      <w:tr w:rsidR="001A5ECD" w14:paraId="528DEBB0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58023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Male,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0A86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379 (78.6)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AEFE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519 (66.1)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3F74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E8DE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CF64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300 (66.7)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96E1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306 (68.0)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CBD0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9A43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</w:t>
            </w:r>
          </w:p>
        </w:tc>
      </w:tr>
      <w:tr w:rsidR="001A5ECD" w14:paraId="0B9D2209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E901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Hypertension,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B771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225 (46.7)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F56A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634 (82.8)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A810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891E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4447C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356 (79.1)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9E57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363 (80.7)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7890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55C0C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0.04</w:t>
            </w:r>
          </w:p>
        </w:tc>
      </w:tr>
      <w:tr w:rsidR="001A5ECD" w14:paraId="6706321F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FA82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Diabetes mellitus,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B2A3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87 (18.0)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E0EA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355 (49.5)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D056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4895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7F16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198 (44.0)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81B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205 (45.6)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AC1A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FEF1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</w:t>
            </w:r>
          </w:p>
        </w:tc>
      </w:tr>
      <w:tr w:rsidR="001A5ECD" w14:paraId="24E574C2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176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Chronic kidney disease,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37B8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 (6.0)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2A1D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173 (22.9)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6D8C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300A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9D56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88 (19.6)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D284F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93 (20.7)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7061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DF91B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</w:t>
            </w:r>
          </w:p>
        </w:tc>
      </w:tr>
      <w:tr w:rsidR="001A5ECD" w14:paraId="5834232D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119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COPD,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0B99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 (4.8)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A51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134 (17.7)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6D0E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B92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3B3E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65 (14.4)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BE6A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69 (15.3)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929D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7B1C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0.02</w:t>
            </w:r>
          </w:p>
        </w:tc>
      </w:tr>
      <w:tr w:rsidR="001A5ECD" w14:paraId="61A65969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87FF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Prior stroke,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45135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15 (3.1)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1084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93 (12.3)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0C0D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CE4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D141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49 (10.9)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9179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53 (11.8)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BEED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6A7B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</w:t>
            </w:r>
          </w:p>
        </w:tc>
      </w:tr>
      <w:tr w:rsidR="001A5ECD" w14:paraId="24A73297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086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BMI, kg/m² (mean ± SD)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37D6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25.1 ± 3.5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55BC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25.6 ± 3.8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CD12B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8FEA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D297F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25.4 ± 3.7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30EF3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25.5 ± 3.6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27A9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C29FF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0.02</w:t>
            </w:r>
          </w:p>
        </w:tc>
      </w:tr>
      <w:tr w:rsidR="001A5ECD" w14:paraId="290430A8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CE60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Smoking history,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4F753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215 (44.6)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B0E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308 (40.7)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7DEB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C0ED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7C8F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184 (40.9)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048CC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180 (40.0)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35A2B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B508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0.02</w:t>
            </w:r>
          </w:p>
        </w:tc>
      </w:tr>
      <w:tr w:rsidR="001A5ECD" w14:paraId="6C232767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BA3F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LVEF, % (mean ± SD)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DA35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54.8 ± 7.9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2FFA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49.2 ± 8.7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AE119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822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FB65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50.3 ± 8.3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71D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49.8 ± 8.1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6A4F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025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0.06</w:t>
            </w:r>
          </w:p>
        </w:tc>
      </w:tr>
      <w:tr w:rsidR="001A5ECD" w14:paraId="4653BD99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35F92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Killip ≥ II,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85C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58 (12.0)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14D4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161 (21.3)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F3B3B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8281C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E87D3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87 (19.3)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191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91 (20.2)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A0FE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4779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0.02</w:t>
            </w:r>
          </w:p>
        </w:tc>
      </w:tr>
      <w:tr w:rsidR="001A5ECD" w14:paraId="157B995A" w14:textId="77777777"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C47FD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Multivessel disease, n (%)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134D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189 (39.2)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06A98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466 (64.0)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2950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BE7C1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CF75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279 (62.0)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3162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286 (63.6)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074EE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1A8D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</w:t>
            </w:r>
          </w:p>
        </w:tc>
      </w:tr>
      <w:tr w:rsidR="001A5ECD" w14:paraId="11B0ACB5" w14:textId="77777777">
        <w:tc>
          <w:tcPr>
            <w:tcW w:w="1651" w:type="dxa"/>
            <w:tcBorders>
              <w:top w:val="nil"/>
              <w:left w:val="nil"/>
              <w:right w:val="nil"/>
            </w:tcBorders>
            <w:vAlign w:val="center"/>
          </w:tcPr>
          <w:p w14:paraId="6C6E8360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Style w:val="Strong"/>
                <w:rFonts w:ascii="Times New Roman" w:eastAsia="SimSun" w:hAnsi="Times New Roman" w:cs="Times New Roman"/>
                <w:kern w:val="0"/>
                <w:szCs w:val="21"/>
                <w:lang w:bidi="ar"/>
              </w:rPr>
              <w:t>Number of stents (mean ± SD)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vAlign w:val="center"/>
          </w:tcPr>
          <w:p w14:paraId="2522307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1.6 ± 0.9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center"/>
          </w:tcPr>
          <w:p w14:paraId="07B9B38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2.3 ± 1.1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center"/>
          </w:tcPr>
          <w:p w14:paraId="7333FB0F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vAlign w:val="center"/>
          </w:tcPr>
          <w:p w14:paraId="6AF95414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0.69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center"/>
          </w:tcPr>
          <w:p w14:paraId="79D09DD7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2.1 ± 1.0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vAlign w:val="center"/>
          </w:tcPr>
          <w:p w14:paraId="26F84466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2.2 ± 1.1</w:t>
            </w: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vAlign w:val="center"/>
          </w:tcPr>
          <w:p w14:paraId="305C9F9A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0.39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vAlign w:val="center"/>
          </w:tcPr>
          <w:p w14:paraId="6BF80ACC" w14:textId="77777777" w:rsidR="001A5ECD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0.05</w:t>
            </w:r>
          </w:p>
        </w:tc>
      </w:tr>
    </w:tbl>
    <w:p w14:paraId="218B7A46" w14:textId="77777777" w:rsidR="001A5ECD" w:rsidRDefault="00000000">
      <w:pPr>
        <w:rPr>
          <w:rFonts w:ascii="Times New Roman" w:eastAsia="SimSun" w:hAnsi="Times New Roman" w:cs="Times New Roman"/>
          <w:szCs w:val="21"/>
        </w:rPr>
      </w:pPr>
      <w:r>
        <w:rPr>
          <w:rStyle w:val="Strong"/>
          <w:rFonts w:ascii="Times New Roman" w:eastAsia="SimSun" w:hAnsi="Times New Roman" w:cs="Times New Roman"/>
          <w:szCs w:val="21"/>
        </w:rPr>
        <w:t>Abbreviations:</w:t>
      </w:r>
      <w:r>
        <w:rPr>
          <w:rFonts w:ascii="Times New Roman" w:eastAsia="SimSun" w:hAnsi="Times New Roman" w:cs="Times New Roman"/>
          <w:szCs w:val="21"/>
        </w:rPr>
        <w:t xml:space="preserve"> BMI = Body Mass Index; CKD = Chronic Kidney Disease; COPD = Chronic Obstructive Pulmonary Disease; LVEF = Left Ventricular Ejection Fraction; SMD = Standardized Mean Difference; PSM = Propensity Score Matching.</w:t>
      </w:r>
      <w:r>
        <w:rPr>
          <w:rFonts w:ascii="Times New Roman" w:eastAsia="SimSun" w:hAnsi="Times New Roman" w:cs="Times New Roman"/>
          <w:szCs w:val="21"/>
        </w:rPr>
        <w:br/>
      </w:r>
      <w:r>
        <w:rPr>
          <w:rStyle w:val="Strong"/>
          <w:rFonts w:ascii="Times New Roman" w:eastAsia="SimSun" w:hAnsi="Times New Roman" w:cs="Times New Roman"/>
          <w:szCs w:val="21"/>
        </w:rPr>
        <w:t>Note:</w:t>
      </w:r>
      <w:r>
        <w:rPr>
          <w:rFonts w:ascii="Times New Roman" w:eastAsia="SimSun" w:hAnsi="Times New Roman" w:cs="Times New Roman"/>
          <w:szCs w:val="21"/>
        </w:rPr>
        <w:t xml:space="preserve"> After matching, all baseline covariates achieved adequate balance (SMD &lt; 0.1).</w:t>
      </w:r>
    </w:p>
    <w:p w14:paraId="7455F2A6" w14:textId="77777777" w:rsidR="001A5ECD" w:rsidRDefault="001A5ECD">
      <w:pPr>
        <w:rPr>
          <w:rFonts w:ascii="Times New Roman" w:eastAsia="SimSun" w:hAnsi="Times New Roman" w:cs="Times New Roman"/>
          <w:szCs w:val="21"/>
        </w:rPr>
      </w:pPr>
    </w:p>
    <w:p w14:paraId="0D36EB1C" w14:textId="77777777" w:rsidR="00960216" w:rsidRDefault="00960216">
      <w:pPr>
        <w:rPr>
          <w:rFonts w:ascii="Times New Roman" w:eastAsia="SimSun" w:hAnsi="Times New Roman" w:cs="Times New Roman"/>
          <w:szCs w:val="21"/>
        </w:rPr>
      </w:pPr>
    </w:p>
    <w:p w14:paraId="350978C7" w14:textId="77777777" w:rsidR="00960216" w:rsidRDefault="00960216">
      <w:pPr>
        <w:rPr>
          <w:rFonts w:ascii="Times New Roman" w:eastAsia="SimSun" w:hAnsi="Times New Roman" w:cs="Times New Roman"/>
          <w:szCs w:val="21"/>
        </w:rPr>
      </w:pPr>
    </w:p>
    <w:p w14:paraId="784897C9" w14:textId="77777777" w:rsidR="00960216" w:rsidRDefault="00960216">
      <w:pPr>
        <w:rPr>
          <w:rFonts w:ascii="Times New Roman" w:eastAsia="SimSun" w:hAnsi="Times New Roman" w:cs="Times New Roman"/>
          <w:szCs w:val="21"/>
        </w:rPr>
      </w:pPr>
    </w:p>
    <w:p w14:paraId="0F85E90B" w14:textId="77777777" w:rsidR="00960216" w:rsidRDefault="00960216">
      <w:pPr>
        <w:rPr>
          <w:rFonts w:ascii="Times New Roman" w:eastAsia="SimSun" w:hAnsi="Times New Roman" w:cs="Times New Roman"/>
          <w:szCs w:val="21"/>
        </w:rPr>
      </w:pPr>
    </w:p>
    <w:p w14:paraId="76D940ED" w14:textId="56AA59E8" w:rsidR="00960216" w:rsidRDefault="00960216">
      <w:pPr>
        <w:rPr>
          <w:rFonts w:ascii="Times New Roman" w:eastAsia="SimSun" w:hAnsi="Times New Roman" w:cs="Times New Roman"/>
          <w:szCs w:val="21"/>
        </w:rPr>
      </w:pPr>
      <w:r w:rsidRPr="00960216">
        <w:rPr>
          <w:rFonts w:ascii="Times New Roman" w:eastAsia="SimSun" w:hAnsi="Times New Roman" w:cs="Times New Roman"/>
          <w:szCs w:val="21"/>
        </w:rPr>
        <w:lastRenderedPageBreak/>
        <w:drawing>
          <wp:inline distT="0" distB="0" distL="0" distR="0" wp14:anchorId="6047FC8F" wp14:editId="6C14CC42">
            <wp:extent cx="5274310" cy="3100705"/>
            <wp:effectExtent l="0" t="0" r="2540" b="444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23D4C62-319F-A137-7B2D-CFC7D48988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23D4C62-319F-A137-7B2D-CFC7D48988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9F15" w14:textId="6F5ABB08" w:rsidR="00960216" w:rsidRDefault="00960216">
      <w:pPr>
        <w:rPr>
          <w:rFonts w:ascii="Times New Roman" w:eastAsia="SimSun" w:hAnsi="Times New Roman" w:cs="Times New Roman"/>
          <w:szCs w:val="21"/>
        </w:rPr>
      </w:pPr>
      <w:r>
        <w:rPr>
          <w:rFonts w:ascii="Times New Roman" w:eastAsia="SimSun" w:hAnsi="Times New Roman" w:cs="Times New Roman"/>
          <w:szCs w:val="21"/>
        </w:rPr>
        <w:t xml:space="preserve">        </w:t>
      </w:r>
      <w:r w:rsidRPr="00960216">
        <w:rPr>
          <w:rFonts w:ascii="Times New Roman" w:eastAsia="SimSun" w:hAnsi="Times New Roman" w:cs="Times New Roman"/>
          <w:b/>
          <w:bCs/>
          <w:szCs w:val="21"/>
        </w:rPr>
        <w:t>Figure S1</w:t>
      </w:r>
      <w:r w:rsidRPr="00960216">
        <w:rPr>
          <w:rFonts w:ascii="Times New Roman" w:eastAsia="SimSun" w:hAnsi="Times New Roman" w:cs="Times New Roman"/>
          <w:szCs w:val="21"/>
        </w:rPr>
        <w:t>. Covariate Balance Before and After Propensity Score Matching (PSM).</w:t>
      </w:r>
    </w:p>
    <w:p w14:paraId="7D07727A" w14:textId="77777777" w:rsidR="001A5ECD" w:rsidRDefault="001A5ECD">
      <w:pPr>
        <w:rPr>
          <w:rFonts w:ascii="Times New Roman" w:eastAsia="SimSun" w:hAnsi="Times New Roman" w:cs="Times New Roman"/>
          <w:szCs w:val="21"/>
        </w:rPr>
      </w:pPr>
    </w:p>
    <w:sectPr w:rsidR="001A5E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ECD"/>
    <w:rsid w:val="001A556A"/>
    <w:rsid w:val="001A5ECD"/>
    <w:rsid w:val="00960216"/>
    <w:rsid w:val="0325398F"/>
    <w:rsid w:val="633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AA768E"/>
  <w15:docId w15:val="{D975338C-068A-4FE0-88CF-09A836A6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Author</cp:lastModifiedBy>
  <cp:revision>2</cp:revision>
  <dcterms:created xsi:type="dcterms:W3CDTF">2025-10-24T04:07:00Z</dcterms:created>
  <dcterms:modified xsi:type="dcterms:W3CDTF">2026-03-04T09:21:00Z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eyJoZGlkIjoiNDI0NGZmN2E4NWM3ZWYyNWYwZmIxYjIyNTllOGY2MmQiLCJ1c2VySWQiOiIyNTEwMzQ3NTUifQ==</vt:lpwstr>
  </property>
  <property fmtid="{D5CDD505-2E9C-101B-9397-08002B2CF9AE}" pid="4" name="ICV">
    <vt:lpwstr>50968D84BF874BDB84B2DFC14D2E32BF_12</vt:lpwstr>
  </property>
</Properties>
</file>