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50DE" w:rsidRPr="000D65C4" w:rsidRDefault="006B50DE" w:rsidP="006B50DE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0D65C4">
        <w:rPr>
          <w:rFonts w:ascii="Times New Roman" w:hAnsi="Times New Roman" w:cs="Times New Roman"/>
          <w:b/>
          <w:sz w:val="24"/>
          <w:szCs w:val="24"/>
        </w:rPr>
        <w:t>Supplementary Table S1. Association of EASIX and CKD with Overall and In-Hospital Mortality: Univariable and Multivariable Analyses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61"/>
        <w:gridCol w:w="1430"/>
        <w:gridCol w:w="1107"/>
        <w:gridCol w:w="1162"/>
        <w:gridCol w:w="1630"/>
        <w:gridCol w:w="1156"/>
        <w:gridCol w:w="1110"/>
      </w:tblGrid>
      <w:tr w:rsidR="006B50DE" w:rsidRPr="000D65C4" w:rsidTr="00EC66B1"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0DE" w:rsidRPr="000D65C4" w:rsidRDefault="006B50DE" w:rsidP="00EC66B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0DE" w:rsidRPr="000D65C4" w:rsidRDefault="006B50DE" w:rsidP="00EC66B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Univariable</w:t>
            </w: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HR / OR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0DE" w:rsidRPr="000D65C4" w:rsidRDefault="006B50DE" w:rsidP="00EC66B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0DE" w:rsidRPr="000D65C4" w:rsidRDefault="006B50DE" w:rsidP="00EC66B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0DE" w:rsidRPr="000D65C4" w:rsidRDefault="006B50DE" w:rsidP="00EC66B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Multivariable</w:t>
            </w: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HR / OR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0DE" w:rsidRPr="000D65C4" w:rsidRDefault="006B50DE" w:rsidP="00EC66B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0DE" w:rsidRPr="000D65C4" w:rsidRDefault="006B50DE" w:rsidP="00EC66B1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6B50DE" w:rsidRPr="000D65C4" w:rsidTr="00EC66B1">
        <w:tc>
          <w:tcPr>
            <w:tcW w:w="94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0DE" w:rsidRPr="000D65C4" w:rsidRDefault="006B50DE" w:rsidP="00EC66B1">
            <w:pPr>
              <w:spacing w:before="40" w:after="4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Overall Mortality</w:t>
            </w:r>
          </w:p>
        </w:tc>
      </w:tr>
      <w:tr w:rsidR="006B50DE" w:rsidRPr="000D65C4" w:rsidTr="00EC66B1"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EASIX (per 1-unit increase)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1.09–1.31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1.003–1.338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0.046</w:t>
            </w:r>
          </w:p>
        </w:tc>
      </w:tr>
      <w:tr w:rsidR="006B50DE" w:rsidRPr="000D65C4" w:rsidTr="00EC66B1"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CKD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1.84–3.86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1.03–3.98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0.041</w:t>
            </w:r>
          </w:p>
        </w:tc>
      </w:tr>
      <w:tr w:rsidR="006B50DE" w:rsidRPr="000D65C4" w:rsidTr="00EC66B1">
        <w:tc>
          <w:tcPr>
            <w:tcW w:w="94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0DE" w:rsidRPr="000D65C4" w:rsidRDefault="006B50DE" w:rsidP="00EC66B1">
            <w:pPr>
              <w:spacing w:before="40" w:after="4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In-Hospital Mortality</w:t>
            </w:r>
          </w:p>
        </w:tc>
      </w:tr>
      <w:tr w:rsidR="006B50DE" w:rsidRPr="000D65C4" w:rsidTr="00EC66B1"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EASIX (per 1-unit increase)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1.09–1.38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1.02–1.68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0.022</w:t>
            </w:r>
          </w:p>
        </w:tc>
      </w:tr>
      <w:tr w:rsidR="006B50DE" w:rsidRPr="000D65C4" w:rsidTr="00EC66B1"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CKD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1.60–4.77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0.23–2.84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50DE" w:rsidRPr="000D65C4" w:rsidRDefault="006B50DE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0.846</w:t>
            </w:r>
          </w:p>
        </w:tc>
      </w:tr>
    </w:tbl>
    <w:p w:rsidR="006B50DE" w:rsidRPr="000D65C4" w:rsidRDefault="006B50DE" w:rsidP="006B50DE">
      <w:pPr>
        <w:spacing w:before="120"/>
        <w:rPr>
          <w:rFonts w:ascii="Times New Roman" w:hAnsi="Times New Roman" w:cs="Times New Roman"/>
          <w:iCs/>
          <w:sz w:val="21"/>
          <w:szCs w:val="21"/>
        </w:rPr>
      </w:pPr>
      <w:r w:rsidRPr="000D65C4">
        <w:rPr>
          <w:rFonts w:ascii="Times New Roman" w:hAnsi="Times New Roman" w:cs="Times New Roman"/>
          <w:iCs/>
          <w:sz w:val="21"/>
          <w:szCs w:val="21"/>
        </w:rPr>
        <w:t xml:space="preserve">Overall mortality model adjusted for: age, sex, LVEF, </w:t>
      </w:r>
      <w:proofErr w:type="spellStart"/>
      <w:r w:rsidRPr="000D65C4">
        <w:rPr>
          <w:rFonts w:ascii="Times New Roman" w:hAnsi="Times New Roman" w:cs="Times New Roman"/>
          <w:iCs/>
          <w:sz w:val="21"/>
          <w:szCs w:val="21"/>
        </w:rPr>
        <w:t>lnBNP</w:t>
      </w:r>
      <w:proofErr w:type="spellEnd"/>
      <w:r w:rsidRPr="000D65C4">
        <w:rPr>
          <w:rFonts w:ascii="Times New Roman" w:hAnsi="Times New Roman" w:cs="Times New Roman"/>
          <w:iCs/>
          <w:sz w:val="21"/>
          <w:szCs w:val="21"/>
        </w:rPr>
        <w:t xml:space="preserve">, atrial fibrillation, balloon-expandable valve, albumin, total bilirubin, and TAPSE. </w:t>
      </w:r>
    </w:p>
    <w:p w:rsidR="006B50DE" w:rsidRPr="000D65C4" w:rsidRDefault="006B50DE" w:rsidP="006B50DE">
      <w:pPr>
        <w:spacing w:before="120"/>
        <w:rPr>
          <w:rFonts w:ascii="Times New Roman" w:hAnsi="Times New Roman" w:cs="Times New Roman"/>
          <w:iCs/>
          <w:sz w:val="21"/>
          <w:szCs w:val="21"/>
        </w:rPr>
      </w:pPr>
      <w:r w:rsidRPr="000D65C4">
        <w:rPr>
          <w:rFonts w:ascii="Times New Roman" w:hAnsi="Times New Roman" w:cs="Times New Roman"/>
          <w:iCs/>
          <w:sz w:val="21"/>
          <w:szCs w:val="21"/>
        </w:rPr>
        <w:t xml:space="preserve">In-hospital mortality model adjusted for: age, sex, </w:t>
      </w:r>
      <w:proofErr w:type="spellStart"/>
      <w:r w:rsidRPr="000D65C4">
        <w:rPr>
          <w:rFonts w:ascii="Times New Roman" w:hAnsi="Times New Roman" w:cs="Times New Roman"/>
          <w:iCs/>
          <w:sz w:val="21"/>
          <w:szCs w:val="21"/>
        </w:rPr>
        <w:t>lnBNP</w:t>
      </w:r>
      <w:proofErr w:type="spellEnd"/>
      <w:r w:rsidRPr="000D65C4">
        <w:rPr>
          <w:rFonts w:ascii="Times New Roman" w:hAnsi="Times New Roman" w:cs="Times New Roman"/>
          <w:iCs/>
          <w:sz w:val="21"/>
          <w:szCs w:val="21"/>
        </w:rPr>
        <w:t xml:space="preserve">, total bilirubin, ALT, hypertension, and TAPSE. </w:t>
      </w:r>
    </w:p>
    <w:p w:rsidR="006B50DE" w:rsidRPr="000D65C4" w:rsidRDefault="006B50DE" w:rsidP="000D65C4">
      <w:pPr>
        <w:spacing w:before="120"/>
        <w:rPr>
          <w:rFonts w:ascii="Times New Roman" w:hAnsi="Times New Roman" w:cs="Times New Roman"/>
          <w:iCs/>
          <w:sz w:val="21"/>
          <w:szCs w:val="21"/>
        </w:rPr>
      </w:pPr>
      <w:r w:rsidRPr="000D65C4">
        <w:rPr>
          <w:rFonts w:ascii="Times New Roman" w:hAnsi="Times New Roman" w:cs="Times New Roman"/>
          <w:b/>
          <w:bCs/>
          <w:sz w:val="21"/>
          <w:szCs w:val="21"/>
        </w:rPr>
        <w:t>Abbreviations:</w:t>
      </w:r>
      <w:r w:rsidRPr="000D65C4">
        <w:rPr>
          <w:rFonts w:ascii="Times New Roman" w:hAnsi="Times New Roman" w:cs="Times New Roman"/>
          <w:sz w:val="21"/>
          <w:szCs w:val="21"/>
        </w:rPr>
        <w:t xml:space="preserve"> </w:t>
      </w:r>
      <w:r w:rsidRPr="000D65C4">
        <w:rPr>
          <w:rFonts w:ascii="Times New Roman" w:hAnsi="Times New Roman" w:cs="Times New Roman"/>
          <w:iCs/>
          <w:sz w:val="21"/>
          <w:szCs w:val="21"/>
        </w:rPr>
        <w:t>EASIX: Endothelial Activation and Stress Index; CKD: chronic kidney disease.</w:t>
      </w:r>
    </w:p>
    <w:p w:rsidR="000C4830" w:rsidRPr="000D65C4" w:rsidRDefault="00000000">
      <w:pPr>
        <w:pStyle w:val="Balk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65C4">
        <w:rPr>
          <w:rFonts w:ascii="Times New Roman" w:hAnsi="Times New Roman" w:cs="Times New Roman"/>
          <w:color w:val="000000" w:themeColor="text1"/>
          <w:sz w:val="24"/>
          <w:szCs w:val="24"/>
        </w:rPr>
        <w:t>Supplementary Table S</w:t>
      </w:r>
      <w:r w:rsidR="00E74296" w:rsidRPr="000D65C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D65C4">
        <w:rPr>
          <w:rFonts w:ascii="Times New Roman" w:hAnsi="Times New Roman" w:cs="Times New Roman"/>
          <w:color w:val="000000" w:themeColor="text1"/>
          <w:sz w:val="24"/>
          <w:szCs w:val="24"/>
        </w:rPr>
        <w:t>. Sensitivity Analysis for In-Hospital Mortality (Excluding Patients with CKD)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0C4830" w:rsidRPr="000D65C4" w:rsidTr="00EA41E0"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0C4830" w:rsidRPr="000D65C4" w:rsidTr="00EA41E0"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Female sex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0.99–13.62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</w:p>
        </w:tc>
      </w:tr>
      <w:tr w:rsidR="000C4830" w:rsidRPr="000D65C4" w:rsidTr="00EA41E0"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EASIX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1.85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1.13–3.15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0.014</w:t>
            </w:r>
          </w:p>
        </w:tc>
      </w:tr>
      <w:tr w:rsidR="000C4830" w:rsidRPr="000D65C4" w:rsidTr="00EA41E0"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0.92–1.11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0.865</w:t>
            </w:r>
          </w:p>
        </w:tc>
      </w:tr>
      <w:tr w:rsidR="000C4830" w:rsidRPr="000D65C4" w:rsidTr="00EA41E0"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bilirubin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0.35–1.67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0.579</w:t>
            </w:r>
          </w:p>
        </w:tc>
      </w:tr>
      <w:tr w:rsidR="000C4830" w:rsidRPr="000D65C4" w:rsidTr="00EA41E0"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lnBNP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0.68–1.38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0.805</w:t>
            </w:r>
          </w:p>
        </w:tc>
      </w:tr>
      <w:tr w:rsidR="000C4830" w:rsidRPr="000D65C4" w:rsidTr="00EA41E0"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1.01–1.07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0.003</w:t>
            </w:r>
          </w:p>
        </w:tc>
      </w:tr>
      <w:tr w:rsidR="000C4830" w:rsidRPr="000D65C4" w:rsidTr="00EA41E0"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Hypertension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0.11–1.22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0.086</w:t>
            </w:r>
          </w:p>
        </w:tc>
      </w:tr>
      <w:tr w:rsidR="000C4830" w:rsidRPr="000D65C4" w:rsidTr="00EA41E0"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TAPSE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0.23–7.06</w:t>
            </w:r>
          </w:p>
        </w:tc>
        <w:tc>
          <w:tcPr>
            <w:tcW w:w="2160" w:type="dxa"/>
          </w:tcPr>
          <w:p w:rsidR="000C4830" w:rsidRPr="000D65C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0.729</w:t>
            </w:r>
          </w:p>
        </w:tc>
      </w:tr>
    </w:tbl>
    <w:p w:rsidR="000D65C4" w:rsidRDefault="00000000" w:rsidP="000D65C4">
      <w:pPr>
        <w:rPr>
          <w:rFonts w:ascii="Times New Roman" w:hAnsi="Times New Roman" w:cs="Times New Roman"/>
          <w:sz w:val="21"/>
          <w:szCs w:val="21"/>
        </w:rPr>
      </w:pPr>
      <w:r w:rsidRPr="000D65C4">
        <w:rPr>
          <w:rFonts w:ascii="Times New Roman" w:hAnsi="Times New Roman" w:cs="Times New Roman"/>
          <w:b/>
          <w:bCs/>
          <w:sz w:val="21"/>
          <w:szCs w:val="21"/>
        </w:rPr>
        <w:t>Abbreviations:</w:t>
      </w:r>
      <w:r w:rsidRPr="000D65C4">
        <w:rPr>
          <w:rFonts w:ascii="Times New Roman" w:hAnsi="Times New Roman" w:cs="Times New Roman"/>
          <w:sz w:val="21"/>
          <w:szCs w:val="21"/>
        </w:rPr>
        <w:t xml:space="preserve"> EASIX, endothelial activation and stress index; lnBNP, logarithmic B-type natriuretic peptide; ALT, alanine aminotransferase; TAPSE, tricuspid annular plane systolic excursion.</w:t>
      </w:r>
    </w:p>
    <w:p w:rsidR="000D65C4" w:rsidRDefault="000D65C4" w:rsidP="000D65C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B3E1B" w:rsidRPr="000D65C4" w:rsidRDefault="00DB3E1B" w:rsidP="000D65C4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0D65C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Table S</w:t>
      </w:r>
      <w:r w:rsidR="00E74296" w:rsidRPr="000D65C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0D65C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Sensitivity Analysis for Overall Mortality (Excluding Patients with CKD)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Female sex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2.07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0.87–4.92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Atrial fibrillation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0.39–2.03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0.792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BEV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0.52–2.92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0.643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EASIX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0.96–1.85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LVEF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0.95–1.02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0.397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Albumin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0.46–2.17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0.991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bilirubin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0.61–1.69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0.949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lnBNP</w:t>
            </w:r>
            <w:proofErr w:type="spellEnd"/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0.88–1.49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0.325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TAPSE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0.13–1.83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0.287</w:t>
            </w:r>
          </w:p>
        </w:tc>
      </w:tr>
      <w:tr w:rsidR="00DB3E1B" w:rsidRPr="000D65C4" w:rsidTr="00EC66B1"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0.94–1.06</w:t>
            </w:r>
          </w:p>
        </w:tc>
        <w:tc>
          <w:tcPr>
            <w:tcW w:w="2160" w:type="dxa"/>
          </w:tcPr>
          <w:p w:rsidR="00DB3E1B" w:rsidRPr="000D65C4" w:rsidRDefault="00DB3E1B" w:rsidP="00EC6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</w:tr>
    </w:tbl>
    <w:p w:rsidR="00DB3E1B" w:rsidRPr="000D65C4" w:rsidRDefault="00DB3E1B" w:rsidP="00DB3E1B">
      <w:pPr>
        <w:rPr>
          <w:rFonts w:ascii="Times New Roman" w:hAnsi="Times New Roman" w:cs="Times New Roman"/>
          <w:sz w:val="21"/>
          <w:szCs w:val="21"/>
        </w:rPr>
      </w:pPr>
      <w:proofErr w:type="gramStart"/>
      <w:r w:rsidRPr="000D65C4">
        <w:rPr>
          <w:rFonts w:ascii="Times New Roman" w:hAnsi="Times New Roman" w:cs="Times New Roman"/>
          <w:b/>
          <w:bCs/>
          <w:sz w:val="21"/>
          <w:szCs w:val="21"/>
        </w:rPr>
        <w:t>Abbreviations:</w:t>
      </w:r>
      <w:r w:rsidRPr="000D65C4">
        <w:rPr>
          <w:rFonts w:ascii="Times New Roman" w:hAnsi="Times New Roman" w:cs="Times New Roman"/>
          <w:sz w:val="21"/>
          <w:szCs w:val="21"/>
        </w:rPr>
        <w:t>,</w:t>
      </w:r>
      <w:proofErr w:type="gramEnd"/>
      <w:r w:rsidRPr="000D65C4">
        <w:rPr>
          <w:rFonts w:ascii="Times New Roman" w:hAnsi="Times New Roman" w:cs="Times New Roman"/>
          <w:sz w:val="21"/>
          <w:szCs w:val="21"/>
        </w:rPr>
        <w:t xml:space="preserve"> endothelial activation and stress index; LVEF, left ventricular ejection fraction; </w:t>
      </w:r>
      <w:proofErr w:type="spellStart"/>
      <w:r w:rsidRPr="000D65C4">
        <w:rPr>
          <w:rFonts w:ascii="Times New Roman" w:hAnsi="Times New Roman" w:cs="Times New Roman"/>
          <w:sz w:val="21"/>
          <w:szCs w:val="21"/>
        </w:rPr>
        <w:t>lnBNP</w:t>
      </w:r>
      <w:proofErr w:type="spellEnd"/>
      <w:r w:rsidRPr="000D65C4">
        <w:rPr>
          <w:rFonts w:ascii="Times New Roman" w:hAnsi="Times New Roman" w:cs="Times New Roman"/>
          <w:sz w:val="21"/>
          <w:szCs w:val="21"/>
        </w:rPr>
        <w:t>, logarithmic B-type natriuretic peptide; TAPSE, tricuspid annular plane systolic excursion; BEV, balloon-expandable valve.</w:t>
      </w:r>
    </w:p>
    <w:p w:rsidR="00DB3E1B" w:rsidRPr="000D65C4" w:rsidRDefault="00DB3E1B">
      <w:pPr>
        <w:rPr>
          <w:rFonts w:ascii="Times New Roman" w:hAnsi="Times New Roman" w:cs="Times New Roman"/>
          <w:sz w:val="24"/>
          <w:szCs w:val="24"/>
        </w:rPr>
      </w:pPr>
    </w:p>
    <w:p w:rsidR="00A54539" w:rsidRPr="000D65C4" w:rsidRDefault="00A54539" w:rsidP="00A54539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0D65C4">
        <w:rPr>
          <w:rFonts w:ascii="Times New Roman" w:hAnsi="Times New Roman" w:cs="Times New Roman"/>
          <w:b/>
          <w:sz w:val="24"/>
          <w:szCs w:val="24"/>
        </w:rPr>
        <w:t xml:space="preserve">Supplementary Table S4. Incremental discriminative and reclassification value of EASIX beyond a clinical base model for in-hospital and </w:t>
      </w:r>
      <w:r w:rsidR="000F3190">
        <w:rPr>
          <w:rFonts w:ascii="Times New Roman" w:hAnsi="Times New Roman" w:cs="Times New Roman"/>
          <w:b/>
          <w:sz w:val="24"/>
          <w:szCs w:val="24"/>
        </w:rPr>
        <w:t>overall</w:t>
      </w:r>
      <w:r w:rsidRPr="000D65C4">
        <w:rPr>
          <w:rFonts w:ascii="Times New Roman" w:hAnsi="Times New Roman" w:cs="Times New Roman"/>
          <w:b/>
          <w:sz w:val="24"/>
          <w:szCs w:val="24"/>
        </w:rPr>
        <w:t xml:space="preserve"> mortality after TAVI.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2835"/>
        <w:gridCol w:w="3118"/>
      </w:tblGrid>
      <w:tr w:rsidR="00A54539" w:rsidRPr="000D65C4" w:rsidTr="00EC66B1">
        <w:tc>
          <w:tcPr>
            <w:tcW w:w="3685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Metric</w:t>
            </w:r>
          </w:p>
        </w:tc>
        <w:tc>
          <w:tcPr>
            <w:tcW w:w="2835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In-hospital mortality</w:t>
            </w:r>
          </w:p>
        </w:tc>
        <w:tc>
          <w:tcPr>
            <w:tcW w:w="3118" w:type="dxa"/>
          </w:tcPr>
          <w:p w:rsidR="00A54539" w:rsidRPr="000D65C4" w:rsidRDefault="000F3190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Overall</w:t>
            </w:r>
            <w:r w:rsidR="00A54539"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mortality</w:t>
            </w:r>
          </w:p>
        </w:tc>
      </w:tr>
      <w:tr w:rsidR="00A54539" w:rsidRPr="000D65C4" w:rsidTr="00EC66B1">
        <w:tc>
          <w:tcPr>
            <w:tcW w:w="9638" w:type="dxa"/>
            <w:gridSpan w:val="3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Discrimination (Harrell's C-index)</w:t>
            </w:r>
          </w:p>
        </w:tc>
      </w:tr>
      <w:tr w:rsidR="00A54539" w:rsidRPr="000D65C4" w:rsidTr="00EC66B1">
        <w:tc>
          <w:tcPr>
            <w:tcW w:w="3685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C-index, base model</w:t>
            </w:r>
          </w:p>
        </w:tc>
        <w:tc>
          <w:tcPr>
            <w:tcW w:w="2835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</w:p>
        </w:tc>
        <w:tc>
          <w:tcPr>
            <w:tcW w:w="3118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0.708</w:t>
            </w:r>
          </w:p>
        </w:tc>
      </w:tr>
      <w:tr w:rsidR="00A54539" w:rsidRPr="000D65C4" w:rsidTr="00EC66B1">
        <w:tc>
          <w:tcPr>
            <w:tcW w:w="3685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C-index, base model + EASIX</w:t>
            </w:r>
          </w:p>
        </w:tc>
        <w:tc>
          <w:tcPr>
            <w:tcW w:w="2835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0.704</w:t>
            </w:r>
          </w:p>
        </w:tc>
        <w:tc>
          <w:tcPr>
            <w:tcW w:w="3118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</w:tr>
      <w:tr w:rsidR="00A54539" w:rsidRPr="000D65C4" w:rsidTr="00EC66B1">
        <w:tc>
          <w:tcPr>
            <w:tcW w:w="3685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ΔC-index</w:t>
            </w:r>
          </w:p>
        </w:tc>
        <w:tc>
          <w:tcPr>
            <w:tcW w:w="2835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3118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  <w:tr w:rsidR="00A54539" w:rsidRPr="000D65C4" w:rsidTr="00EC66B1">
        <w:tc>
          <w:tcPr>
            <w:tcW w:w="3685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p-value (ΔC-index)</w:t>
            </w:r>
          </w:p>
        </w:tc>
        <w:tc>
          <w:tcPr>
            <w:tcW w:w="2835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3118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</w:tr>
      <w:tr w:rsidR="00A54539" w:rsidRPr="000D65C4" w:rsidTr="00EC66B1">
        <w:tc>
          <w:tcPr>
            <w:tcW w:w="9638" w:type="dxa"/>
            <w:gridSpan w:val="3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Reclassification metrics</w:t>
            </w:r>
          </w:p>
        </w:tc>
      </w:tr>
      <w:tr w:rsidR="00A54539" w:rsidRPr="000D65C4" w:rsidTr="00EC66B1">
        <w:tc>
          <w:tcPr>
            <w:tcW w:w="3685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cNRI</w:t>
            </w:r>
            <w:proofErr w:type="spellEnd"/>
            <w:r w:rsidRPr="000D65C4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</w:p>
        </w:tc>
        <w:tc>
          <w:tcPr>
            <w:tcW w:w="2835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0.357 (0.021–0.578)</w:t>
            </w:r>
          </w:p>
        </w:tc>
        <w:tc>
          <w:tcPr>
            <w:tcW w:w="3118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0.314 (0.037–0.499)</w:t>
            </w:r>
          </w:p>
        </w:tc>
      </w:tr>
      <w:tr w:rsidR="00A54539" w:rsidRPr="000D65C4" w:rsidTr="00EC66B1">
        <w:tc>
          <w:tcPr>
            <w:tcW w:w="3685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p-value (</w:t>
            </w:r>
            <w:proofErr w:type="spellStart"/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cNRI</w:t>
            </w:r>
            <w:proofErr w:type="spellEnd"/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3118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A54539" w:rsidRPr="000D65C4" w:rsidTr="00EC66B1">
        <w:tc>
          <w:tcPr>
            <w:tcW w:w="3685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IDI (95% CI)</w:t>
            </w:r>
          </w:p>
        </w:tc>
        <w:tc>
          <w:tcPr>
            <w:tcW w:w="2835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0.019 (0.001–0.054)</w:t>
            </w:r>
          </w:p>
        </w:tc>
        <w:tc>
          <w:tcPr>
            <w:tcW w:w="3118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0.022 (0.001–0.056)</w:t>
            </w:r>
          </w:p>
        </w:tc>
      </w:tr>
      <w:tr w:rsidR="00A54539" w:rsidRPr="000D65C4" w:rsidTr="00EC66B1">
        <w:tc>
          <w:tcPr>
            <w:tcW w:w="3685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p-value (IDI)</w:t>
            </w:r>
          </w:p>
        </w:tc>
        <w:tc>
          <w:tcPr>
            <w:tcW w:w="2835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3118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</w:tr>
    </w:tbl>
    <w:p w:rsidR="00A54539" w:rsidRPr="000F3190" w:rsidRDefault="00A54539" w:rsidP="00A54539">
      <w:pPr>
        <w:spacing w:before="160" w:after="40"/>
        <w:rPr>
          <w:rFonts w:ascii="Times New Roman" w:hAnsi="Times New Roman" w:cs="Times New Roman"/>
          <w:iCs/>
          <w:sz w:val="21"/>
          <w:szCs w:val="21"/>
        </w:rPr>
      </w:pPr>
      <w:r w:rsidRPr="000F3190">
        <w:rPr>
          <w:rFonts w:ascii="Times New Roman" w:hAnsi="Times New Roman" w:cs="Times New Roman"/>
          <w:iCs/>
          <w:sz w:val="21"/>
          <w:szCs w:val="21"/>
        </w:rPr>
        <w:t>Base model includes age, sex, left ventricular ejection fraction (LVEF), and natural logarithm of B-type natriuretic peptide (</w:t>
      </w:r>
      <w:proofErr w:type="spellStart"/>
      <w:r w:rsidRPr="000F3190">
        <w:rPr>
          <w:rFonts w:ascii="Times New Roman" w:hAnsi="Times New Roman" w:cs="Times New Roman"/>
          <w:iCs/>
          <w:sz w:val="21"/>
          <w:szCs w:val="21"/>
        </w:rPr>
        <w:t>lnBNP</w:t>
      </w:r>
      <w:proofErr w:type="spellEnd"/>
      <w:r w:rsidRPr="000F3190">
        <w:rPr>
          <w:rFonts w:ascii="Times New Roman" w:hAnsi="Times New Roman" w:cs="Times New Roman"/>
          <w:iCs/>
          <w:sz w:val="21"/>
          <w:szCs w:val="21"/>
        </w:rPr>
        <w:t>). The full model additionally includes the EASIX</w:t>
      </w:r>
    </w:p>
    <w:p w:rsidR="00A54539" w:rsidRPr="000F3190" w:rsidRDefault="00A54539" w:rsidP="00A54539">
      <w:pPr>
        <w:spacing w:after="40"/>
        <w:rPr>
          <w:rFonts w:ascii="Times New Roman" w:hAnsi="Times New Roman" w:cs="Times New Roman"/>
          <w:iCs/>
          <w:sz w:val="21"/>
          <w:szCs w:val="21"/>
        </w:rPr>
      </w:pPr>
      <w:r w:rsidRPr="000F3190">
        <w:rPr>
          <w:rFonts w:ascii="Times New Roman" w:hAnsi="Times New Roman" w:cs="Times New Roman"/>
          <w:b/>
          <w:bCs/>
          <w:iCs/>
          <w:sz w:val="21"/>
          <w:szCs w:val="21"/>
        </w:rPr>
        <w:t>Abbreviations:</w:t>
      </w:r>
      <w:r w:rsidRPr="000F3190">
        <w:rPr>
          <w:rFonts w:ascii="Times New Roman" w:hAnsi="Times New Roman" w:cs="Times New Roman"/>
          <w:iCs/>
          <w:sz w:val="21"/>
          <w:szCs w:val="21"/>
        </w:rPr>
        <w:t xml:space="preserve"> C-index = Harrell's concordance index; ΔC-index = absolute improvement in C-index after the addition of EASIX; </w:t>
      </w:r>
      <w:proofErr w:type="spellStart"/>
      <w:r w:rsidRPr="000F3190">
        <w:rPr>
          <w:rFonts w:ascii="Times New Roman" w:hAnsi="Times New Roman" w:cs="Times New Roman"/>
          <w:iCs/>
          <w:sz w:val="21"/>
          <w:szCs w:val="21"/>
        </w:rPr>
        <w:t>cNRI</w:t>
      </w:r>
      <w:proofErr w:type="spellEnd"/>
      <w:r w:rsidRPr="000F3190">
        <w:rPr>
          <w:rFonts w:ascii="Times New Roman" w:hAnsi="Times New Roman" w:cs="Times New Roman"/>
          <w:iCs/>
          <w:sz w:val="21"/>
          <w:szCs w:val="21"/>
        </w:rPr>
        <w:t xml:space="preserve"> = continuous Net Reclassification Improvement; IDI = Integrated Discrimination Improvement; CI = confidence interval.</w:t>
      </w:r>
    </w:p>
    <w:p w:rsidR="00A54539" w:rsidRPr="000F3190" w:rsidRDefault="00A54539" w:rsidP="00A54539">
      <w:pPr>
        <w:spacing w:after="40"/>
        <w:rPr>
          <w:rFonts w:ascii="Times New Roman" w:hAnsi="Times New Roman" w:cs="Times New Roman"/>
          <w:iCs/>
          <w:sz w:val="21"/>
          <w:szCs w:val="21"/>
        </w:rPr>
      </w:pPr>
      <w:r w:rsidRPr="000F3190">
        <w:rPr>
          <w:rFonts w:ascii="Times New Roman" w:hAnsi="Times New Roman" w:cs="Times New Roman"/>
          <w:iCs/>
          <w:sz w:val="21"/>
          <w:szCs w:val="21"/>
        </w:rPr>
        <w:t xml:space="preserve">Confidence intervals for </w:t>
      </w:r>
      <w:proofErr w:type="spellStart"/>
      <w:r w:rsidRPr="000F3190">
        <w:rPr>
          <w:rFonts w:ascii="Times New Roman" w:hAnsi="Times New Roman" w:cs="Times New Roman"/>
          <w:iCs/>
          <w:sz w:val="21"/>
          <w:szCs w:val="21"/>
        </w:rPr>
        <w:t>cNRI</w:t>
      </w:r>
      <w:proofErr w:type="spellEnd"/>
      <w:r w:rsidRPr="000F3190">
        <w:rPr>
          <w:rFonts w:ascii="Times New Roman" w:hAnsi="Times New Roman" w:cs="Times New Roman"/>
          <w:iCs/>
          <w:sz w:val="21"/>
          <w:szCs w:val="21"/>
        </w:rPr>
        <w:t xml:space="preserve"> and IDI were derived from 1000 bootstrap replications. P-values &lt; 0.05 indicate a statistically significant improvement after the addition of EASIX to the base model.</w:t>
      </w:r>
    </w:p>
    <w:p w:rsidR="00A54539" w:rsidRPr="000D65C4" w:rsidRDefault="00A54539">
      <w:pPr>
        <w:rPr>
          <w:rFonts w:ascii="Times New Roman" w:hAnsi="Times New Roman" w:cs="Times New Roman"/>
          <w:sz w:val="24"/>
          <w:szCs w:val="24"/>
        </w:rPr>
      </w:pPr>
    </w:p>
    <w:p w:rsidR="00A54539" w:rsidRPr="000D65C4" w:rsidRDefault="00A54539">
      <w:pPr>
        <w:rPr>
          <w:rFonts w:ascii="Times New Roman" w:hAnsi="Times New Roman" w:cs="Times New Roman"/>
          <w:sz w:val="24"/>
          <w:szCs w:val="24"/>
        </w:rPr>
      </w:pPr>
    </w:p>
    <w:p w:rsidR="00A54539" w:rsidRPr="000D65C4" w:rsidRDefault="00A54539" w:rsidP="00A54539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0D65C4">
        <w:rPr>
          <w:rFonts w:ascii="Times New Roman" w:hAnsi="Times New Roman" w:cs="Times New Roman"/>
          <w:b/>
          <w:sz w:val="24"/>
          <w:szCs w:val="24"/>
        </w:rPr>
        <w:t xml:space="preserve">Supplementary Table S5. Sequential model-building analysis quantifying the incremental contribution of </w:t>
      </w:r>
      <w:proofErr w:type="spellStart"/>
      <w:r w:rsidRPr="000D65C4">
        <w:rPr>
          <w:rFonts w:ascii="Times New Roman" w:hAnsi="Times New Roman" w:cs="Times New Roman"/>
          <w:b/>
          <w:sz w:val="24"/>
          <w:szCs w:val="24"/>
        </w:rPr>
        <w:t>lnBNP</w:t>
      </w:r>
      <w:proofErr w:type="spellEnd"/>
      <w:r w:rsidRPr="000D65C4">
        <w:rPr>
          <w:rFonts w:ascii="Times New Roman" w:hAnsi="Times New Roman" w:cs="Times New Roman"/>
          <w:b/>
          <w:sz w:val="24"/>
          <w:szCs w:val="24"/>
        </w:rPr>
        <w:t xml:space="preserve"> and EASIX to discrimination and reclassification for in-hospital and </w:t>
      </w:r>
      <w:r w:rsidR="00CC457E">
        <w:rPr>
          <w:rFonts w:ascii="Times New Roman" w:hAnsi="Times New Roman" w:cs="Times New Roman"/>
          <w:b/>
          <w:sz w:val="24"/>
          <w:szCs w:val="24"/>
        </w:rPr>
        <w:t>overall</w:t>
      </w:r>
      <w:r w:rsidRPr="000D65C4">
        <w:rPr>
          <w:rFonts w:ascii="Times New Roman" w:hAnsi="Times New Roman" w:cs="Times New Roman"/>
          <w:b/>
          <w:sz w:val="24"/>
          <w:szCs w:val="24"/>
        </w:rPr>
        <w:t xml:space="preserve"> mortality after </w:t>
      </w:r>
      <w:r w:rsidR="00CC457E">
        <w:rPr>
          <w:rFonts w:ascii="Times New Roman" w:hAnsi="Times New Roman" w:cs="Times New Roman"/>
          <w:b/>
          <w:sz w:val="24"/>
          <w:szCs w:val="24"/>
        </w:rPr>
        <w:t>TAVI.</w:t>
      </w:r>
    </w:p>
    <w:p w:rsidR="00A54539" w:rsidRPr="000D65C4" w:rsidRDefault="00A54539" w:rsidP="00A54539">
      <w:pPr>
        <w:spacing w:before="40" w:after="80"/>
        <w:rPr>
          <w:rFonts w:ascii="Times New Roman" w:hAnsi="Times New Roman" w:cs="Times New Roman"/>
          <w:sz w:val="24"/>
          <w:szCs w:val="24"/>
        </w:rPr>
      </w:pPr>
      <w:r w:rsidRPr="000D65C4">
        <w:rPr>
          <w:rFonts w:ascii="Times New Roman" w:hAnsi="Times New Roman" w:cs="Times New Roman"/>
          <w:b/>
          <w:sz w:val="24"/>
          <w:szCs w:val="24"/>
        </w:rPr>
        <w:t>Panel A. Discrimination (Harrell's C-index) across sequential models</w:t>
      </w:r>
    </w:p>
    <w:tbl>
      <w:tblPr>
        <w:tblStyle w:val="TabloKlavuzu"/>
        <w:tblW w:w="8897" w:type="dxa"/>
        <w:tblLayout w:type="fixed"/>
        <w:tblLook w:val="04A0" w:firstRow="1" w:lastRow="0" w:firstColumn="1" w:lastColumn="0" w:noHBand="0" w:noVBand="1"/>
      </w:tblPr>
      <w:tblGrid>
        <w:gridCol w:w="680"/>
        <w:gridCol w:w="2547"/>
        <w:gridCol w:w="911"/>
        <w:gridCol w:w="932"/>
        <w:gridCol w:w="850"/>
        <w:gridCol w:w="851"/>
        <w:gridCol w:w="992"/>
        <w:gridCol w:w="1134"/>
      </w:tblGrid>
      <w:tr w:rsidR="00A54539" w:rsidRPr="000D65C4" w:rsidTr="000F3190">
        <w:tc>
          <w:tcPr>
            <w:tcW w:w="3227" w:type="dxa"/>
            <w:gridSpan w:val="2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In-hospital mortality</w:t>
            </w:r>
          </w:p>
        </w:tc>
        <w:tc>
          <w:tcPr>
            <w:tcW w:w="2977" w:type="dxa"/>
            <w:gridSpan w:val="3"/>
          </w:tcPr>
          <w:p w:rsidR="00A54539" w:rsidRPr="000D65C4" w:rsidRDefault="000F3190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Oveall</w:t>
            </w:r>
            <w:proofErr w:type="spellEnd"/>
            <w:r w:rsidR="00A54539"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mortality</w:t>
            </w:r>
          </w:p>
        </w:tc>
      </w:tr>
      <w:tr w:rsidR="000F3190" w:rsidRPr="000D65C4" w:rsidTr="000F3190">
        <w:tc>
          <w:tcPr>
            <w:tcW w:w="680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2547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Variables</w:t>
            </w:r>
          </w:p>
        </w:tc>
        <w:tc>
          <w:tcPr>
            <w:tcW w:w="911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C-index</w:t>
            </w:r>
          </w:p>
        </w:tc>
        <w:tc>
          <w:tcPr>
            <w:tcW w:w="932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ΔC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851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C-index</w:t>
            </w:r>
          </w:p>
        </w:tc>
        <w:tc>
          <w:tcPr>
            <w:tcW w:w="992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ΔC</w:t>
            </w:r>
          </w:p>
        </w:tc>
        <w:tc>
          <w:tcPr>
            <w:tcW w:w="113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0F3190" w:rsidRPr="000D65C4" w:rsidTr="000F3190">
        <w:tc>
          <w:tcPr>
            <w:tcW w:w="680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M1</w:t>
            </w:r>
          </w:p>
        </w:tc>
        <w:tc>
          <w:tcPr>
            <w:tcW w:w="2547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Age + sex + LVEF</w:t>
            </w:r>
          </w:p>
        </w:tc>
        <w:tc>
          <w:tcPr>
            <w:tcW w:w="911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0.592</w:t>
            </w:r>
          </w:p>
        </w:tc>
        <w:tc>
          <w:tcPr>
            <w:tcW w:w="932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51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0.640</w:t>
            </w:r>
          </w:p>
        </w:tc>
        <w:tc>
          <w:tcPr>
            <w:tcW w:w="992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3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0F3190" w:rsidRPr="000D65C4" w:rsidTr="000F3190">
        <w:tc>
          <w:tcPr>
            <w:tcW w:w="680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M2</w:t>
            </w:r>
          </w:p>
        </w:tc>
        <w:tc>
          <w:tcPr>
            <w:tcW w:w="2547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 xml:space="preserve">M1 + </w:t>
            </w:r>
            <w:proofErr w:type="spellStart"/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lnBNP</w:t>
            </w:r>
            <w:proofErr w:type="spellEnd"/>
          </w:p>
        </w:tc>
        <w:tc>
          <w:tcPr>
            <w:tcW w:w="911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0.676</w:t>
            </w:r>
          </w:p>
        </w:tc>
        <w:tc>
          <w:tcPr>
            <w:tcW w:w="932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+0.084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851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0.708</w:t>
            </w:r>
          </w:p>
        </w:tc>
        <w:tc>
          <w:tcPr>
            <w:tcW w:w="992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+0.068</w:t>
            </w:r>
          </w:p>
        </w:tc>
        <w:tc>
          <w:tcPr>
            <w:tcW w:w="113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</w:tc>
      </w:tr>
      <w:tr w:rsidR="000F3190" w:rsidRPr="000D65C4" w:rsidTr="000F3190">
        <w:tc>
          <w:tcPr>
            <w:tcW w:w="680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M3</w:t>
            </w:r>
          </w:p>
        </w:tc>
        <w:tc>
          <w:tcPr>
            <w:tcW w:w="2547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M2 + EASIX (full model)</w:t>
            </w:r>
          </w:p>
        </w:tc>
        <w:tc>
          <w:tcPr>
            <w:tcW w:w="911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0.704</w:t>
            </w:r>
          </w:p>
        </w:tc>
        <w:tc>
          <w:tcPr>
            <w:tcW w:w="932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+0.028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851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  <w:tc>
          <w:tcPr>
            <w:tcW w:w="992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+0.017</w:t>
            </w:r>
          </w:p>
        </w:tc>
        <w:tc>
          <w:tcPr>
            <w:tcW w:w="113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</w:tr>
    </w:tbl>
    <w:p w:rsidR="00A54539" w:rsidRPr="000D65C4" w:rsidRDefault="00A54539" w:rsidP="00A54539">
      <w:pPr>
        <w:spacing w:after="40"/>
        <w:rPr>
          <w:rFonts w:ascii="Times New Roman" w:hAnsi="Times New Roman" w:cs="Times New Roman"/>
          <w:sz w:val="24"/>
          <w:szCs w:val="24"/>
        </w:rPr>
      </w:pPr>
    </w:p>
    <w:p w:rsidR="00A54539" w:rsidRPr="000D65C4" w:rsidRDefault="00A54539" w:rsidP="00A54539">
      <w:pPr>
        <w:spacing w:before="120" w:after="80"/>
        <w:rPr>
          <w:rFonts w:ascii="Times New Roman" w:hAnsi="Times New Roman" w:cs="Times New Roman"/>
          <w:sz w:val="24"/>
          <w:szCs w:val="24"/>
        </w:rPr>
      </w:pPr>
      <w:r w:rsidRPr="000D65C4">
        <w:rPr>
          <w:rFonts w:ascii="Times New Roman" w:hAnsi="Times New Roman" w:cs="Times New Roman"/>
          <w:b/>
          <w:sz w:val="24"/>
          <w:szCs w:val="24"/>
        </w:rPr>
        <w:t>Panel B. Reclassification metrics for the incremental contribution of EASIX (M3 vs M2)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494"/>
        <w:gridCol w:w="850"/>
        <w:gridCol w:w="2494"/>
        <w:gridCol w:w="850"/>
      </w:tblGrid>
      <w:tr w:rsidR="00A54539" w:rsidRPr="000D65C4" w:rsidTr="00EC66B1">
        <w:tc>
          <w:tcPr>
            <w:tcW w:w="2268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gridSpan w:val="2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In-hospital mortality</w:t>
            </w:r>
          </w:p>
        </w:tc>
        <w:tc>
          <w:tcPr>
            <w:tcW w:w="3344" w:type="dxa"/>
            <w:gridSpan w:val="2"/>
          </w:tcPr>
          <w:p w:rsidR="00A54539" w:rsidRPr="000D65C4" w:rsidRDefault="000F3190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Overall</w:t>
            </w:r>
          </w:p>
        </w:tc>
      </w:tr>
      <w:tr w:rsidR="00A54539" w:rsidRPr="000D65C4" w:rsidTr="00EC66B1">
        <w:tc>
          <w:tcPr>
            <w:tcW w:w="2268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Metric</w:t>
            </w:r>
          </w:p>
        </w:tc>
        <w:tc>
          <w:tcPr>
            <w:tcW w:w="249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Estimate (95% CI)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249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Estimate (95% CI)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</w:tr>
      <w:tr w:rsidR="00A54539" w:rsidRPr="000D65C4" w:rsidTr="00EC66B1">
        <w:tc>
          <w:tcPr>
            <w:tcW w:w="2268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cNRI</w:t>
            </w:r>
            <w:proofErr w:type="spellEnd"/>
            <w:r w:rsidRPr="000D65C4">
              <w:rPr>
                <w:rFonts w:ascii="Times New Roman" w:hAnsi="Times New Roman" w:cs="Times New Roman"/>
                <w:sz w:val="24"/>
                <w:szCs w:val="24"/>
              </w:rPr>
              <w:t xml:space="preserve"> (95% CI)</w:t>
            </w:r>
          </w:p>
        </w:tc>
        <w:tc>
          <w:tcPr>
            <w:tcW w:w="249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0.357 (0.026–0.563)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249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0.314 (0.036–0.511)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</w:tr>
      <w:tr w:rsidR="00A54539" w:rsidRPr="000D65C4" w:rsidTr="00EC66B1">
        <w:tc>
          <w:tcPr>
            <w:tcW w:w="2268" w:type="dxa"/>
          </w:tcPr>
          <w:p w:rsidR="00A54539" w:rsidRPr="000D65C4" w:rsidRDefault="00A54539" w:rsidP="00EC66B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IDI (95% CI)</w:t>
            </w:r>
          </w:p>
        </w:tc>
        <w:tc>
          <w:tcPr>
            <w:tcW w:w="249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0.019 (0.001–0.048)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2494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0.022 (0.002–0.052)</w:t>
            </w:r>
          </w:p>
        </w:tc>
        <w:tc>
          <w:tcPr>
            <w:tcW w:w="850" w:type="dxa"/>
          </w:tcPr>
          <w:p w:rsidR="00A54539" w:rsidRPr="000D65C4" w:rsidRDefault="00A54539" w:rsidP="00EC66B1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5C4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</w:tr>
    </w:tbl>
    <w:p w:rsidR="00A54539" w:rsidRPr="000F3190" w:rsidRDefault="00A54539" w:rsidP="00A54539">
      <w:pPr>
        <w:spacing w:before="160" w:after="40"/>
        <w:rPr>
          <w:rFonts w:ascii="Times New Roman" w:hAnsi="Times New Roman" w:cs="Times New Roman"/>
          <w:iCs/>
          <w:sz w:val="21"/>
          <w:szCs w:val="21"/>
        </w:rPr>
      </w:pPr>
      <w:r w:rsidRPr="000F3190">
        <w:rPr>
          <w:rFonts w:ascii="Times New Roman" w:hAnsi="Times New Roman" w:cs="Times New Roman"/>
          <w:iCs/>
          <w:sz w:val="21"/>
          <w:szCs w:val="21"/>
        </w:rPr>
        <w:t xml:space="preserve">Sequential models. M1 = age + sex + LVEF; M2 = M1 + </w:t>
      </w:r>
      <w:proofErr w:type="spellStart"/>
      <w:r w:rsidRPr="000F3190">
        <w:rPr>
          <w:rFonts w:ascii="Times New Roman" w:hAnsi="Times New Roman" w:cs="Times New Roman"/>
          <w:iCs/>
          <w:sz w:val="21"/>
          <w:szCs w:val="21"/>
        </w:rPr>
        <w:t>lnBNP</w:t>
      </w:r>
      <w:proofErr w:type="spellEnd"/>
      <w:r w:rsidRPr="000F3190">
        <w:rPr>
          <w:rFonts w:ascii="Times New Roman" w:hAnsi="Times New Roman" w:cs="Times New Roman"/>
          <w:iCs/>
          <w:sz w:val="21"/>
          <w:szCs w:val="21"/>
        </w:rPr>
        <w:t>; M3 = M2 + EASIX. In Panel A, ΔC values for M2 represent the change versus M1, and ΔC values for M3 represent the change versus M2. Panel B reports reclassification metrics for the incremental contribution of EASIX (M3 vs M2).</w:t>
      </w:r>
    </w:p>
    <w:p w:rsidR="00A54539" w:rsidRPr="000F3190" w:rsidRDefault="00A54539" w:rsidP="00A54539">
      <w:pPr>
        <w:spacing w:after="40"/>
        <w:rPr>
          <w:rFonts w:ascii="Times New Roman" w:hAnsi="Times New Roman" w:cs="Times New Roman"/>
          <w:iCs/>
          <w:sz w:val="21"/>
          <w:szCs w:val="21"/>
        </w:rPr>
      </w:pPr>
      <w:r w:rsidRPr="000F3190">
        <w:rPr>
          <w:rFonts w:ascii="Times New Roman" w:hAnsi="Times New Roman" w:cs="Times New Roman"/>
          <w:b/>
          <w:bCs/>
          <w:iCs/>
          <w:sz w:val="21"/>
          <w:szCs w:val="21"/>
        </w:rPr>
        <w:t>Abbreviations:</w:t>
      </w:r>
      <w:r w:rsidRPr="000F3190">
        <w:rPr>
          <w:rFonts w:ascii="Times New Roman" w:hAnsi="Times New Roman" w:cs="Times New Roman"/>
          <w:iCs/>
          <w:sz w:val="21"/>
          <w:szCs w:val="21"/>
        </w:rPr>
        <w:t xml:space="preserve"> EASIX, Endothelial Activation and Stress Index</w:t>
      </w:r>
      <w:r w:rsidR="000F3190" w:rsidRPr="000F3190">
        <w:rPr>
          <w:rFonts w:ascii="Times New Roman" w:hAnsi="Times New Roman" w:cs="Times New Roman"/>
          <w:iCs/>
          <w:sz w:val="21"/>
          <w:szCs w:val="21"/>
        </w:rPr>
        <w:t>;</w:t>
      </w:r>
      <w:r w:rsidRPr="000F3190">
        <w:rPr>
          <w:rFonts w:ascii="Times New Roman" w:hAnsi="Times New Roman" w:cs="Times New Roman"/>
          <w:iCs/>
          <w:sz w:val="21"/>
          <w:szCs w:val="21"/>
        </w:rPr>
        <w:t xml:space="preserve"> LVEF, left ventricular ejection fraction; </w:t>
      </w:r>
      <w:proofErr w:type="spellStart"/>
      <w:r w:rsidRPr="000F3190">
        <w:rPr>
          <w:rFonts w:ascii="Times New Roman" w:hAnsi="Times New Roman" w:cs="Times New Roman"/>
          <w:iCs/>
          <w:sz w:val="21"/>
          <w:szCs w:val="21"/>
        </w:rPr>
        <w:t>lnBNP</w:t>
      </w:r>
      <w:proofErr w:type="spellEnd"/>
      <w:r w:rsidRPr="000F3190">
        <w:rPr>
          <w:rFonts w:ascii="Times New Roman" w:hAnsi="Times New Roman" w:cs="Times New Roman"/>
          <w:iCs/>
          <w:sz w:val="21"/>
          <w:szCs w:val="21"/>
        </w:rPr>
        <w:t xml:space="preserve">, natural logarithm of B-type natriuretic peptide; C-index, Harrell's concordance index; ΔC, absolute change in C-index; </w:t>
      </w:r>
      <w:proofErr w:type="spellStart"/>
      <w:r w:rsidRPr="000F3190">
        <w:rPr>
          <w:rFonts w:ascii="Times New Roman" w:hAnsi="Times New Roman" w:cs="Times New Roman"/>
          <w:iCs/>
          <w:sz w:val="21"/>
          <w:szCs w:val="21"/>
        </w:rPr>
        <w:t>cNRI</w:t>
      </w:r>
      <w:proofErr w:type="spellEnd"/>
      <w:r w:rsidRPr="000F3190">
        <w:rPr>
          <w:rFonts w:ascii="Times New Roman" w:hAnsi="Times New Roman" w:cs="Times New Roman"/>
          <w:iCs/>
          <w:sz w:val="21"/>
          <w:szCs w:val="21"/>
        </w:rPr>
        <w:t>, continuous Net Reclassification Improvement; IDI, Integrated Discrimination Improvement; CI, confidence interval.</w:t>
      </w:r>
    </w:p>
    <w:p w:rsidR="00A54539" w:rsidRPr="000F3190" w:rsidRDefault="00A54539" w:rsidP="00A54539">
      <w:pPr>
        <w:spacing w:after="40"/>
        <w:rPr>
          <w:rFonts w:ascii="Times New Roman" w:hAnsi="Times New Roman" w:cs="Times New Roman"/>
          <w:iCs/>
          <w:sz w:val="21"/>
          <w:szCs w:val="21"/>
        </w:rPr>
      </w:pPr>
      <w:r w:rsidRPr="000F3190">
        <w:rPr>
          <w:rFonts w:ascii="Times New Roman" w:hAnsi="Times New Roman" w:cs="Times New Roman"/>
          <w:iCs/>
          <w:sz w:val="21"/>
          <w:szCs w:val="21"/>
        </w:rPr>
        <w:t xml:space="preserve">Confidence intervals for </w:t>
      </w:r>
      <w:proofErr w:type="spellStart"/>
      <w:r w:rsidRPr="000F3190">
        <w:rPr>
          <w:rFonts w:ascii="Times New Roman" w:hAnsi="Times New Roman" w:cs="Times New Roman"/>
          <w:iCs/>
          <w:sz w:val="21"/>
          <w:szCs w:val="21"/>
        </w:rPr>
        <w:t>cNRI</w:t>
      </w:r>
      <w:proofErr w:type="spellEnd"/>
      <w:r w:rsidRPr="000F3190">
        <w:rPr>
          <w:rFonts w:ascii="Times New Roman" w:hAnsi="Times New Roman" w:cs="Times New Roman"/>
          <w:iCs/>
          <w:sz w:val="21"/>
          <w:szCs w:val="21"/>
        </w:rPr>
        <w:t xml:space="preserve"> and IDI were derived from 1000 bootstrap replications. P-values &lt; 0.05 indicate a statistically significant improvement after the addition of the respective covariate.</w:t>
      </w:r>
    </w:p>
    <w:p w:rsidR="00A54539" w:rsidRPr="000D65C4" w:rsidRDefault="00A54539">
      <w:pPr>
        <w:rPr>
          <w:rFonts w:ascii="Times New Roman" w:hAnsi="Times New Roman" w:cs="Times New Roman"/>
          <w:sz w:val="24"/>
          <w:szCs w:val="24"/>
        </w:rPr>
      </w:pPr>
    </w:p>
    <w:sectPr w:rsidR="00A54539" w:rsidRPr="000D65C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6594074">
    <w:abstractNumId w:val="8"/>
  </w:num>
  <w:num w:numId="2" w16cid:durableId="876939769">
    <w:abstractNumId w:val="6"/>
  </w:num>
  <w:num w:numId="3" w16cid:durableId="962423293">
    <w:abstractNumId w:val="5"/>
  </w:num>
  <w:num w:numId="4" w16cid:durableId="1625697998">
    <w:abstractNumId w:val="4"/>
  </w:num>
  <w:num w:numId="5" w16cid:durableId="1067260321">
    <w:abstractNumId w:val="7"/>
  </w:num>
  <w:num w:numId="6" w16cid:durableId="1670522247">
    <w:abstractNumId w:val="3"/>
  </w:num>
  <w:num w:numId="7" w16cid:durableId="611088043">
    <w:abstractNumId w:val="2"/>
  </w:num>
  <w:num w:numId="8" w16cid:durableId="1965695061">
    <w:abstractNumId w:val="1"/>
  </w:num>
  <w:num w:numId="9" w16cid:durableId="867108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830"/>
    <w:rsid w:val="000D65C4"/>
    <w:rsid w:val="000F3190"/>
    <w:rsid w:val="0015074B"/>
    <w:rsid w:val="0029639D"/>
    <w:rsid w:val="00326F90"/>
    <w:rsid w:val="006B50DE"/>
    <w:rsid w:val="009F51C1"/>
    <w:rsid w:val="00A54539"/>
    <w:rsid w:val="00AA1D8D"/>
    <w:rsid w:val="00B47730"/>
    <w:rsid w:val="00CB0664"/>
    <w:rsid w:val="00CC457E"/>
    <w:rsid w:val="00DB3E1B"/>
    <w:rsid w:val="00E74296"/>
    <w:rsid w:val="00EA41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39C514"/>
  <w14:defaultImageDpi w14:val="300"/>
  <w15:docId w15:val="{D3A0939F-1C99-9F40-9E3D-0B5BDA411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kadir biyikli</cp:lastModifiedBy>
  <cp:revision>7</cp:revision>
  <dcterms:created xsi:type="dcterms:W3CDTF">2013-12-23T23:15:00Z</dcterms:created>
  <dcterms:modified xsi:type="dcterms:W3CDTF">2026-05-02T03:06:00Z</dcterms:modified>
  <cp:category/>
</cp:coreProperties>
</file>