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DAE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olor w:val="auto"/>
          <w:sz w:val="28"/>
          <w:szCs w:val="28"/>
        </w:rPr>
        <w:t>Supplemental Materials</w:t>
      </w:r>
    </w:p>
    <w:p w14:paraId="5F93D3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14:paraId="77381443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" w:line="360" w:lineRule="auto"/>
        <w:jc w:val="left"/>
        <w:textAlignment w:val="auto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>Supplemental Table 1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Baseline clinical characteristics of participants stratified by incident hypertension status during follow-up.</w:t>
      </w:r>
    </w:p>
    <w:p w14:paraId="6CB7FF3F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" w:line="360" w:lineRule="auto"/>
        <w:jc w:val="left"/>
        <w:textAlignment w:val="auto"/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2.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Baseline characteristics of excluded participants (lost to follow-up) and retained participants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 w14:paraId="6A695DBF">
      <w:pPr>
        <w:keepNext/>
        <w:spacing w:before="0" w:after="6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Supplemental 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3.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1"/>
          <w:szCs w:val="21"/>
          <w:shd w:val="clear" w:fill="FCFCFC"/>
          <w:vertAlign w:val="baseline"/>
        </w:rPr>
        <w:t xml:space="preserve">IPCW-weighted Cox model for 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1"/>
          <w:szCs w:val="21"/>
          <w:shd w:val="clear" w:fill="FCFCFC"/>
          <w:vertAlign w:val="baseline"/>
          <w:lang w:val="en-US" w:eastAsia="zh-CN"/>
        </w:rPr>
        <w:t>RC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1"/>
          <w:szCs w:val="21"/>
          <w:shd w:val="clear" w:fill="FCFCFC"/>
          <w:vertAlign w:val="baseline"/>
        </w:rPr>
        <w:t xml:space="preserve"> and hypertension risk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1"/>
          <w:szCs w:val="21"/>
          <w:shd w:val="clear" w:fill="FCFCFC"/>
          <w:vertAlign w:val="baseline"/>
          <w:lang w:val="en-US" w:eastAsia="zh-CN"/>
        </w:rPr>
        <w:t>.</w:t>
      </w:r>
    </w:p>
    <w:p w14:paraId="485604EB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" w:line="360" w:lineRule="auto"/>
        <w:jc w:val="left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Supplemental 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4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cs="Times New Roman"/>
          <w:sz w:val="21"/>
          <w:szCs w:val="21"/>
        </w:rPr>
        <w:t xml:space="preserve"> Cox models analyzed the relationship between standardized differences in RC and LDL-C percentiles and the risk of hypertension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(20 percentile-unit threshold).</w:t>
      </w:r>
    </w:p>
    <w:p w14:paraId="13D196FF">
      <w:pPr>
        <w:keepNext/>
        <w:spacing w:before="0" w:after="6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 w:val="21"/>
          <w:szCs w:val="21"/>
        </w:rPr>
        <w:t xml:space="preserve"> Enhancement of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Hypertension </w:t>
      </w:r>
      <w:r>
        <w:rPr>
          <w:rFonts w:hint="default" w:ascii="Times New Roman" w:hAnsi="Times New Roman" w:cs="Times New Roman"/>
          <w:sz w:val="21"/>
          <w:szCs w:val="21"/>
        </w:rPr>
        <w:t xml:space="preserve">Discrimination and Risk Reclassification Through the Incorporation of </w:t>
      </w:r>
      <w:r>
        <w:rPr>
          <w:rFonts w:hint="eastAsia" w:ascii="Times New Roman" w:hAnsi="Times New Roman" w:eastAsia="等线" w:cs="Times New Roman"/>
          <w:b w:val="0"/>
          <w:bCs w:val="0"/>
          <w:color w:val="000000"/>
          <w:kern w:val="0"/>
          <w:sz w:val="21"/>
          <w:szCs w:val="21"/>
          <w:lang w:val="en-US" w:eastAsia="zh-CN"/>
        </w:rPr>
        <w:t>RC-LDL-C discordance (15% percentile difference-based).</w:t>
      </w:r>
    </w:p>
    <w:p w14:paraId="14F67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i/>
          <w:i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Supplement 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Flow chart of participants selection.</w:t>
      </w:r>
    </w:p>
    <w:p w14:paraId="72A2AF3C">
      <w:pPr>
        <w:keepNext/>
        <w:spacing w:before="0" w:after="6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Supplement 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Subgroup analysis for the association between 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1"/>
          <w:szCs w:val="21"/>
          <w:shd w:val="clear" w:fill="FCFCFC"/>
          <w:vertAlign w:val="baseline"/>
          <w:lang w:val="en-US" w:eastAsia="zh-CN"/>
        </w:rPr>
        <w:t>RC</w:t>
      </w:r>
      <w:r>
        <w:rPr>
          <w:rFonts w:hint="default" w:ascii="Times New Roman" w:hAnsi="Times New Roman" w:cs="Times New Roman"/>
          <w:sz w:val="21"/>
          <w:szCs w:val="21"/>
        </w:rPr>
        <w:t xml:space="preserve"> and incident hypertension.</w:t>
      </w:r>
    </w:p>
    <w:p w14:paraId="521AF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</w:sectPr>
      </w:pPr>
    </w:p>
    <w:p w14:paraId="59FE03D7">
      <w:pPr>
        <w:keepNext/>
        <w:spacing w:before="0" w:after="60"/>
        <w:jc w:val="left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Baseline clinical characteristics of participants stratified by incident hypertension status during follow-up.</w:t>
      </w:r>
    </w:p>
    <w:tbl>
      <w:tblPr>
        <w:tblStyle w:val="4"/>
        <w:tblW w:w="4999" w:type="pct"/>
        <w:jc w:val="center"/>
        <w:tblLayout w:type="autofit"/>
        <w:tblCellMar>
          <w:top w:w="0" w:type="dxa"/>
          <w:left w:w="60" w:type="dxa"/>
          <w:bottom w:w="0" w:type="dxa"/>
          <w:right w:w="60" w:type="dxa"/>
        </w:tblCellMar>
      </w:tblPr>
      <w:tblGrid>
        <w:gridCol w:w="1929"/>
        <w:gridCol w:w="1924"/>
        <w:gridCol w:w="1924"/>
        <w:gridCol w:w="1924"/>
        <w:gridCol w:w="723"/>
      </w:tblGrid>
      <w:tr w14:paraId="32578BBB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blHeader/>
          <w:jc w:val="center"/>
        </w:trPr>
        <w:tc>
          <w:tcPr>
            <w:tcW w:w="1144" w:type="pct"/>
            <w:tcBorders>
              <w:top w:val="single" w:color="000000" w:themeColor="text1" w:sz="12" w:space="0"/>
              <w:left w:val="single" w:color="D3D3D3" w:sz="2" w:space="0"/>
              <w:bottom w:val="single" w:color="000000" w:themeColor="text1" w:sz="12" w:space="0"/>
              <w:right w:val="nil"/>
            </w:tcBorders>
            <w:vAlign w:val="top"/>
          </w:tcPr>
          <w:p w14:paraId="73E70F19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>Characteristic</w:t>
            </w:r>
          </w:p>
        </w:tc>
        <w:tc>
          <w:tcPr>
            <w:tcW w:w="1141" w:type="pct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74DFDAF9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 xml:space="preserve">Overall </w:t>
            </w:r>
          </w:p>
          <w:p w14:paraId="27AB33D2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  <w:t>4508</w:t>
            </w:r>
          </w:p>
        </w:tc>
        <w:tc>
          <w:tcPr>
            <w:tcW w:w="1141" w:type="pct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153DBE40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 xml:space="preserve">Without Hypertension </w:t>
            </w:r>
          </w:p>
          <w:p w14:paraId="635EFD96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  <w:t>2710</w:t>
            </w:r>
          </w:p>
        </w:tc>
        <w:tc>
          <w:tcPr>
            <w:tcW w:w="1141" w:type="pct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7B1ACF20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  <w:t xml:space="preserve">Hypertension </w:t>
            </w:r>
          </w:p>
          <w:p w14:paraId="01D3F822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  <w:t>1798</w:t>
            </w:r>
          </w:p>
        </w:tc>
        <w:tc>
          <w:tcPr>
            <w:tcW w:w="429" w:type="pct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single" w:color="D3D3D3" w:sz="2" w:space="0"/>
            </w:tcBorders>
          </w:tcPr>
          <w:p w14:paraId="5ACCB343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i/>
                <w:iCs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>-value</w:t>
            </w:r>
          </w:p>
        </w:tc>
      </w:tr>
      <w:tr w14:paraId="480B088B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000000" w:themeColor="text1" w:sz="12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8833DF4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Age group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n (%)</w:t>
            </w:r>
          </w:p>
        </w:tc>
        <w:tc>
          <w:tcPr>
            <w:tcW w:w="1141" w:type="pct"/>
            <w:tcBorders>
              <w:top w:val="single" w:color="000000" w:themeColor="text1" w:sz="12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58958F3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tcBorders>
              <w:top w:val="single" w:color="000000" w:themeColor="text1" w:sz="12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BDF3B9C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tcBorders>
              <w:top w:val="single" w:color="000000" w:themeColor="text1" w:sz="12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5FA453E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color="000000" w:themeColor="text1" w:sz="12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7C8747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6ECFED4E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4F4DB30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342DE8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2988 (66.28)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7508AA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1927 (71.11)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5734A7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1061 (59.01)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236285E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E2348BA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19C3072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F73B81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1520 (33.72)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2B5201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783 (28.89)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FF0957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737 (40.99)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6288A3E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CAD0D11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0B2FCBB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ender, 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A4E5B8E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E000576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F273C87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5FA2F2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</w:tr>
      <w:tr w14:paraId="3D454C1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7CB4A68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142ED3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2424 (53.77)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381DC4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1504 (55.50)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20B1A6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 (51.17)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1C3BB7B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9A3C925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D952CD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02011F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2084 (46.23)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834B08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1206 (44.50)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FFFF3E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878 (48.83)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6D3208B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5D7EC1B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CEB4D00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Education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n (%)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FD3AB00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7CA325E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7F4375B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C5E0E8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01F639E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653024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Primary school or lower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39B7DD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1465 (32.50)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962E5B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936 (34.54)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985B20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529 (29.42)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0E29845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ED9CC7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608F5A2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Middle school or higher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1A2606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3043 (67.50)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4BF0F0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1774 (65.46)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9B3B95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1269 (70.58)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EB56A48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8368EF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92BC02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BMI, kg/m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E39CD55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50D89CA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877B698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AD3EA7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0E7B39BE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D088348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33CC16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3450 (76.53)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C213F9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2154 (79.48)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F568BF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1296 (72.08)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17ED139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CCC130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505E108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84235D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1058 (23.47)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6A051E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 (20.52)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3F38D8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 (27.92)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DA52741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3E205CD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5D10902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Rural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residence, 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C0D23C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3062 (67.92)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1F89B4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1827 (67.42)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5DFB0B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1235 (68.69)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C8E578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0.371</w:t>
            </w:r>
          </w:p>
        </w:tc>
      </w:tr>
      <w:tr w14:paraId="0AC08AB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F514CC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iabetes, 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(%)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7753B6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 (3.66)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842D2C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 (2.95)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1A0288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 (4.73)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E6B8A9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02A9D393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42E8571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Heart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diseases, 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A32E35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 (7.45)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46D723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 (6.79)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766E03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 (8.45)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A6AF16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</w:tr>
      <w:tr w14:paraId="40CCE95C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7D6BD81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Kidney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diseases, 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6E084E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 (5.17)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558148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 (5.28)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7172D8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 (5.01)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2C8A76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0.687</w:t>
            </w:r>
          </w:p>
        </w:tc>
      </w:tr>
      <w:tr w14:paraId="6A3BAED7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5C5B778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Alcohol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status, 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052858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1553 (34.45)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4E190B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 (33.58)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591AF5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643 (35.76)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C78ED3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0.131</w:t>
            </w:r>
          </w:p>
        </w:tc>
      </w:tr>
      <w:tr w14:paraId="0E86EAD9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F537E56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Smoking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status, 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9C09FA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1389 (30.81)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03FF9E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822 (30.33)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70EB13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567 (31.54)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D35522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0.392</w:t>
            </w:r>
          </w:p>
        </w:tc>
      </w:tr>
      <w:tr w14:paraId="47836588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74100DE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SBP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, mmHg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F4FE4C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117.00 (109.00, 126.50)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4CEEC1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113.50 (106.50, 122.50)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95C4B98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123.00 (114.50, 130.50)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13500C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531ADC23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5FB8777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DBP, mmHg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D4342D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70.00 (64.00, 76.50)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118ADA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68.50 (63.00, 74.50)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484B02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72.50 (66.50, 79.00)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FC8D97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35732745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DAF79A6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BUN, mg/dL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04449D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15.13 (12.52, 18.18)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7D4C50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15.10 (12.63, 18.01)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1186DB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15.20 (12.42, 18.42)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F8F8EF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0.698</w:t>
            </w:r>
          </w:p>
        </w:tc>
      </w:tr>
      <w:tr w14:paraId="6A11D9CC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1145982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FBG, mg/dL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2C099C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100.98 (93.60, 110.34)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B2FD2D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99.72 (92.70, 108.72)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0FD16B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102.69 (95.04, 113.58)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DC06AB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7F971A9F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B9508DA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Creatinine, mg/dL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6BD1B5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 (0.64, 0.87)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5EF5DE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 (0.63, 0.86)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361A9B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 (0.64, 0.88)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FC968D0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</w:tr>
      <w:tr w14:paraId="72EC3E97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D3C4AA0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TC, mg/dL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AF71B0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188.27 (165.85, 213.02)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683643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186.34 (165.46, 210.70)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93418F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190.59 (165.95, 216.11)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DB02BF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29B3A60F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78E2341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TG, mg/dL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81948B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99.12 (72.57, 144.26)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8CA64B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96.46 (70.80, 134.52)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D6ED21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104.43 (76.33, 155.54)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28B231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0964969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98B519F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HDL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C, mg/dL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DA2995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50.64 (40.98, 60.70)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DA797D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51.42 (42.14, 61.08)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5B4B1F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49.48 (39.82, 59.54)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1D29E4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5B9E9143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E95E0A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LDL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C, mg/dL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6A085F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113.27 (92.40, 135.70)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95CA0E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112.50 (91.62, 134.15)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E4E3B2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114.63 (93.17, 138.40)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84CD4C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</w:tr>
      <w:tr w14:paraId="1C8E4FBF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922435B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CRP, mg/dL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8F2E44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(0.50, 1.81)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FD1435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 (0.47, 1.67)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7F12C9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 (0.54, 2.09)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FB46C1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06307D3C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F57E958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HbA1c, %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B04295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5.10 (4.90, 5.40)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81C97E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5.10 (4.90, 5.40)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05F3D9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5.20 (4.90, 5.50)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6793AB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6FBDE659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67276EB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UA, mg/dL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77DB41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4.15 (3.47, 4.97)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5DC5FF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4.07 (3.44, 4.87)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103636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4.28 (3.53, 5.17)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51184C3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415C7FAD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0" w:space="0"/>
              <w:left w:val="single" w:color="D3D3D3" w:sz="0" w:space="0"/>
              <w:bottom w:val="single" w:color="D3D3D3" w:sz="2" w:space="0"/>
              <w:right w:val="single" w:color="D3D3D3" w:sz="0" w:space="0"/>
            </w:tcBorders>
            <w:vAlign w:val="top"/>
          </w:tcPr>
          <w:p w14:paraId="2C0842A2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Non-HDL-C, mg/dL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2" w:space="0"/>
              <w:right w:val="single" w:color="D3D3D3" w:sz="0" w:space="0"/>
            </w:tcBorders>
            <w:vAlign w:val="bottom"/>
          </w:tcPr>
          <w:p w14:paraId="47A6349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136.08 (113.27, 160.54)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2" w:space="0"/>
              <w:right w:val="single" w:color="D3D3D3" w:sz="0" w:space="0"/>
            </w:tcBorders>
            <w:vAlign w:val="bottom"/>
          </w:tcPr>
          <w:p w14:paraId="3F9E652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133.76 (111.73, 158.02)</w:t>
            </w:r>
          </w:p>
        </w:tc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2" w:space="0"/>
              <w:right w:val="single" w:color="D3D3D3" w:sz="0" w:space="0"/>
            </w:tcBorders>
            <w:vAlign w:val="bottom"/>
          </w:tcPr>
          <w:p w14:paraId="69BA8CD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139.18 (115.98, 164.69)</w:t>
            </w:r>
          </w:p>
        </w:tc>
        <w:tc>
          <w:tcPr>
            <w:tcW w:w="429" w:type="pct"/>
            <w:tcBorders>
              <w:top w:val="single" w:color="D3D3D3" w:sz="0" w:space="0"/>
              <w:left w:val="single" w:color="D3D3D3" w:sz="0" w:space="0"/>
              <w:bottom w:val="single" w:color="D3D3D3" w:sz="2" w:space="0"/>
              <w:right w:val="single" w:color="D3D3D3" w:sz="0" w:space="0"/>
            </w:tcBorders>
            <w:vAlign w:val="bottom"/>
          </w:tcPr>
          <w:p w14:paraId="0200809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004287C2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4" w:type="pct"/>
            <w:tcBorders>
              <w:top w:val="single" w:color="D3D3D3" w:sz="2" w:space="0"/>
              <w:left w:val="single" w:color="D3D3D3" w:sz="2" w:space="0"/>
              <w:bottom w:val="single" w:color="000000" w:themeColor="text1" w:sz="12" w:space="0"/>
              <w:right w:val="single" w:color="D3D3D3" w:sz="2" w:space="0"/>
            </w:tcBorders>
            <w:vAlign w:val="top"/>
          </w:tcPr>
          <w:p w14:paraId="79D61EAF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RC, mg/dL</w:t>
            </w:r>
          </w:p>
        </w:tc>
        <w:tc>
          <w:tcPr>
            <w:tcW w:w="1141" w:type="pct"/>
            <w:tcBorders>
              <w:top w:val="single" w:color="D3D3D3" w:sz="2" w:space="0"/>
              <w:left w:val="single" w:color="D3D3D3" w:sz="2" w:space="0"/>
              <w:bottom w:val="single" w:color="000000" w:themeColor="text1" w:sz="12" w:space="0"/>
              <w:right w:val="single" w:color="D3D3D3" w:sz="2" w:space="0"/>
            </w:tcBorders>
            <w:vAlign w:val="bottom"/>
          </w:tcPr>
          <w:p w14:paraId="5D96961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18.36 (10.82, 29.77)</w:t>
            </w:r>
          </w:p>
        </w:tc>
        <w:tc>
          <w:tcPr>
            <w:tcW w:w="1141" w:type="pct"/>
            <w:tcBorders>
              <w:top w:val="single" w:color="D3D3D3" w:sz="2" w:space="0"/>
              <w:left w:val="single" w:color="D3D3D3" w:sz="2" w:space="0"/>
              <w:bottom w:val="single" w:color="000000" w:themeColor="text1" w:sz="12" w:space="0"/>
              <w:right w:val="single" w:color="D3D3D3" w:sz="2" w:space="0"/>
            </w:tcBorders>
            <w:vAlign w:val="bottom"/>
          </w:tcPr>
          <w:p w14:paraId="135F4A4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17.40 (10.44, 27.84)</w:t>
            </w:r>
          </w:p>
        </w:tc>
        <w:tc>
          <w:tcPr>
            <w:tcW w:w="1141" w:type="pct"/>
            <w:tcBorders>
              <w:top w:val="single" w:color="D3D3D3" w:sz="2" w:space="0"/>
              <w:left w:val="single" w:color="D3D3D3" w:sz="2" w:space="0"/>
              <w:bottom w:val="single" w:color="000000" w:themeColor="text1" w:sz="12" w:space="0"/>
              <w:right w:val="single" w:color="D3D3D3" w:sz="2" w:space="0"/>
            </w:tcBorders>
            <w:vAlign w:val="bottom"/>
          </w:tcPr>
          <w:p w14:paraId="18887818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20.10 (11.60, 32.86)</w:t>
            </w:r>
          </w:p>
        </w:tc>
        <w:tc>
          <w:tcPr>
            <w:tcW w:w="429" w:type="pct"/>
            <w:tcBorders>
              <w:top w:val="single" w:color="D3D3D3" w:sz="2" w:space="0"/>
              <w:left w:val="single" w:color="D3D3D3" w:sz="2" w:space="0"/>
              <w:bottom w:val="single" w:color="000000" w:themeColor="text1" w:sz="12" w:space="0"/>
              <w:right w:val="single" w:color="D3D3D3" w:sz="2" w:space="0"/>
            </w:tcBorders>
            <w:vAlign w:val="bottom"/>
          </w:tcPr>
          <w:p w14:paraId="39257E1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</w:tbl>
    <w:p w14:paraId="68238D3A">
      <w:pPr>
        <w:pStyle w:val="2"/>
        <w:spacing w:beforeLines="0" w:afterLines="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Data are means ± SD, median (interquartile range), or n (%).Abbreviations: BMI: body mass index, BUN: blood urea nitrogen, SBP: systolic blood pressure, DBP: diastolic blood pressure, FBG: fasting blood glucose, HDL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-C</w:t>
      </w:r>
      <w:r>
        <w:rPr>
          <w:rFonts w:hint="default" w:ascii="Times New Roman" w:hAnsi="Times New Roman" w:cs="Times New Roman"/>
          <w:sz w:val="20"/>
          <w:szCs w:val="20"/>
        </w:rPr>
        <w:t>: 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high-density lipoprotein cholesterol</w:t>
      </w:r>
      <w:r>
        <w:rPr>
          <w:rFonts w:hint="default" w:ascii="Times New Roman" w:hAnsi="Times New Roman" w:cs="Times New Roman"/>
          <w:sz w:val="20"/>
          <w:szCs w:val="20"/>
        </w:rPr>
        <w:t>, LDL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-C</w:t>
      </w:r>
      <w:r>
        <w:rPr>
          <w:rFonts w:hint="default" w:ascii="Times New Roman" w:hAnsi="Times New Roman" w:cs="Times New Roman"/>
          <w:sz w:val="20"/>
          <w:szCs w:val="20"/>
        </w:rPr>
        <w:t>: low density lipoprotein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cholesterol</w:t>
      </w:r>
      <w:r>
        <w:rPr>
          <w:rFonts w:hint="default" w:ascii="Times New Roman" w:hAnsi="Times New Roman" w:cs="Times New Roman"/>
          <w:sz w:val="20"/>
          <w:szCs w:val="20"/>
        </w:rPr>
        <w:t>, TC: total cholesterol, TG triglycerides, CRP: C-reactive protein, HbA1c: glycosylated hemoglobin A1c, UA: uric acid.</w:t>
      </w:r>
    </w:p>
    <w:p w14:paraId="49EBF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</w:sectPr>
      </w:pPr>
    </w:p>
    <w:p w14:paraId="2E1B0FA5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" w:line="360" w:lineRule="auto"/>
        <w:jc w:val="left"/>
        <w:textAlignment w:val="auto"/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Supplemental 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2.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Baseline characteristics of excluded participants (lost to follow-up) and retained participants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tbl>
      <w:tblPr>
        <w:tblStyle w:val="4"/>
        <w:tblW w:w="5052" w:type="pct"/>
        <w:jc w:val="center"/>
        <w:tblLayout w:type="autofit"/>
        <w:tblCellMar>
          <w:top w:w="0" w:type="dxa"/>
          <w:left w:w="60" w:type="dxa"/>
          <w:bottom w:w="0" w:type="dxa"/>
          <w:right w:w="60" w:type="dxa"/>
        </w:tblCellMar>
      </w:tblPr>
      <w:tblGrid>
        <w:gridCol w:w="1944"/>
        <w:gridCol w:w="1923"/>
        <w:gridCol w:w="1903"/>
        <w:gridCol w:w="2022"/>
        <w:gridCol w:w="722"/>
      </w:tblGrid>
      <w:tr w14:paraId="7E8368A2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blHeader/>
          <w:jc w:val="center"/>
        </w:trPr>
        <w:tc>
          <w:tcPr>
            <w:tcW w:w="1141" w:type="pct"/>
            <w:tcBorders>
              <w:top w:val="single" w:color="000000" w:themeColor="text1" w:sz="12" w:space="0"/>
              <w:left w:val="single" w:color="D3D3D3" w:sz="2" w:space="0"/>
              <w:bottom w:val="single" w:color="000000" w:themeColor="text1" w:sz="12" w:space="0"/>
              <w:right w:val="nil"/>
            </w:tcBorders>
            <w:vAlign w:val="top"/>
          </w:tcPr>
          <w:p w14:paraId="59E7DBB1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>Characteristic</w:t>
            </w:r>
          </w:p>
        </w:tc>
        <w:tc>
          <w:tcPr>
            <w:tcW w:w="1129" w:type="pct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5BAD2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color w:val="000000"/>
                <w:kern w:val="0"/>
                <w:sz w:val="18"/>
                <w:szCs w:val="18"/>
              </w:rPr>
              <w:t>Overall</w:t>
            </w:r>
          </w:p>
          <w:p w14:paraId="13127080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color w:val="000000"/>
                <w:kern w:val="0"/>
                <w:sz w:val="18"/>
                <w:szCs w:val="18"/>
              </w:rPr>
              <w:t xml:space="preserve">(n = </w:t>
            </w:r>
            <w:r>
              <w:rPr>
                <w:rFonts w:hint="default" w:ascii="Times New Roman" w:hAnsi="Times New Roman" w:eastAsia="等线" w:cs="Times New Roman"/>
                <w:b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8002</w:t>
            </w:r>
            <w:r>
              <w:rPr>
                <w:rFonts w:hint="default" w:ascii="Times New Roman" w:hAnsi="Times New Roman" w:eastAsia="等线" w:cs="Times New Roman"/>
                <w:b/>
                <w:bCs w:val="0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17" w:type="pct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57159C4A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  <w:t>Excluded Participants</w:t>
            </w:r>
          </w:p>
          <w:p w14:paraId="0EA6EE30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  <w:t>(n = 3494)</w:t>
            </w:r>
          </w:p>
        </w:tc>
        <w:tc>
          <w:tcPr>
            <w:tcW w:w="1187" w:type="pct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240C8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Style w:val="7"/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spacing w:val="0"/>
                <w:sz w:val="18"/>
                <w:szCs w:val="18"/>
                <w:shd w:val="clear" w:fill="FCFCFC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spacing w:val="0"/>
                <w:sz w:val="18"/>
                <w:szCs w:val="18"/>
                <w:shd w:val="clear" w:fill="FCFCFC"/>
                <w:vertAlign w:val="baseline"/>
              </w:rPr>
              <w:t>Retained Participants</w:t>
            </w:r>
          </w:p>
          <w:p w14:paraId="16583389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color w:val="000000"/>
                <w:kern w:val="0"/>
                <w:sz w:val="18"/>
                <w:szCs w:val="18"/>
              </w:rPr>
              <w:t xml:space="preserve">(n = </w:t>
            </w:r>
            <w:r>
              <w:rPr>
                <w:rFonts w:hint="default" w:ascii="Times New Roman" w:hAnsi="Times New Roman" w:eastAsia="Arial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b/>
                <w:bCs w:val="0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single" w:color="D3D3D3" w:sz="2" w:space="0"/>
            </w:tcBorders>
          </w:tcPr>
          <w:p w14:paraId="5B2D2FE8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/>
                <w:iCs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>-value</w:t>
            </w:r>
          </w:p>
        </w:tc>
      </w:tr>
      <w:tr w14:paraId="028153B5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000000" w:themeColor="text1" w:sz="12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7DF2D9E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Age group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n (%)</w:t>
            </w:r>
          </w:p>
        </w:tc>
        <w:tc>
          <w:tcPr>
            <w:tcW w:w="1129" w:type="pct"/>
            <w:tcBorders>
              <w:top w:val="single" w:color="000000" w:themeColor="text1" w:sz="12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3498D1D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pct"/>
            <w:tcBorders>
              <w:top w:val="single" w:color="000000" w:themeColor="text1" w:sz="12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CA1FAA5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single" w:color="000000" w:themeColor="text1" w:sz="12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40E4C9C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color="000000" w:themeColor="text1" w:sz="12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shd w:val="clear" w:color="auto" w:fill="auto"/>
            <w:vAlign w:val="center"/>
          </w:tcPr>
          <w:p w14:paraId="0158F6E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99DF533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7768DF6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A8350A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2,863 (36%)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4812F7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1,343 (38%)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170739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1,520 (34%)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0F5C14E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331ABAB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CA0EFFA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367B5D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5,139 (64%)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762919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2,151 (62%)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5E59BC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2,988 (66%)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D5206E0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263226F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1FFB4F1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ender, 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AA96F03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2B88DE0B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02683F88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ED8EB8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E90C7C9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A8BB5D9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8669D4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4,049 (51%)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9B6C86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1,625 (47%)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3051EB7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2,424 (54%)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F98E09F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F3A2FEE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BAC2A82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07873F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3,953 (49%)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0AFCC7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1,869 (53%)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349008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2,084 (46%)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67AB9758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776D6CD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A4F2305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Education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n (%)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E0E8743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4AD3EE1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0DB4FC2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490D24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CAD95AC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27D7F6B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Primary school or lower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CDC669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2,826 (35%)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B728B1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1,361 (39%)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7AA9D1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1,465 (32%)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9810E66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444CFE1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33274E7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Middle school or higher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0AA80B8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5,174 (65%)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4DB6A3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2,131 (61%)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0BAB1D8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3,043 (68%)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671E421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5AF64FE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72A7FA3">
            <w:pPr>
              <w:keepNext/>
              <w:keepLines w:val="0"/>
              <w:suppressLineNumbers w:val="0"/>
              <w:spacing w:before="0" w:beforeLines="0" w:beforeAutospacing="0" w:after="6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BMI, kg/m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19D70F22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0825BE4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B65E2BB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42E62D7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&lt;.001</w:t>
            </w:r>
          </w:p>
        </w:tc>
      </w:tr>
      <w:tr w14:paraId="20EF3EC5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CF8FE93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21D5295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5,045 (75%)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23D174E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1,749 (79%)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7686A8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3,296 (73%)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37F7B72D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8097D67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32301DB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0825ADE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1,688 (25%)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F7DB14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 (21%)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7D0CD7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1,212 (27%)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bottom"/>
          </w:tcPr>
          <w:p w14:paraId="7E5FBF7C">
            <w:pPr>
              <w:keepNext w:val="0"/>
              <w:keepLines w:val="0"/>
              <w:suppressLineNumbers w:val="0"/>
              <w:spacing w:before="0" w:beforeAutospacing="0" w:after="20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45F87F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CE0E5B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Rural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residence, 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A880A8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4,836 (60%)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3E499A2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1,774 (51%)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762B07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3,062 (68%)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66BD71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C98581C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8E7FEC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iabetes, n (%)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A57895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 (3.6%)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C74D21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 (3.5%)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8EC870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 (3.7%)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AED13A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0.742</w:t>
            </w:r>
          </w:p>
        </w:tc>
      </w:tr>
      <w:tr w14:paraId="0DB74EBC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A061241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Heart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diseases, 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3CD6AE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659 (8.3%)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90ABC68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 (9.3%)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6FF73E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 (7.4%)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1101D00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3957DE3D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CAD7A1E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Kidney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diseases, 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02266AB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 (5.3%)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1BEF20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 (5.4%)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90BB75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 (5.2%)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F90F70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0.639</w:t>
            </w:r>
          </w:p>
        </w:tc>
      </w:tr>
      <w:tr w14:paraId="2BA520D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A8F6A43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Alcohol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status, 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0BBB162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2,787 (35%)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24168DE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1,236 (35%)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08689C0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1,551 (34%)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7874EF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0.315</w:t>
            </w:r>
          </w:p>
        </w:tc>
      </w:tr>
      <w:tr w14:paraId="724DDA51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47BA0B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Smoking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status, 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63A93C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2,405 (31%)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30248AC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1,023 (32%)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081596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1,382 (31%)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2A5F6BD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0.394</w:t>
            </w:r>
          </w:p>
        </w:tc>
      </w:tr>
      <w:tr w14:paraId="4CEC7E5F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432B60A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SBP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, mmHg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9CEDD3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117.50 (109.00, 126.50)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05B78C5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118.50 (109.50, 127.50)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7F6CBF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117.00 (109.00, 126.50)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42D1C0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7C21BF7B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322CD62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DBP, mmHg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0468371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70.50 (64.00, 76.50)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9D2015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70.50 (64.00, 77.00)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D7D959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70.00 (64.00, 76.50)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5EDCCD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</w:tr>
      <w:tr w14:paraId="553203B6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211697C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BUN, mg/dL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3E3D1E1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15.15 (12.52, 18.18)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5C608F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15.18 (12.55, 18.23)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0CEFFC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15.13 (12.52, 18.18)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F770CA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0.443</w:t>
            </w:r>
          </w:p>
        </w:tc>
      </w:tr>
      <w:tr w14:paraId="02F35CE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FFFF29A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FBG, mg/dL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2ADA26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101.16 (93.60, 110.70)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B365AA0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101.52 (93.24, 112.32)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60AB7D0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100.98 (93.60, 110.34)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65F3CC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0.148</w:t>
            </w:r>
          </w:p>
        </w:tc>
      </w:tr>
      <w:tr w14:paraId="36CF2FDB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D607C4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Creatinine, mg/dL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1B11BE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 (0.64, 0.87)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0A3B9A0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 (0.66, 0.89)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EDF7E3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 (0.64, 0.87)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3EC17B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AF43D13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3D040D2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TC, mg/dL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0252CE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187.50 (165.08, 213.02)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67B834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185.57 (163.15, 211.86)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BD8533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188.27 (165.85, 213.02)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FEDC6C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</w:tr>
      <w:tr w14:paraId="02A77C71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35C585F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TG, mg/dL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9FD1DD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 (72.57, 144.26)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357C20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100.89 (73.46, 146.02)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A77D8A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99.12 (72.57, 144.26)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2ADC198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0.523</w:t>
            </w:r>
          </w:p>
        </w:tc>
      </w:tr>
      <w:tr w14:paraId="0757008F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D8F18B0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HDL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C, mg/dL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0AA66F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50.26 (40.98, 60.70)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CC8148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49.48 (40.59, 60.70)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2AB651F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50.64 (40.98, 60.70)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77AD1A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0.267</w:t>
            </w:r>
          </w:p>
        </w:tc>
      </w:tr>
      <w:tr w14:paraId="4766F96A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5501D86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LDL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C, mg/dL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4C84E24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112.89 (91.62, 135.12)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07D36EE0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110.95 (90.85, 133.76)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351D2C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113.27 (92.40, 135.70)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3674E5D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</w:tr>
      <w:tr w14:paraId="6C5A0941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05C4D10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CRP, mg/dL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1C917EB8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 (0.51, 1.94)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BF8630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 (0.53, 2.31)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6D8363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(0.50, 1.81)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7BB5A7A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F75F304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E8C7B1A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HbA1c, %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2C903E4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5.10 (4.90, 5.40)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31DF1C7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5.10 (4.90, 5.40)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5D6A2B7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5.10 (4.90, 5.40)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38D8409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0.614</w:t>
            </w:r>
          </w:p>
        </w:tc>
      </w:tr>
      <w:tr w14:paraId="76B8DBF1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D3911AD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UA, mg/dL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203DC2F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4.21 (3.51, 5.04)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0A7239E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4.36 (3.63, 5.19)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323F30D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4.15 (3.47, 4.97)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center"/>
          </w:tcPr>
          <w:p w14:paraId="60BDCCF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FFC47EF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0" w:space="0"/>
              <w:left w:val="single" w:color="D3D3D3" w:sz="0" w:space="0"/>
              <w:bottom w:val="single" w:color="D3D3D3" w:sz="2" w:space="0"/>
              <w:right w:val="single" w:color="D3D3D3" w:sz="0" w:space="0"/>
            </w:tcBorders>
            <w:vAlign w:val="top"/>
          </w:tcPr>
          <w:p w14:paraId="1AEF48FF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Non-HDL-C, mg/dL</w:t>
            </w:r>
          </w:p>
        </w:tc>
        <w:tc>
          <w:tcPr>
            <w:tcW w:w="1129" w:type="pct"/>
            <w:tcBorders>
              <w:top w:val="single" w:color="D3D3D3" w:sz="0" w:space="0"/>
              <w:left w:val="single" w:color="D3D3D3" w:sz="0" w:space="0"/>
              <w:bottom w:val="single" w:color="D3D3D3" w:sz="2" w:space="0"/>
              <w:right w:val="single" w:color="D3D3D3" w:sz="0" w:space="0"/>
            </w:tcBorders>
            <w:vAlign w:val="center"/>
          </w:tcPr>
          <w:p w14:paraId="552814A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134.92 (112.50, 160.44)</w:t>
            </w:r>
          </w:p>
        </w:tc>
        <w:tc>
          <w:tcPr>
            <w:tcW w:w="1117" w:type="pct"/>
            <w:tcBorders>
              <w:top w:val="single" w:color="D3D3D3" w:sz="0" w:space="0"/>
              <w:left w:val="single" w:color="D3D3D3" w:sz="0" w:space="0"/>
              <w:bottom w:val="single" w:color="D3D3D3" w:sz="2" w:space="0"/>
              <w:right w:val="single" w:color="D3D3D3" w:sz="0" w:space="0"/>
            </w:tcBorders>
            <w:vAlign w:val="center"/>
          </w:tcPr>
          <w:p w14:paraId="5192A53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133.76 (109.79, 159.67)</w:t>
            </w:r>
          </w:p>
        </w:tc>
        <w:tc>
          <w:tcPr>
            <w:tcW w:w="1187" w:type="pct"/>
            <w:tcBorders>
              <w:top w:val="single" w:color="D3D3D3" w:sz="0" w:space="0"/>
              <w:left w:val="single" w:color="D3D3D3" w:sz="0" w:space="0"/>
              <w:bottom w:val="single" w:color="D3D3D3" w:sz="2" w:space="0"/>
              <w:right w:val="single" w:color="D3D3D3" w:sz="0" w:space="0"/>
            </w:tcBorders>
            <w:vAlign w:val="center"/>
          </w:tcPr>
          <w:p w14:paraId="6DF8F57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136.08 (113.27, 160.63)</w:t>
            </w:r>
          </w:p>
        </w:tc>
        <w:tc>
          <w:tcPr>
            <w:tcW w:w="424" w:type="pct"/>
            <w:tcBorders>
              <w:top w:val="single" w:color="D3D3D3" w:sz="0" w:space="0"/>
              <w:left w:val="single" w:color="D3D3D3" w:sz="0" w:space="0"/>
              <w:bottom w:val="single" w:color="D3D3D3" w:sz="2" w:space="0"/>
              <w:right w:val="single" w:color="D3D3D3" w:sz="0" w:space="0"/>
            </w:tcBorders>
            <w:vAlign w:val="center"/>
          </w:tcPr>
          <w:p w14:paraId="63682E8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</w:t>
            </w:r>
          </w:p>
        </w:tc>
      </w:tr>
      <w:tr w14:paraId="4AA2D00D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jc w:val="center"/>
        </w:trPr>
        <w:tc>
          <w:tcPr>
            <w:tcW w:w="1141" w:type="pct"/>
            <w:tcBorders>
              <w:top w:val="single" w:color="D3D3D3" w:sz="2" w:space="0"/>
              <w:left w:val="single" w:color="D3D3D3" w:sz="2" w:space="0"/>
              <w:bottom w:val="single" w:color="000000" w:themeColor="text1" w:sz="12" w:space="0"/>
              <w:right w:val="single" w:color="D3D3D3" w:sz="2" w:space="0"/>
            </w:tcBorders>
            <w:vAlign w:val="top"/>
          </w:tcPr>
          <w:p w14:paraId="28F22685">
            <w:pPr>
              <w:keepNext/>
              <w:keepLines w:val="0"/>
              <w:suppressLineNumbers w:val="0"/>
              <w:spacing w:before="0" w:beforeAutospacing="0" w:after="6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RC, mg/dL</w:t>
            </w:r>
          </w:p>
        </w:tc>
        <w:tc>
          <w:tcPr>
            <w:tcW w:w="1129" w:type="pct"/>
            <w:tcBorders>
              <w:top w:val="single" w:color="D3D3D3" w:sz="2" w:space="0"/>
              <w:left w:val="single" w:color="D3D3D3" w:sz="2" w:space="0"/>
              <w:bottom w:val="single" w:color="000000" w:themeColor="text1" w:sz="12" w:space="0"/>
              <w:right w:val="single" w:color="D3D3D3" w:sz="2" w:space="0"/>
            </w:tcBorders>
            <w:vAlign w:val="center"/>
          </w:tcPr>
          <w:p w14:paraId="24E25D1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18.56 (10.82, 29.77)</w:t>
            </w:r>
          </w:p>
        </w:tc>
        <w:tc>
          <w:tcPr>
            <w:tcW w:w="1117" w:type="pct"/>
            <w:tcBorders>
              <w:top w:val="single" w:color="D3D3D3" w:sz="2" w:space="0"/>
              <w:left w:val="single" w:color="D3D3D3" w:sz="2" w:space="0"/>
              <w:bottom w:val="single" w:color="000000" w:themeColor="text1" w:sz="12" w:space="0"/>
              <w:right w:val="single" w:color="D3D3D3" w:sz="2" w:space="0"/>
            </w:tcBorders>
            <w:vAlign w:val="center"/>
          </w:tcPr>
          <w:p w14:paraId="35717AD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18.56 (10.44, 29.77)</w:t>
            </w:r>
          </w:p>
        </w:tc>
        <w:tc>
          <w:tcPr>
            <w:tcW w:w="1187" w:type="pct"/>
            <w:tcBorders>
              <w:top w:val="single" w:color="D3D3D3" w:sz="2" w:space="0"/>
              <w:left w:val="single" w:color="D3D3D3" w:sz="2" w:space="0"/>
              <w:bottom w:val="single" w:color="000000" w:themeColor="text1" w:sz="12" w:space="0"/>
              <w:right w:val="single" w:color="D3D3D3" w:sz="2" w:space="0"/>
            </w:tcBorders>
            <w:vAlign w:val="center"/>
          </w:tcPr>
          <w:p w14:paraId="53E72F30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18.36 (10.82, 29.77)</w:t>
            </w:r>
          </w:p>
        </w:tc>
        <w:tc>
          <w:tcPr>
            <w:tcW w:w="424" w:type="pct"/>
            <w:tcBorders>
              <w:top w:val="single" w:color="D3D3D3" w:sz="2" w:space="0"/>
              <w:left w:val="single" w:color="D3D3D3" w:sz="2" w:space="0"/>
              <w:bottom w:val="single" w:color="000000" w:themeColor="text1" w:sz="12" w:space="0"/>
              <w:right w:val="single" w:color="D3D3D3" w:sz="2" w:space="0"/>
            </w:tcBorders>
            <w:vAlign w:val="center"/>
          </w:tcPr>
          <w:p w14:paraId="4B8DD5D8">
            <w:pPr>
              <w:keepNext w:val="0"/>
              <w:keepLines w:val="0"/>
              <w:widowControl/>
              <w:suppressLineNumbers w:val="0"/>
              <w:spacing w:before="0" w:beforeAutospacing="0" w:after="20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0.716</w:t>
            </w:r>
          </w:p>
        </w:tc>
      </w:tr>
    </w:tbl>
    <w:p w14:paraId="65D90B30">
      <w:pPr>
        <w:pStyle w:val="2"/>
        <w:spacing w:beforeLines="0" w:afterLine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>Data are means ± SD, median (interquartile range), or n (%).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Abbreviations: BMI: body mass index, BUN: blood urea nitrogen, SBP: systolic blood pressure, DBP: diastolic blood pressure, FBG: fasting blood glucose, HDL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-C</w:t>
      </w:r>
      <w:r>
        <w:rPr>
          <w:rFonts w:hint="default" w:ascii="Times New Roman" w:hAnsi="Times New Roman" w:cs="Times New Roman"/>
          <w:sz w:val="20"/>
          <w:szCs w:val="20"/>
        </w:rPr>
        <w:t>: 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high-density lipoprotein cholesterol</w:t>
      </w:r>
      <w:r>
        <w:rPr>
          <w:rFonts w:hint="default" w:ascii="Times New Roman" w:hAnsi="Times New Roman" w:cs="Times New Roman"/>
          <w:sz w:val="20"/>
          <w:szCs w:val="20"/>
        </w:rPr>
        <w:t>, LDL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-C</w:t>
      </w:r>
      <w:r>
        <w:rPr>
          <w:rFonts w:hint="default" w:ascii="Times New Roman" w:hAnsi="Times New Roman" w:cs="Times New Roman"/>
          <w:sz w:val="20"/>
          <w:szCs w:val="20"/>
        </w:rPr>
        <w:t>: low density lipoprotein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cholesterol</w:t>
      </w:r>
      <w:r>
        <w:rPr>
          <w:rFonts w:hint="default" w:ascii="Times New Roman" w:hAnsi="Times New Roman" w:cs="Times New Roman"/>
          <w:sz w:val="20"/>
          <w:szCs w:val="20"/>
        </w:rPr>
        <w:t>, TC: total cholesterol, TG triglycerides, CRP: C-reactive protein, HbA1c: glycosylated hemoglobin A1c, UA: uric acid.</w:t>
      </w:r>
    </w:p>
    <w:p w14:paraId="11C7B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</w:sectPr>
      </w:pPr>
    </w:p>
    <w:p w14:paraId="34BC4F56">
      <w:pPr>
        <w:keepNext/>
        <w:spacing w:before="0" w:after="6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Supplemental 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3.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1"/>
          <w:szCs w:val="21"/>
          <w:shd w:val="clear" w:fill="FCFCFC"/>
          <w:vertAlign w:val="baseline"/>
        </w:rPr>
        <w:t xml:space="preserve">IPCW-weighted Cox model for 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1"/>
          <w:szCs w:val="21"/>
          <w:shd w:val="clear" w:fill="FCFCFC"/>
          <w:vertAlign w:val="baseline"/>
          <w:lang w:val="en-US" w:eastAsia="zh-CN"/>
        </w:rPr>
        <w:t>RC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1"/>
          <w:szCs w:val="21"/>
          <w:shd w:val="clear" w:fill="FCFCFC"/>
          <w:vertAlign w:val="baseline"/>
        </w:rPr>
        <w:t xml:space="preserve"> and hypertension risk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1"/>
          <w:szCs w:val="21"/>
          <w:shd w:val="clear" w:fill="FCFCFC"/>
          <w:vertAlign w:val="baseline"/>
          <w:lang w:val="en-US" w:eastAsia="zh-CN"/>
        </w:rPr>
        <w:t>.</w:t>
      </w:r>
    </w:p>
    <w:tbl>
      <w:tblPr>
        <w:tblStyle w:val="4"/>
        <w:tblW w:w="9110" w:type="dxa"/>
        <w:jc w:val="center"/>
        <w:tblLayout w:type="autofit"/>
        <w:tblCellMar>
          <w:top w:w="0" w:type="dxa"/>
          <w:left w:w="60" w:type="dxa"/>
          <w:bottom w:w="0" w:type="dxa"/>
          <w:right w:w="60" w:type="dxa"/>
        </w:tblCellMar>
      </w:tblPr>
      <w:tblGrid>
        <w:gridCol w:w="2184"/>
        <w:gridCol w:w="510"/>
        <w:gridCol w:w="984"/>
        <w:gridCol w:w="814"/>
        <w:gridCol w:w="511"/>
        <w:gridCol w:w="985"/>
        <w:gridCol w:w="814"/>
        <w:gridCol w:w="511"/>
        <w:gridCol w:w="985"/>
        <w:gridCol w:w="812"/>
      </w:tblGrid>
      <w:tr w14:paraId="2E8A01B1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2184" w:type="dxa"/>
            <w:vMerge w:val="restart"/>
            <w:tcBorders>
              <w:top w:val="single" w:color="000000" w:themeColor="text1" w:sz="12" w:space="0"/>
              <w:left w:val="single" w:color="D3D3D3" w:sz="2" w:space="0"/>
              <w:bottom w:val="nil"/>
              <w:right w:val="nil"/>
            </w:tcBorders>
            <w:vAlign w:val="top"/>
          </w:tcPr>
          <w:p w14:paraId="296B8081">
            <w:pPr>
              <w:keepNext/>
              <w:spacing w:before="0" w:after="60"/>
              <w:jc w:val="left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308" w:type="dxa"/>
            <w:gridSpan w:val="3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01A7E0D5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Model 1</w:t>
            </w:r>
          </w:p>
        </w:tc>
        <w:tc>
          <w:tcPr>
            <w:tcW w:w="2310" w:type="dxa"/>
            <w:gridSpan w:val="3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5DD7B9E5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Model 2</w:t>
            </w:r>
          </w:p>
        </w:tc>
        <w:tc>
          <w:tcPr>
            <w:tcW w:w="2308" w:type="dxa"/>
            <w:gridSpan w:val="3"/>
            <w:tcBorders>
              <w:top w:val="single" w:color="000000" w:themeColor="text1" w:sz="12" w:space="0"/>
              <w:left w:val="nil"/>
              <w:bottom w:val="nil"/>
              <w:right w:val="single" w:color="D3D3D3" w:sz="2" w:space="0"/>
            </w:tcBorders>
            <w:vAlign w:val="top"/>
          </w:tcPr>
          <w:p w14:paraId="6562E450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Model 3</w:t>
            </w:r>
          </w:p>
        </w:tc>
      </w:tr>
      <w:tr w14:paraId="4381439A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2184" w:type="dxa"/>
            <w:vMerge w:val="continue"/>
            <w:tcBorders>
              <w:top w:val="nil"/>
              <w:left w:val="single" w:color="D3D3D3" w:sz="2" w:space="0"/>
              <w:bottom w:val="single" w:color="000000" w:themeColor="text1" w:sz="12" w:space="0"/>
              <w:right w:val="nil"/>
            </w:tcBorders>
            <w:vAlign w:val="top"/>
          </w:tcPr>
          <w:p w14:paraId="5B63DD03">
            <w:pPr>
              <w:keepNext/>
              <w:spacing w:before="0" w:after="60"/>
              <w:jc w:val="left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214D8E92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HR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54463599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95% CI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22819195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-value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37AA6A0D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HR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2A22B40C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95% CI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37F0EBCC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-value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75DD9F74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HR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55E700F7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95% CI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000000" w:themeColor="text1" w:sz="12" w:space="0"/>
              <w:right w:val="single" w:color="D3D3D3" w:sz="2" w:space="0"/>
            </w:tcBorders>
            <w:vAlign w:val="top"/>
          </w:tcPr>
          <w:p w14:paraId="4AAF8502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-value</w:t>
            </w:r>
          </w:p>
        </w:tc>
      </w:tr>
      <w:tr w14:paraId="088929AB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jc w:val="center"/>
        </w:trPr>
        <w:tc>
          <w:tcPr>
            <w:tcW w:w="2184" w:type="dxa"/>
            <w:tcBorders>
              <w:top w:val="single" w:color="000000" w:themeColor="text1" w:sz="12" w:space="0"/>
              <w:left w:val="single" w:color="D3D3D3" w:sz="2" w:space="0"/>
              <w:bottom w:val="nil"/>
              <w:right w:val="nil"/>
            </w:tcBorders>
            <w:vAlign w:val="top"/>
          </w:tcPr>
          <w:p w14:paraId="00545705">
            <w:pPr>
              <w:keepNext/>
              <w:spacing w:before="0" w:after="6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Log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per SD</w:t>
            </w:r>
          </w:p>
        </w:tc>
        <w:tc>
          <w:tcPr>
            <w:tcW w:w="510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234DE925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984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20196A1F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14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75AAE6A1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511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07391F1C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85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1712B648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814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5A0AD05A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511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308FD5A3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985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65254967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12" w:type="dxa"/>
            <w:tcBorders>
              <w:top w:val="single" w:color="000000" w:themeColor="text1" w:sz="12" w:space="0"/>
              <w:left w:val="nil"/>
              <w:bottom w:val="nil"/>
              <w:right w:val="single" w:color="D3D3D3" w:sz="2" w:space="0"/>
            </w:tcBorders>
            <w:vAlign w:val="top"/>
          </w:tcPr>
          <w:p w14:paraId="67A3EB83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0.013</w:t>
            </w:r>
          </w:p>
        </w:tc>
      </w:tr>
      <w:tr w14:paraId="6C10CE2C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jc w:val="center"/>
        </w:trPr>
        <w:tc>
          <w:tcPr>
            <w:tcW w:w="911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883A4D2">
            <w:pPr>
              <w:keepNext/>
              <w:spacing w:before="0" w:after="6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Discordance groups by 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%</w:t>
            </w:r>
          </w:p>
        </w:tc>
      </w:tr>
      <w:tr w14:paraId="669BC8B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FB4016">
            <w:pPr>
              <w:keepNext/>
              <w:spacing w:before="0" w:after="6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Discordantly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ow RC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68F4CF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Ref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C42041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69EFF4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DD6194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Ref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4E3645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1F5B99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C75E5B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Ref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30F951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C9ECFA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</w:p>
        </w:tc>
      </w:tr>
      <w:tr w14:paraId="617FFF65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71E23C">
            <w:pPr>
              <w:keepNext/>
              <w:spacing w:beforeLines="0" w:after="60" w:afterLine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Concordant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group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949135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1634A3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0.86, 1.09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7DA788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F280B8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0.97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0598C9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0.86, 1.09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A9BA81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8672A9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0.96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9E7D33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0.85, 1.08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43419F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0.499</w:t>
            </w:r>
          </w:p>
        </w:tc>
      </w:tr>
      <w:tr w14:paraId="7A800718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6A1A8723">
            <w:pPr>
              <w:keepNext/>
              <w:spacing w:before="0" w:after="6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Discordantly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igh RC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 w14:paraId="6E3778AE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1.16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 w14:paraId="0085BAB7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1.05, 1.30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 w14:paraId="3C9F1ADB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0.006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 w14:paraId="5F395126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1.21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 w14:paraId="2D613E86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1.09, 1.35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 w14:paraId="1279FE51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 w14:paraId="4E8E4ED4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1.17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 w14:paraId="4BEE26B0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1.04, 1.32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 w14:paraId="022A834B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0.010</w:t>
            </w:r>
          </w:p>
        </w:tc>
      </w:tr>
    </w:tbl>
    <w:p w14:paraId="58B1D888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HR: hazard ratios, CI: confidence interval,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Ref: reference, RC: remnant cholesterol, SBP: systolic blood pressure, DBP: diastolic blood pressure,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LDL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-C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: low-density lipoprotein cholesterol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TC: total cholesterol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BMI: body mass index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</w:p>
    <w:p w14:paraId="3EAEDD6F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Model 1: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</w:rPr>
        <w:t>djusted for none.</w:t>
      </w:r>
    </w:p>
    <w:p w14:paraId="30CA970B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Model 2: Adjusted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for </w:t>
      </w:r>
      <w:r>
        <w:rPr>
          <w:rFonts w:hint="default" w:ascii="Times New Roman" w:hAnsi="Times New Roman" w:cs="Times New Roman"/>
          <w:sz w:val="21"/>
          <w:szCs w:val="21"/>
        </w:rPr>
        <w:t>age, gender,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rural residence,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education, </w:t>
      </w:r>
      <w:r>
        <w:rPr>
          <w:rFonts w:hint="default" w:ascii="Times New Roman" w:hAnsi="Times New Roman" w:cs="Times New Roman"/>
          <w:sz w:val="21"/>
          <w:szCs w:val="21"/>
        </w:rPr>
        <w:t>smoking status and drinking status.</w:t>
      </w:r>
    </w:p>
    <w:p w14:paraId="21F28AB8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Model 3: Adjusted for age, gender, rural residence, smoking status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drinking status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, FBG, BUN, Creatinine, CRP, UA, HbA1c, heart disease, kidney disease, diabetes, BMI, SBP, DBP and TC.</w:t>
      </w:r>
    </w:p>
    <w:p w14:paraId="75BB6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</w:sectPr>
      </w:pPr>
    </w:p>
    <w:p w14:paraId="6F4925E9">
      <w:pPr>
        <w:keepNext/>
        <w:spacing w:before="0" w:after="60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Supplemental 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4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cs="Times New Roman"/>
          <w:sz w:val="21"/>
          <w:szCs w:val="21"/>
        </w:rPr>
        <w:t xml:space="preserve"> Cox models analyzed the relationship between standardized differences in RC and LDL-C percentiles and the risk of hypertension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(20 percentile-unit threshold).</w:t>
      </w:r>
    </w:p>
    <w:tbl>
      <w:tblPr>
        <w:tblStyle w:val="4"/>
        <w:tblW w:w="9085" w:type="dxa"/>
        <w:jc w:val="center"/>
        <w:tblLayout w:type="autofit"/>
        <w:tblCellMar>
          <w:top w:w="0" w:type="dxa"/>
          <w:left w:w="60" w:type="dxa"/>
          <w:bottom w:w="0" w:type="dxa"/>
          <w:right w:w="60" w:type="dxa"/>
        </w:tblCellMar>
      </w:tblPr>
      <w:tblGrid>
        <w:gridCol w:w="1988"/>
        <w:gridCol w:w="645"/>
        <w:gridCol w:w="1052"/>
        <w:gridCol w:w="780"/>
        <w:gridCol w:w="501"/>
        <w:gridCol w:w="1028"/>
        <w:gridCol w:w="780"/>
        <w:gridCol w:w="503"/>
        <w:gridCol w:w="1026"/>
        <w:gridCol w:w="782"/>
      </w:tblGrid>
      <w:tr w14:paraId="003B41AA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57" w:hRule="atLeast"/>
          <w:tblHeader/>
          <w:jc w:val="center"/>
        </w:trPr>
        <w:tc>
          <w:tcPr>
            <w:tcW w:w="1988" w:type="dxa"/>
            <w:vMerge w:val="restart"/>
            <w:tcBorders>
              <w:top w:val="single" w:color="000000" w:themeColor="text1" w:sz="12" w:space="0"/>
              <w:left w:val="single" w:color="D3D3D3" w:sz="2" w:space="0"/>
              <w:right w:val="nil"/>
            </w:tcBorders>
            <w:vAlign w:val="top"/>
          </w:tcPr>
          <w:p w14:paraId="513ABB91">
            <w:pPr>
              <w:keepNext/>
              <w:spacing w:before="0" w:after="60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  <w:p w14:paraId="65F116DF">
            <w:pPr>
              <w:keepNext/>
              <w:spacing w:before="0" w:after="60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77" w:type="dxa"/>
            <w:gridSpan w:val="3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330154E0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Model 1</w:t>
            </w:r>
          </w:p>
        </w:tc>
        <w:tc>
          <w:tcPr>
            <w:tcW w:w="2309" w:type="dxa"/>
            <w:gridSpan w:val="3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432EBA81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Model 2</w:t>
            </w:r>
          </w:p>
        </w:tc>
        <w:tc>
          <w:tcPr>
            <w:tcW w:w="2311" w:type="dxa"/>
            <w:gridSpan w:val="3"/>
            <w:tcBorders>
              <w:top w:val="single" w:color="000000" w:themeColor="text1" w:sz="12" w:space="0"/>
              <w:left w:val="nil"/>
              <w:bottom w:val="nil"/>
              <w:right w:val="single" w:color="D3D3D3" w:sz="2" w:space="0"/>
            </w:tcBorders>
            <w:vAlign w:val="top"/>
          </w:tcPr>
          <w:p w14:paraId="17242A73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Model 3</w:t>
            </w:r>
          </w:p>
        </w:tc>
      </w:tr>
      <w:tr w14:paraId="35C54D28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1988" w:type="dxa"/>
            <w:vMerge w:val="continue"/>
            <w:tcBorders>
              <w:left w:val="single" w:color="D3D3D3" w:sz="2" w:space="0"/>
              <w:bottom w:val="single" w:color="000000" w:themeColor="text1" w:sz="12" w:space="0"/>
              <w:right w:val="nil"/>
            </w:tcBorders>
            <w:vAlign w:val="top"/>
          </w:tcPr>
          <w:p w14:paraId="09049575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55E6E81A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HR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63383FFC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95% CI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6ED8A1AF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-value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503A1E59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HR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104164FF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95% CI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58582EC6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-value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34517A64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HR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68DBAD5A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95% CI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themeColor="text1" w:sz="12" w:space="0"/>
              <w:right w:val="single" w:color="D3D3D3" w:sz="2" w:space="0"/>
            </w:tcBorders>
            <w:vAlign w:val="top"/>
          </w:tcPr>
          <w:p w14:paraId="6AD8FE43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-value</w:t>
            </w:r>
          </w:p>
        </w:tc>
      </w:tr>
      <w:tr w14:paraId="58B263F9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jc w:val="center"/>
        </w:trPr>
        <w:tc>
          <w:tcPr>
            <w:tcW w:w="9085" w:type="dxa"/>
            <w:gridSpan w:val="10"/>
            <w:tcBorders>
              <w:top w:val="nil"/>
              <w:left w:val="single" w:color="D3D3D3" w:sz="2" w:space="0"/>
              <w:bottom w:val="nil"/>
              <w:right w:val="single" w:color="D3D3D3" w:sz="2" w:space="0"/>
            </w:tcBorders>
            <w:vAlign w:val="top"/>
          </w:tcPr>
          <w:p w14:paraId="734412E5">
            <w:pPr>
              <w:keepNext/>
              <w:spacing w:beforeLines="0" w:after="60" w:afterLine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 xml:space="preserve">Discordance groups by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%</w:t>
            </w:r>
          </w:p>
        </w:tc>
      </w:tr>
      <w:tr w14:paraId="321C72D0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jc w:val="center"/>
        </w:trPr>
        <w:tc>
          <w:tcPr>
            <w:tcW w:w="1988" w:type="dxa"/>
            <w:tcBorders>
              <w:top w:val="nil"/>
              <w:left w:val="single" w:color="D3D3D3" w:sz="2" w:space="0"/>
              <w:bottom w:val="nil"/>
              <w:right w:val="nil"/>
            </w:tcBorders>
            <w:vAlign w:val="top"/>
          </w:tcPr>
          <w:p w14:paraId="550A35AB">
            <w:pPr>
              <w:keepNext/>
              <w:spacing w:before="0" w:after="6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Discordantly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ow RC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5CFDA6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Ref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A695C16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02ACDB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82D75DC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Ref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C63C8C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58D21E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DEC6E7E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Ref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749CD7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color="D3D3D3" w:sz="2" w:space="0"/>
            </w:tcBorders>
            <w:vAlign w:val="top"/>
          </w:tcPr>
          <w:p w14:paraId="37B59B2D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1628A527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jc w:val="center"/>
        </w:trPr>
        <w:tc>
          <w:tcPr>
            <w:tcW w:w="1988" w:type="dxa"/>
            <w:tcBorders>
              <w:top w:val="nil"/>
              <w:left w:val="single" w:color="D3D3D3" w:sz="2" w:space="0"/>
              <w:bottom w:val="nil"/>
              <w:right w:val="nil"/>
            </w:tcBorders>
            <w:vAlign w:val="top"/>
          </w:tcPr>
          <w:p w14:paraId="376B586D">
            <w:pPr>
              <w:keepNext/>
              <w:spacing w:beforeLines="0" w:after="60" w:afterLine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Concordant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group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67F9AC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0.99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E39C9C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0.89, 1.11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6E4791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912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F58D37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78DD2B">
            <w:pPr>
              <w:keepNext/>
              <w:spacing w:before="0" w:after="6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2E98F7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935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468E13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0.98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DD0CFA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color="D3D3D3" w:sz="2" w:space="0"/>
            </w:tcBorders>
            <w:vAlign w:val="top"/>
          </w:tcPr>
          <w:p w14:paraId="6B1C12E6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701</w:t>
            </w:r>
          </w:p>
        </w:tc>
      </w:tr>
      <w:tr w14:paraId="105367F3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jc w:val="center"/>
        </w:trPr>
        <w:tc>
          <w:tcPr>
            <w:tcW w:w="1988" w:type="dxa"/>
            <w:tcBorders>
              <w:top w:val="nil"/>
              <w:left w:val="single" w:color="D3D3D3" w:sz="2" w:space="0"/>
              <w:bottom w:val="nil"/>
              <w:right w:val="nil"/>
            </w:tcBorders>
            <w:vAlign w:val="top"/>
          </w:tcPr>
          <w:p w14:paraId="0CB4D851">
            <w:pPr>
              <w:keepNext/>
              <w:spacing w:before="0" w:after="6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Discordantly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igh RC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07CBB0">
            <w:pPr>
              <w:keepNext/>
              <w:spacing w:before="0" w:after="6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C0E542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2343F6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999057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72DAB39">
            <w:pPr>
              <w:keepNext/>
              <w:spacing w:before="0" w:after="6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1.3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F2CB9">
            <w:pPr>
              <w:keepNext/>
              <w:spacing w:before="0" w:after="6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11F7D4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D832BB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color="D3D3D3" w:sz="2" w:space="0"/>
            </w:tcBorders>
            <w:vAlign w:val="top"/>
          </w:tcPr>
          <w:p w14:paraId="332E3645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006</w:t>
            </w:r>
          </w:p>
        </w:tc>
      </w:tr>
      <w:tr w14:paraId="4E1177F8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23" w:hRule="atLeast"/>
          <w:jc w:val="center"/>
        </w:trPr>
        <w:tc>
          <w:tcPr>
            <w:tcW w:w="1988" w:type="dxa"/>
            <w:tcBorders>
              <w:top w:val="nil"/>
              <w:left w:val="single" w:color="D3D3D3" w:sz="2" w:space="0"/>
              <w:bottom w:val="single" w:color="000000" w:themeColor="text1" w:sz="12" w:space="0"/>
              <w:right w:val="nil"/>
            </w:tcBorders>
            <w:vAlign w:val="top"/>
          </w:tcPr>
          <w:p w14:paraId="213AEA05">
            <w:pPr>
              <w:keepNext/>
              <w:spacing w:before="0" w:after="6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for trend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73D4B4BD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7CE87EAB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4329064D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5F919129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59B8473B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2FB2BF33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1FADBC3F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30634387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color="000000" w:themeColor="text1" w:sz="12" w:space="0"/>
              <w:right w:val="single" w:color="D3D3D3" w:sz="2" w:space="0"/>
            </w:tcBorders>
            <w:vAlign w:val="top"/>
          </w:tcPr>
          <w:p w14:paraId="6A76ACAD">
            <w:pPr>
              <w:keepNext/>
              <w:spacing w:beforeLines="0" w:after="60" w:afterLine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06</w:t>
            </w:r>
          </w:p>
        </w:tc>
      </w:tr>
    </w:tbl>
    <w:p w14:paraId="64613BC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0" w:lineRule="atLeas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HR: hazard ratios, CI: confidence interval,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Ref: reference, RC: remnant cholesterol, SBP: systolic blood pressure, DBP: diastolic blood pressure,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LDL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-C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: low-density lipoprotein cholesterol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TC: total cholesterol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BMI: body mass index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</w:p>
    <w:p w14:paraId="07C50ABA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Model 1: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</w:rPr>
        <w:t>djusted for none.</w:t>
      </w:r>
    </w:p>
    <w:p w14:paraId="26E1FCF7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Model 2: Adjusted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for </w:t>
      </w:r>
      <w:r>
        <w:rPr>
          <w:rFonts w:hint="default" w:ascii="Times New Roman" w:hAnsi="Times New Roman" w:cs="Times New Roman"/>
          <w:sz w:val="21"/>
          <w:szCs w:val="21"/>
        </w:rPr>
        <w:t>age, gender,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rural residence,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education, </w:t>
      </w:r>
      <w:r>
        <w:rPr>
          <w:rFonts w:hint="default" w:ascii="Times New Roman" w:hAnsi="Times New Roman" w:cs="Times New Roman"/>
          <w:sz w:val="21"/>
          <w:szCs w:val="21"/>
        </w:rPr>
        <w:t>smoking status and drinking status.</w:t>
      </w:r>
    </w:p>
    <w:p w14:paraId="5BD5AC87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1"/>
          <w:szCs w:val="21"/>
        </w:rPr>
        <w:t>Model 3: Adjusted for age, gender, rural residence, smoking status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drinking status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, FBG, BUN, Creatinine, CRP, UA, HbA1c, heart disease, kidney disease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diabetes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, BMI, SBP and TC.</w:t>
      </w:r>
      <w:bookmarkStart w:id="0" w:name="_GoBack"/>
      <w:bookmarkEnd w:id="0"/>
    </w:p>
    <w:p w14:paraId="19DD2AF6">
      <w:pPr>
        <w:keepNext/>
        <w:spacing w:before="0" w:after="6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 w:val="21"/>
          <w:szCs w:val="21"/>
        </w:rPr>
        <w:t xml:space="preserve"> Enhancement of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Hypertension </w:t>
      </w:r>
      <w:r>
        <w:rPr>
          <w:rFonts w:hint="default" w:ascii="Times New Roman" w:hAnsi="Times New Roman" w:cs="Times New Roman"/>
          <w:sz w:val="21"/>
          <w:szCs w:val="21"/>
        </w:rPr>
        <w:t xml:space="preserve">Discrimination and Risk Reclassification Through the Incorporation of </w:t>
      </w:r>
      <w:r>
        <w:rPr>
          <w:rFonts w:hint="eastAsia" w:ascii="Times New Roman" w:hAnsi="Times New Roman" w:eastAsia="等线" w:cs="Times New Roman"/>
          <w:b w:val="0"/>
          <w:bCs w:val="0"/>
          <w:color w:val="000000"/>
          <w:kern w:val="0"/>
          <w:sz w:val="21"/>
          <w:szCs w:val="21"/>
          <w:lang w:val="en-US" w:eastAsia="zh-CN"/>
        </w:rPr>
        <w:t>RC-LDL-C percentile discordance (15% percentile difference-based).</w:t>
      </w:r>
    </w:p>
    <w:tbl>
      <w:tblPr>
        <w:tblStyle w:val="4"/>
        <w:tblW w:w="9751" w:type="dxa"/>
        <w:jc w:val="center"/>
        <w:tblLayout w:type="autofit"/>
        <w:tblCellMar>
          <w:top w:w="0" w:type="dxa"/>
          <w:left w:w="60" w:type="dxa"/>
          <w:bottom w:w="0" w:type="dxa"/>
          <w:right w:w="60" w:type="dxa"/>
        </w:tblCellMar>
      </w:tblPr>
      <w:tblGrid>
        <w:gridCol w:w="2355"/>
        <w:gridCol w:w="1996"/>
        <w:gridCol w:w="780"/>
        <w:gridCol w:w="1529"/>
        <w:gridCol w:w="780"/>
        <w:gridCol w:w="1529"/>
        <w:gridCol w:w="782"/>
      </w:tblGrid>
      <w:tr w14:paraId="55BCF78B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439" w:hRule="atLeast"/>
          <w:tblHeader/>
          <w:jc w:val="center"/>
        </w:trPr>
        <w:tc>
          <w:tcPr>
            <w:tcW w:w="2355" w:type="dxa"/>
            <w:tcBorders>
              <w:top w:val="single" w:color="000000" w:themeColor="text1" w:sz="12" w:space="0"/>
              <w:left w:val="single" w:color="D3D3D3" w:sz="2" w:space="0"/>
              <w:bottom w:val="single" w:color="000000" w:themeColor="text1" w:sz="12" w:space="0"/>
              <w:right w:val="nil"/>
            </w:tcBorders>
          </w:tcPr>
          <w:p w14:paraId="59107F8F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96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00628784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C-statistic (95% CI)</w:t>
            </w:r>
          </w:p>
        </w:tc>
        <w:tc>
          <w:tcPr>
            <w:tcW w:w="780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55D4C906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-value</w:t>
            </w:r>
          </w:p>
        </w:tc>
        <w:tc>
          <w:tcPr>
            <w:tcW w:w="1529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1CE3E30D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NRI (95 % CI)</w:t>
            </w:r>
          </w:p>
        </w:tc>
        <w:tc>
          <w:tcPr>
            <w:tcW w:w="780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78073CC8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-value</w:t>
            </w:r>
          </w:p>
        </w:tc>
        <w:tc>
          <w:tcPr>
            <w:tcW w:w="1529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</w:tcPr>
          <w:p w14:paraId="3CD84101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IDI (95% CI)</w:t>
            </w:r>
          </w:p>
        </w:tc>
        <w:tc>
          <w:tcPr>
            <w:tcW w:w="782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single" w:color="D3D3D3" w:sz="2" w:space="0"/>
            </w:tcBorders>
          </w:tcPr>
          <w:p w14:paraId="6D5613CF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-value</w:t>
            </w:r>
          </w:p>
        </w:tc>
      </w:tr>
      <w:tr w14:paraId="3D29C35C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509" w:hRule="atLeast"/>
          <w:jc w:val="center"/>
        </w:trPr>
        <w:tc>
          <w:tcPr>
            <w:tcW w:w="2355" w:type="dxa"/>
            <w:tcBorders>
              <w:top w:val="single" w:color="000000" w:themeColor="text1" w:sz="12" w:space="0"/>
              <w:left w:val="single" w:color="D3D3D3" w:sz="2" w:space="0"/>
              <w:bottom w:val="nil"/>
              <w:right w:val="nil"/>
            </w:tcBorders>
          </w:tcPr>
          <w:p w14:paraId="3C545648">
            <w:pPr>
              <w:keepNext/>
              <w:spacing w:before="0" w:after="6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Basic model</w:t>
            </w:r>
          </w:p>
        </w:tc>
        <w:tc>
          <w:tcPr>
            <w:tcW w:w="1996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0B547968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0.676 (0.664, 0.689)</w:t>
            </w:r>
          </w:p>
        </w:tc>
        <w:tc>
          <w:tcPr>
            <w:tcW w:w="780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1B2081BE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529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573159EB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Ref</w:t>
            </w:r>
          </w:p>
        </w:tc>
        <w:tc>
          <w:tcPr>
            <w:tcW w:w="780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05BA5A31">
            <w:pPr>
              <w:keepNext/>
              <w:spacing w:before="0" w:after="6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529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vAlign w:val="top"/>
          </w:tcPr>
          <w:p w14:paraId="2EBFE9E3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Ref</w:t>
            </w:r>
          </w:p>
        </w:tc>
        <w:tc>
          <w:tcPr>
            <w:tcW w:w="782" w:type="dxa"/>
            <w:tcBorders>
              <w:top w:val="single" w:color="000000" w:themeColor="text1" w:sz="12" w:space="0"/>
              <w:left w:val="nil"/>
              <w:bottom w:val="nil"/>
              <w:right w:val="single" w:color="D3D3D3" w:sz="2" w:space="0"/>
            </w:tcBorders>
            <w:vAlign w:val="top"/>
          </w:tcPr>
          <w:p w14:paraId="3F391E7D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710D9668">
        <w:tblPrEx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509" w:hRule="atLeast"/>
          <w:jc w:val="center"/>
        </w:trPr>
        <w:tc>
          <w:tcPr>
            <w:tcW w:w="2355" w:type="dxa"/>
            <w:tcBorders>
              <w:top w:val="nil"/>
              <w:left w:val="single" w:color="D3D3D3" w:sz="2" w:space="0"/>
              <w:bottom w:val="single" w:color="000000" w:themeColor="text1" w:sz="12" w:space="0"/>
              <w:right w:val="nil"/>
            </w:tcBorders>
            <w:vAlign w:val="top"/>
          </w:tcPr>
          <w:p w14:paraId="5AD46E87">
            <w:pPr>
              <w:keepNext/>
              <w:spacing w:beforeLines="0" w:after="60" w:afterLine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Basic model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+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RC-LDL-C discordance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239B1432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0.677 (0.664, 0.690)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63100E8C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529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2306EA13">
            <w:pPr>
              <w:keepNext/>
              <w:spacing w:before="0" w:after="6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0868 (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0275,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1461)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3A54422D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1529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top"/>
          </w:tcPr>
          <w:p w14:paraId="44ACB72C">
            <w:pPr>
              <w:keepNext/>
              <w:spacing w:before="0" w:after="6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04,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029)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 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themeColor="text1" w:sz="12" w:space="0"/>
              <w:right w:val="single" w:color="D3D3D3" w:sz="2" w:space="0"/>
            </w:tcBorders>
            <w:vAlign w:val="top"/>
          </w:tcPr>
          <w:p w14:paraId="160D3BD1">
            <w:pPr>
              <w:keepNext/>
              <w:spacing w:before="0" w:after="6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0.009</w:t>
            </w:r>
          </w:p>
        </w:tc>
      </w:tr>
    </w:tbl>
    <w:p w14:paraId="0A9C22E2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1"/>
          <w:szCs w:val="21"/>
        </w:rPr>
        <w:t>Basic model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include </w:t>
      </w:r>
      <w:r>
        <w:rPr>
          <w:rFonts w:hint="default" w:ascii="Times New Roman" w:hAnsi="Times New Roman" w:cs="Times New Roman"/>
          <w:sz w:val="21"/>
          <w:szCs w:val="21"/>
        </w:rPr>
        <w:t>age, gender, rural residence, smoking status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drinking status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, FBG, BUN, Creatinine, CRP, UA, HbA1c, heart disease, kidney disease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diabetes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, BMI, SBP, DBP, TC, HDL-C, LDL-C and TG. </w:t>
      </w:r>
      <w:r>
        <w:rPr>
          <w:rFonts w:hint="default" w:ascii="Times New Roman" w:hAnsi="Times New Roman" w:cs="Times New Roman"/>
          <w:sz w:val="21"/>
          <w:szCs w:val="21"/>
        </w:rPr>
        <w:t>IDI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:</w:t>
      </w:r>
      <w:r>
        <w:rPr>
          <w:rFonts w:hint="default" w:ascii="Times New Roman" w:hAnsi="Times New Roman" w:cs="Times New Roman"/>
          <w:sz w:val="21"/>
          <w:szCs w:val="21"/>
        </w:rPr>
        <w:t xml:space="preserve"> integrated discrimination improvement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NRI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:</w:t>
      </w:r>
      <w:r>
        <w:rPr>
          <w:rFonts w:hint="default" w:ascii="Times New Roman" w:hAnsi="Times New Roman" w:cs="Times New Roman"/>
          <w:sz w:val="21"/>
          <w:szCs w:val="21"/>
        </w:rPr>
        <w:t xml:space="preserve"> net reclassification improvement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CI: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confidence interval,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Ref: reference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</w:t>
      </w:r>
    </w:p>
    <w:p w14:paraId="5E060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198350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rPr>
          <w:rFonts w:hint="default" w:ascii="Times New Roman" w:hAnsi="Times New Roman" w:cs="Times New Roman" w:eastAsiaTheme="minorEastAsia"/>
          <w:b/>
          <w:bCs/>
          <w:color w:val="auto"/>
          <w:sz w:val="24"/>
          <w:szCs w:val="24"/>
          <w:lang w:eastAsia="zh-CN"/>
        </w:rPr>
      </w:pPr>
    </w:p>
    <w:p w14:paraId="5333DEC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jc w:val="center"/>
        <w:textAlignment w:val="auto"/>
        <w:rPr>
          <w:rFonts w:hint="default" w:ascii="Times New Roman" w:hAnsi="Times New Roman" w:cs="Times New Roman" w:eastAsiaTheme="minorHAnsi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b/>
          <w:bCs/>
          <w:color w:val="auto"/>
          <w:sz w:val="24"/>
          <w:szCs w:val="24"/>
          <w:lang w:eastAsia="zh-CN"/>
        </w:rPr>
        <w:drawing>
          <wp:inline distT="0" distB="0" distL="114300" distR="114300">
            <wp:extent cx="5266690" cy="3950335"/>
            <wp:effectExtent l="0" t="0" r="3810" b="12065"/>
            <wp:docPr id="1" name="图片 1" descr="S1 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 Fi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Supplement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Flow chart of participants selection.</w:t>
      </w:r>
    </w:p>
    <w:p w14:paraId="33E9D6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rPr>
          <w:rFonts w:hint="default" w:ascii="Times New Roman" w:hAnsi="Times New Roman" w:cs="Times New Roman" w:eastAsiaTheme="minorEastAsia"/>
          <w:b/>
          <w:bCs/>
          <w:color w:val="auto"/>
          <w:sz w:val="24"/>
          <w:szCs w:val="24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</w:sectPr>
      </w:pPr>
    </w:p>
    <w:p w14:paraId="22BD7980">
      <w:pPr>
        <w:keepNext/>
        <w:spacing w:before="0" w:after="60"/>
        <w:rPr>
          <w:rFonts w:hint="eastAsia" w:ascii="Times New Roman" w:hAnsi="Times New Roman" w:cs="Times New Roman" w:eastAsiaTheme="minorEastAsia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color w:val="auto"/>
          <w:sz w:val="24"/>
          <w:szCs w:val="24"/>
          <w:lang w:eastAsia="zh-CN"/>
        </w:rPr>
        <w:drawing>
          <wp:inline distT="0" distB="0" distL="114300" distR="114300">
            <wp:extent cx="5273040" cy="5272405"/>
            <wp:effectExtent l="0" t="0" r="10160" b="10795"/>
            <wp:docPr id="2" name="图片 2" descr="Supplement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0F2F9">
      <w:pPr>
        <w:keepNext/>
        <w:spacing w:before="0" w:after="60"/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Supplement 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Subgroup analysis for the association between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RC</w:t>
      </w:r>
      <w:r>
        <w:rPr>
          <w:rFonts w:hint="default" w:ascii="Times New Roman" w:hAnsi="Times New Roman" w:cs="Times New Roman"/>
          <w:sz w:val="21"/>
          <w:szCs w:val="21"/>
        </w:rPr>
        <w:t xml:space="preserve"> and incident hypertension.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</w:p>
    <w:p w14:paraId="16CD1238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 w:ascii="Times New Roman" w:hAnsi="Times New Roman" w:eastAsia="宋体" w:cs="Times New Roman"/>
          <w:b w:val="0"/>
          <w:i w:val="0"/>
          <w:color w:val="auto"/>
          <w:sz w:val="21"/>
          <w:szCs w:val="21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5135"/>
    <w:rsid w:val="006039C0"/>
    <w:rsid w:val="00BF186E"/>
    <w:rsid w:val="00D04FCE"/>
    <w:rsid w:val="00D30013"/>
    <w:rsid w:val="00D91BC6"/>
    <w:rsid w:val="013D4B60"/>
    <w:rsid w:val="018C11B6"/>
    <w:rsid w:val="01A06E9D"/>
    <w:rsid w:val="01C0309B"/>
    <w:rsid w:val="01FE76B3"/>
    <w:rsid w:val="02AF70EC"/>
    <w:rsid w:val="02F4124E"/>
    <w:rsid w:val="03C230FA"/>
    <w:rsid w:val="046A643B"/>
    <w:rsid w:val="05031C1C"/>
    <w:rsid w:val="055F4E32"/>
    <w:rsid w:val="056621AB"/>
    <w:rsid w:val="05946ADF"/>
    <w:rsid w:val="06420522"/>
    <w:rsid w:val="071E2E8C"/>
    <w:rsid w:val="07382BE1"/>
    <w:rsid w:val="07414C7E"/>
    <w:rsid w:val="07BE74DF"/>
    <w:rsid w:val="07DE5F47"/>
    <w:rsid w:val="07F43A9E"/>
    <w:rsid w:val="0825634E"/>
    <w:rsid w:val="08674E90"/>
    <w:rsid w:val="08A86906"/>
    <w:rsid w:val="08C47915"/>
    <w:rsid w:val="092B5DEE"/>
    <w:rsid w:val="09742BB1"/>
    <w:rsid w:val="097757CB"/>
    <w:rsid w:val="09841B9C"/>
    <w:rsid w:val="09D000DA"/>
    <w:rsid w:val="09ED69F7"/>
    <w:rsid w:val="0A623268"/>
    <w:rsid w:val="0A79499C"/>
    <w:rsid w:val="0A7F7DD2"/>
    <w:rsid w:val="0AD57BB7"/>
    <w:rsid w:val="0B353D08"/>
    <w:rsid w:val="0B646F99"/>
    <w:rsid w:val="0B901D30"/>
    <w:rsid w:val="0C2D6872"/>
    <w:rsid w:val="0C564D28"/>
    <w:rsid w:val="0C721436"/>
    <w:rsid w:val="0C8D28DB"/>
    <w:rsid w:val="0CE265BB"/>
    <w:rsid w:val="0CF12BAD"/>
    <w:rsid w:val="0CF5561A"/>
    <w:rsid w:val="0D1D4826"/>
    <w:rsid w:val="0D607838"/>
    <w:rsid w:val="0D621D65"/>
    <w:rsid w:val="0D7C6A10"/>
    <w:rsid w:val="0DD45E8C"/>
    <w:rsid w:val="0DE819AF"/>
    <w:rsid w:val="0E527771"/>
    <w:rsid w:val="0E625C06"/>
    <w:rsid w:val="0EBD346C"/>
    <w:rsid w:val="0F114F36"/>
    <w:rsid w:val="0F192940"/>
    <w:rsid w:val="0F2612E7"/>
    <w:rsid w:val="0F5B48D3"/>
    <w:rsid w:val="0F783207"/>
    <w:rsid w:val="0F8C280E"/>
    <w:rsid w:val="0F8E6586"/>
    <w:rsid w:val="0F9022FF"/>
    <w:rsid w:val="0FF72C72"/>
    <w:rsid w:val="107000B2"/>
    <w:rsid w:val="10E74738"/>
    <w:rsid w:val="10E80FDF"/>
    <w:rsid w:val="111439D7"/>
    <w:rsid w:val="11466AA6"/>
    <w:rsid w:val="116F4196"/>
    <w:rsid w:val="122C4097"/>
    <w:rsid w:val="122F6941"/>
    <w:rsid w:val="12955EAD"/>
    <w:rsid w:val="12AB744F"/>
    <w:rsid w:val="12F64B6E"/>
    <w:rsid w:val="13702B73"/>
    <w:rsid w:val="13C07205"/>
    <w:rsid w:val="13D3259A"/>
    <w:rsid w:val="140A39B3"/>
    <w:rsid w:val="1410409C"/>
    <w:rsid w:val="1432607A"/>
    <w:rsid w:val="150D43F1"/>
    <w:rsid w:val="1545328B"/>
    <w:rsid w:val="158969C0"/>
    <w:rsid w:val="15A037E7"/>
    <w:rsid w:val="15B00333"/>
    <w:rsid w:val="15D373E9"/>
    <w:rsid w:val="15D6463B"/>
    <w:rsid w:val="16041350"/>
    <w:rsid w:val="16F05D79"/>
    <w:rsid w:val="16F70EB5"/>
    <w:rsid w:val="1720040C"/>
    <w:rsid w:val="1763654B"/>
    <w:rsid w:val="17A31C1E"/>
    <w:rsid w:val="17F83137"/>
    <w:rsid w:val="183569CC"/>
    <w:rsid w:val="18C62076"/>
    <w:rsid w:val="19334323"/>
    <w:rsid w:val="19B17A41"/>
    <w:rsid w:val="19B73CA4"/>
    <w:rsid w:val="19C3643F"/>
    <w:rsid w:val="1A2B77F4"/>
    <w:rsid w:val="1A733B40"/>
    <w:rsid w:val="1A830D8A"/>
    <w:rsid w:val="1A943FAE"/>
    <w:rsid w:val="1AA55605"/>
    <w:rsid w:val="1AAB787A"/>
    <w:rsid w:val="1ADB7AD1"/>
    <w:rsid w:val="1AEB6F83"/>
    <w:rsid w:val="1AF37BE5"/>
    <w:rsid w:val="1C1E7F81"/>
    <w:rsid w:val="1C43620E"/>
    <w:rsid w:val="1CB515F6"/>
    <w:rsid w:val="1D3E4267"/>
    <w:rsid w:val="1DC87348"/>
    <w:rsid w:val="1DDC7CBA"/>
    <w:rsid w:val="1DF77DC1"/>
    <w:rsid w:val="1DF92FB2"/>
    <w:rsid w:val="1E116D00"/>
    <w:rsid w:val="1E6C18DC"/>
    <w:rsid w:val="1E7D5D04"/>
    <w:rsid w:val="1EAD49C0"/>
    <w:rsid w:val="1ED1023E"/>
    <w:rsid w:val="1ED61AE4"/>
    <w:rsid w:val="1EE42881"/>
    <w:rsid w:val="1FEF2D12"/>
    <w:rsid w:val="20062021"/>
    <w:rsid w:val="20067CE1"/>
    <w:rsid w:val="201C6070"/>
    <w:rsid w:val="20B81625"/>
    <w:rsid w:val="20DB1848"/>
    <w:rsid w:val="20EA3839"/>
    <w:rsid w:val="20FF5038"/>
    <w:rsid w:val="21182154"/>
    <w:rsid w:val="212F583E"/>
    <w:rsid w:val="213C2502"/>
    <w:rsid w:val="21FF50C2"/>
    <w:rsid w:val="22482F0D"/>
    <w:rsid w:val="22594775"/>
    <w:rsid w:val="22682C67"/>
    <w:rsid w:val="229B2426"/>
    <w:rsid w:val="22A87507"/>
    <w:rsid w:val="22AD06FF"/>
    <w:rsid w:val="22BC71E8"/>
    <w:rsid w:val="231A51C1"/>
    <w:rsid w:val="23616034"/>
    <w:rsid w:val="23897339"/>
    <w:rsid w:val="238B212F"/>
    <w:rsid w:val="23A128D5"/>
    <w:rsid w:val="23B332D3"/>
    <w:rsid w:val="23C14D25"/>
    <w:rsid w:val="23DF2E9E"/>
    <w:rsid w:val="24241B43"/>
    <w:rsid w:val="24967F5F"/>
    <w:rsid w:val="24ED56A6"/>
    <w:rsid w:val="25044FC2"/>
    <w:rsid w:val="2589388C"/>
    <w:rsid w:val="25D52D09"/>
    <w:rsid w:val="25FC0B73"/>
    <w:rsid w:val="26092728"/>
    <w:rsid w:val="26373F08"/>
    <w:rsid w:val="266206C6"/>
    <w:rsid w:val="26B1342E"/>
    <w:rsid w:val="26EA00EF"/>
    <w:rsid w:val="26EA71E9"/>
    <w:rsid w:val="26EB3E67"/>
    <w:rsid w:val="271352BE"/>
    <w:rsid w:val="27716A62"/>
    <w:rsid w:val="27CA4388"/>
    <w:rsid w:val="27CE7A10"/>
    <w:rsid w:val="27DD2824"/>
    <w:rsid w:val="27EA4753"/>
    <w:rsid w:val="27F8683B"/>
    <w:rsid w:val="27FA253C"/>
    <w:rsid w:val="27FD20A3"/>
    <w:rsid w:val="28416802"/>
    <w:rsid w:val="286363AA"/>
    <w:rsid w:val="288527C5"/>
    <w:rsid w:val="2891565F"/>
    <w:rsid w:val="28B22E8E"/>
    <w:rsid w:val="28BF50C6"/>
    <w:rsid w:val="28CE2148"/>
    <w:rsid w:val="28EC1051"/>
    <w:rsid w:val="28EC5824"/>
    <w:rsid w:val="28EF3AAA"/>
    <w:rsid w:val="29410CC1"/>
    <w:rsid w:val="297A100D"/>
    <w:rsid w:val="29883BEF"/>
    <w:rsid w:val="2A351FC9"/>
    <w:rsid w:val="2A44045E"/>
    <w:rsid w:val="2A816FBC"/>
    <w:rsid w:val="2ACA0963"/>
    <w:rsid w:val="2ACA6CDE"/>
    <w:rsid w:val="2B0D0850"/>
    <w:rsid w:val="2B674404"/>
    <w:rsid w:val="2B875348"/>
    <w:rsid w:val="2BA4714E"/>
    <w:rsid w:val="2BD17ACF"/>
    <w:rsid w:val="2BE35CD1"/>
    <w:rsid w:val="2C704C33"/>
    <w:rsid w:val="2D2E0549"/>
    <w:rsid w:val="2D2F0944"/>
    <w:rsid w:val="2D4E65AE"/>
    <w:rsid w:val="2D630916"/>
    <w:rsid w:val="2E585E2C"/>
    <w:rsid w:val="2E951288"/>
    <w:rsid w:val="2EA16A1B"/>
    <w:rsid w:val="2EC92CDF"/>
    <w:rsid w:val="2EDF69A7"/>
    <w:rsid w:val="2F155F25"/>
    <w:rsid w:val="2F414F6C"/>
    <w:rsid w:val="2F9B28CE"/>
    <w:rsid w:val="2FEE6CC6"/>
    <w:rsid w:val="30010090"/>
    <w:rsid w:val="303460D0"/>
    <w:rsid w:val="30756A6C"/>
    <w:rsid w:val="309C68FD"/>
    <w:rsid w:val="30B579BF"/>
    <w:rsid w:val="30BF2491"/>
    <w:rsid w:val="31197231"/>
    <w:rsid w:val="314E571E"/>
    <w:rsid w:val="318E1FAA"/>
    <w:rsid w:val="319420ED"/>
    <w:rsid w:val="31F75DB5"/>
    <w:rsid w:val="327F0285"/>
    <w:rsid w:val="32834BDC"/>
    <w:rsid w:val="32F02F31"/>
    <w:rsid w:val="33653513"/>
    <w:rsid w:val="33C42865"/>
    <w:rsid w:val="33C6541B"/>
    <w:rsid w:val="33CD5020"/>
    <w:rsid w:val="33F205B2"/>
    <w:rsid w:val="33F627C9"/>
    <w:rsid w:val="34047893"/>
    <w:rsid w:val="34675474"/>
    <w:rsid w:val="34794898"/>
    <w:rsid w:val="349A1906"/>
    <w:rsid w:val="34A24B74"/>
    <w:rsid w:val="34E7421E"/>
    <w:rsid w:val="353115DE"/>
    <w:rsid w:val="35380BBF"/>
    <w:rsid w:val="354C773B"/>
    <w:rsid w:val="355E09E6"/>
    <w:rsid w:val="35833820"/>
    <w:rsid w:val="35B542E8"/>
    <w:rsid w:val="35E33314"/>
    <w:rsid w:val="36793B24"/>
    <w:rsid w:val="36D6068F"/>
    <w:rsid w:val="374C5E8C"/>
    <w:rsid w:val="37734CD2"/>
    <w:rsid w:val="38432F63"/>
    <w:rsid w:val="3852768E"/>
    <w:rsid w:val="387E4B3B"/>
    <w:rsid w:val="388060BC"/>
    <w:rsid w:val="38A02D03"/>
    <w:rsid w:val="38B247E4"/>
    <w:rsid w:val="38E70932"/>
    <w:rsid w:val="390019F4"/>
    <w:rsid w:val="3977300E"/>
    <w:rsid w:val="39921B3C"/>
    <w:rsid w:val="3995213C"/>
    <w:rsid w:val="3A3E7B24"/>
    <w:rsid w:val="3A8744A4"/>
    <w:rsid w:val="3AA06EC0"/>
    <w:rsid w:val="3ABB781E"/>
    <w:rsid w:val="3B1319C2"/>
    <w:rsid w:val="3B550D33"/>
    <w:rsid w:val="3B5F6BA9"/>
    <w:rsid w:val="3B626996"/>
    <w:rsid w:val="3B8E58F4"/>
    <w:rsid w:val="3B953BB6"/>
    <w:rsid w:val="3B961E69"/>
    <w:rsid w:val="3BD4592E"/>
    <w:rsid w:val="3C145EE2"/>
    <w:rsid w:val="3C681D8A"/>
    <w:rsid w:val="3C8249BF"/>
    <w:rsid w:val="3C905B70"/>
    <w:rsid w:val="3CB60044"/>
    <w:rsid w:val="3CBE62EC"/>
    <w:rsid w:val="3CC15E43"/>
    <w:rsid w:val="3CE134AF"/>
    <w:rsid w:val="3CEC4769"/>
    <w:rsid w:val="3D9646D4"/>
    <w:rsid w:val="3DCD5342"/>
    <w:rsid w:val="3E492A9D"/>
    <w:rsid w:val="3E886713"/>
    <w:rsid w:val="3F0A7C77"/>
    <w:rsid w:val="3F636838"/>
    <w:rsid w:val="3F845B02"/>
    <w:rsid w:val="3FC7515B"/>
    <w:rsid w:val="4085718A"/>
    <w:rsid w:val="40AC39CF"/>
    <w:rsid w:val="40B01F51"/>
    <w:rsid w:val="40DC745F"/>
    <w:rsid w:val="40EE65D6"/>
    <w:rsid w:val="410A1661"/>
    <w:rsid w:val="411640D2"/>
    <w:rsid w:val="41326E0A"/>
    <w:rsid w:val="414B6458"/>
    <w:rsid w:val="417E656E"/>
    <w:rsid w:val="41AE6491"/>
    <w:rsid w:val="41E76F4F"/>
    <w:rsid w:val="420B38E3"/>
    <w:rsid w:val="42C4613D"/>
    <w:rsid w:val="42E47CD2"/>
    <w:rsid w:val="430673EB"/>
    <w:rsid w:val="440D726D"/>
    <w:rsid w:val="4433402D"/>
    <w:rsid w:val="44580936"/>
    <w:rsid w:val="447B63D2"/>
    <w:rsid w:val="452675ED"/>
    <w:rsid w:val="4563675D"/>
    <w:rsid w:val="45963E45"/>
    <w:rsid w:val="45986C55"/>
    <w:rsid w:val="459F5CA0"/>
    <w:rsid w:val="467E11BD"/>
    <w:rsid w:val="46A02F49"/>
    <w:rsid w:val="46B02CAB"/>
    <w:rsid w:val="46D36999"/>
    <w:rsid w:val="46E44703"/>
    <w:rsid w:val="47254212"/>
    <w:rsid w:val="474402DF"/>
    <w:rsid w:val="47BA22EE"/>
    <w:rsid w:val="47CA56A6"/>
    <w:rsid w:val="47D77DC3"/>
    <w:rsid w:val="47FF65F5"/>
    <w:rsid w:val="483D056E"/>
    <w:rsid w:val="487B71E0"/>
    <w:rsid w:val="48A60735"/>
    <w:rsid w:val="48F0738F"/>
    <w:rsid w:val="492B486B"/>
    <w:rsid w:val="49311309"/>
    <w:rsid w:val="49557CE1"/>
    <w:rsid w:val="49A563CB"/>
    <w:rsid w:val="4A031344"/>
    <w:rsid w:val="4A362F02"/>
    <w:rsid w:val="4A730277"/>
    <w:rsid w:val="4AD60806"/>
    <w:rsid w:val="4B1230D9"/>
    <w:rsid w:val="4B3650A3"/>
    <w:rsid w:val="4B897627"/>
    <w:rsid w:val="4B8D35BB"/>
    <w:rsid w:val="4B9C1A50"/>
    <w:rsid w:val="4B9F32EE"/>
    <w:rsid w:val="4BC904B5"/>
    <w:rsid w:val="4C1A7C8C"/>
    <w:rsid w:val="4C313CB5"/>
    <w:rsid w:val="4C325706"/>
    <w:rsid w:val="4C4B0D80"/>
    <w:rsid w:val="4C8035EC"/>
    <w:rsid w:val="4C820D73"/>
    <w:rsid w:val="4C8D1398"/>
    <w:rsid w:val="4CB15882"/>
    <w:rsid w:val="4CDB65A8"/>
    <w:rsid w:val="4CEA2347"/>
    <w:rsid w:val="4CF51418"/>
    <w:rsid w:val="4D01600E"/>
    <w:rsid w:val="4D5A571F"/>
    <w:rsid w:val="4D9E25AB"/>
    <w:rsid w:val="4D9E6AC2"/>
    <w:rsid w:val="4DB841F3"/>
    <w:rsid w:val="4E2600E5"/>
    <w:rsid w:val="4E3A452E"/>
    <w:rsid w:val="4E467A51"/>
    <w:rsid w:val="4E5239F2"/>
    <w:rsid w:val="4EA50C1B"/>
    <w:rsid w:val="4EFA45AB"/>
    <w:rsid w:val="4F781E8C"/>
    <w:rsid w:val="4F9C7B5B"/>
    <w:rsid w:val="505B0E86"/>
    <w:rsid w:val="50C03AEB"/>
    <w:rsid w:val="50D3475E"/>
    <w:rsid w:val="50D86C3F"/>
    <w:rsid w:val="51321D6B"/>
    <w:rsid w:val="519A258E"/>
    <w:rsid w:val="51A52CE0"/>
    <w:rsid w:val="51FB3908"/>
    <w:rsid w:val="52224331"/>
    <w:rsid w:val="52554706"/>
    <w:rsid w:val="52D977C5"/>
    <w:rsid w:val="53755FB2"/>
    <w:rsid w:val="53C03E02"/>
    <w:rsid w:val="53E126F6"/>
    <w:rsid w:val="54316AAD"/>
    <w:rsid w:val="543C16DA"/>
    <w:rsid w:val="549C32EC"/>
    <w:rsid w:val="549E05E7"/>
    <w:rsid w:val="54AA18B8"/>
    <w:rsid w:val="54E12281"/>
    <w:rsid w:val="550146D2"/>
    <w:rsid w:val="55627866"/>
    <w:rsid w:val="55EA2C7C"/>
    <w:rsid w:val="56332FB1"/>
    <w:rsid w:val="56417E01"/>
    <w:rsid w:val="56823F62"/>
    <w:rsid w:val="574134AB"/>
    <w:rsid w:val="57631674"/>
    <w:rsid w:val="576D604E"/>
    <w:rsid w:val="57B27F05"/>
    <w:rsid w:val="582D632A"/>
    <w:rsid w:val="58403763"/>
    <w:rsid w:val="58BA3515"/>
    <w:rsid w:val="59734EC6"/>
    <w:rsid w:val="5A037476"/>
    <w:rsid w:val="5A995821"/>
    <w:rsid w:val="5B5F4821"/>
    <w:rsid w:val="5B6F6839"/>
    <w:rsid w:val="5B8F36B6"/>
    <w:rsid w:val="5BD4669C"/>
    <w:rsid w:val="5BE86A37"/>
    <w:rsid w:val="5C546007"/>
    <w:rsid w:val="5C773175"/>
    <w:rsid w:val="5CDA5F34"/>
    <w:rsid w:val="5D7A432E"/>
    <w:rsid w:val="5DA16A52"/>
    <w:rsid w:val="5DFC45BE"/>
    <w:rsid w:val="5E111E29"/>
    <w:rsid w:val="5E6572D0"/>
    <w:rsid w:val="5E9A0DA4"/>
    <w:rsid w:val="5EE25574"/>
    <w:rsid w:val="5EEC63F2"/>
    <w:rsid w:val="5F04373C"/>
    <w:rsid w:val="5F386A52"/>
    <w:rsid w:val="5FB40CBE"/>
    <w:rsid w:val="5FC47BB7"/>
    <w:rsid w:val="5FE06B82"/>
    <w:rsid w:val="60D97502"/>
    <w:rsid w:val="60F32EED"/>
    <w:rsid w:val="61283090"/>
    <w:rsid w:val="61301D12"/>
    <w:rsid w:val="615C160D"/>
    <w:rsid w:val="61D271D5"/>
    <w:rsid w:val="623E0D13"/>
    <w:rsid w:val="62764951"/>
    <w:rsid w:val="62B248B2"/>
    <w:rsid w:val="62C846BC"/>
    <w:rsid w:val="62DD677E"/>
    <w:rsid w:val="631C06B9"/>
    <w:rsid w:val="63220D61"/>
    <w:rsid w:val="64116C4D"/>
    <w:rsid w:val="64366F7F"/>
    <w:rsid w:val="644545DB"/>
    <w:rsid w:val="649D61FE"/>
    <w:rsid w:val="64E831B8"/>
    <w:rsid w:val="6557422E"/>
    <w:rsid w:val="656211BC"/>
    <w:rsid w:val="65663CED"/>
    <w:rsid w:val="656B0071"/>
    <w:rsid w:val="66100C18"/>
    <w:rsid w:val="664204BE"/>
    <w:rsid w:val="672F06E5"/>
    <w:rsid w:val="67977F3E"/>
    <w:rsid w:val="686139AD"/>
    <w:rsid w:val="68B24209"/>
    <w:rsid w:val="68E02F0F"/>
    <w:rsid w:val="68F1591B"/>
    <w:rsid w:val="6951757E"/>
    <w:rsid w:val="695D1034"/>
    <w:rsid w:val="697D4817"/>
    <w:rsid w:val="69DB153D"/>
    <w:rsid w:val="6A843983"/>
    <w:rsid w:val="6A844B7F"/>
    <w:rsid w:val="6A86074E"/>
    <w:rsid w:val="6AE17106"/>
    <w:rsid w:val="6B154AFE"/>
    <w:rsid w:val="6B166CD1"/>
    <w:rsid w:val="6B2D0DA1"/>
    <w:rsid w:val="6C4C0451"/>
    <w:rsid w:val="6D612F1C"/>
    <w:rsid w:val="6DAB3230"/>
    <w:rsid w:val="6E3D6D0E"/>
    <w:rsid w:val="6E586D17"/>
    <w:rsid w:val="6E663ACB"/>
    <w:rsid w:val="6E697118"/>
    <w:rsid w:val="6E7F1DED"/>
    <w:rsid w:val="6ED722D3"/>
    <w:rsid w:val="6F653C2E"/>
    <w:rsid w:val="6FA10B33"/>
    <w:rsid w:val="6FB72105"/>
    <w:rsid w:val="6FCD4ADE"/>
    <w:rsid w:val="704C7C8B"/>
    <w:rsid w:val="7185070D"/>
    <w:rsid w:val="71BB412E"/>
    <w:rsid w:val="71C11019"/>
    <w:rsid w:val="71D451F0"/>
    <w:rsid w:val="71ED7853"/>
    <w:rsid w:val="72086C48"/>
    <w:rsid w:val="720A6E02"/>
    <w:rsid w:val="72163567"/>
    <w:rsid w:val="72184D10"/>
    <w:rsid w:val="72346674"/>
    <w:rsid w:val="7240454E"/>
    <w:rsid w:val="72494802"/>
    <w:rsid w:val="725344F3"/>
    <w:rsid w:val="72E007FB"/>
    <w:rsid w:val="731B0FAB"/>
    <w:rsid w:val="732E26DE"/>
    <w:rsid w:val="734D7008"/>
    <w:rsid w:val="734F36E2"/>
    <w:rsid w:val="746A3BEA"/>
    <w:rsid w:val="746E765E"/>
    <w:rsid w:val="748C3B60"/>
    <w:rsid w:val="74933140"/>
    <w:rsid w:val="74DD616A"/>
    <w:rsid w:val="75143CB6"/>
    <w:rsid w:val="75AE0C71"/>
    <w:rsid w:val="75D0079E"/>
    <w:rsid w:val="767174B1"/>
    <w:rsid w:val="76766876"/>
    <w:rsid w:val="76B56913"/>
    <w:rsid w:val="76C75323"/>
    <w:rsid w:val="771B1C48"/>
    <w:rsid w:val="77440722"/>
    <w:rsid w:val="77600FD1"/>
    <w:rsid w:val="777F045A"/>
    <w:rsid w:val="77CA54AF"/>
    <w:rsid w:val="77F35CA4"/>
    <w:rsid w:val="77F9775E"/>
    <w:rsid w:val="78994A9D"/>
    <w:rsid w:val="78E0447A"/>
    <w:rsid w:val="79387AF1"/>
    <w:rsid w:val="79AE6327"/>
    <w:rsid w:val="79BC0732"/>
    <w:rsid w:val="79C618C2"/>
    <w:rsid w:val="7AD149C3"/>
    <w:rsid w:val="7AD61FD9"/>
    <w:rsid w:val="7B0271A1"/>
    <w:rsid w:val="7B113011"/>
    <w:rsid w:val="7B5B428C"/>
    <w:rsid w:val="7B8545C4"/>
    <w:rsid w:val="7BFF10BB"/>
    <w:rsid w:val="7C6A0A0D"/>
    <w:rsid w:val="7CB06B46"/>
    <w:rsid w:val="7CCD7BB9"/>
    <w:rsid w:val="7CE54755"/>
    <w:rsid w:val="7CEA6FFD"/>
    <w:rsid w:val="7CF746BB"/>
    <w:rsid w:val="7D0821F2"/>
    <w:rsid w:val="7D0B1159"/>
    <w:rsid w:val="7D0B583E"/>
    <w:rsid w:val="7D242CD4"/>
    <w:rsid w:val="7DC51384"/>
    <w:rsid w:val="7E587B76"/>
    <w:rsid w:val="7EAC0F34"/>
    <w:rsid w:val="7EFE27D8"/>
    <w:rsid w:val="7F3B68AE"/>
    <w:rsid w:val="7F5170A0"/>
    <w:rsid w:val="7F662E3B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200" w:afterAutospacing="0"/>
      <w:ind w:left="0" w:right="0"/>
    </w:pPr>
    <w:rPr>
      <w:rFonts w:hint="eastAsia" w:ascii="Cambria" w:hAnsi="Cambria" w:eastAsia="Cambria" w:cs="Cambria"/>
      <w:sz w:val="24"/>
      <w:szCs w:val="24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font31"/>
    <w:basedOn w:val="6"/>
    <w:qFormat/>
    <w:uiPriority w:val="0"/>
    <w:rPr>
      <w:rFonts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9">
    <w:name w:val="font41"/>
    <w:basedOn w:val="6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51"/>
    <w:basedOn w:val="6"/>
    <w:qFormat/>
    <w:uiPriority w:val="0"/>
    <w:rPr>
      <w:rFonts w:ascii="Arial" w:hAnsi="Arial" w:cs="Arial"/>
      <w:color w:val="000000"/>
      <w:sz w:val="6"/>
      <w:szCs w:val="6"/>
      <w:u w:val="none"/>
    </w:rPr>
  </w:style>
  <w:style w:type="table" w:customStyle="1" w:styleId="11">
    <w:name w:val="List Table 1 Light"/>
    <w:basedOn w:val="4"/>
    <w:autoRedefine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12">
    <w:name w:val="First Paragraph"/>
    <w:basedOn w:val="2"/>
    <w:next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461</Words>
  <Characters>2659</Characters>
  <Lines>0</Lines>
  <Paragraphs>0</Paragraphs>
  <TotalTime>0</TotalTime>
  <ScaleCrop>false</ScaleCrop>
  <LinksUpToDate>false</LinksUpToDate>
  <CharactersWithSpaces>2967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李翔</cp:lastModifiedBy>
  <dcterms:modified xsi:type="dcterms:W3CDTF">2026-04-27T13:58:21Z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866817F6BD66483FA9FFE7D521106468_12</vt:lpwstr>
  </property>
  <property fmtid="{D5CDD505-2E9C-101B-9397-08002B2CF9AE}" pid="4" name="KSOTemplateDocerSaveRecord">
    <vt:lpwstr>eyJoZGlkIjoiNTU0ZmIwYTQ3NzlmZGUxZmU3Zjk0M2IyZTNmM2IxNjAiLCJ1c2VySWQiOiI0MjEyNjEwMzcifQ==</vt:lpwstr>
  </property>
</Properties>
</file>