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00B" w:rsidRDefault="0037400B" w:rsidP="0037400B">
      <w:r>
        <w:rPr>
          <w:rFonts w:ascii="Arial" w:eastAsia="Arial" w:hAnsi="Arial" w:cs="Arial"/>
          <w:b/>
          <w:bCs/>
        </w:rPr>
        <w:t>Supplementary Table S1. ICD-10-CM Diagnosis Codes, CPT Procedure Codes, and Outcome Definitions</w:t>
      </w:r>
    </w:p>
    <w:p w:rsidR="0037400B" w:rsidRDefault="0037400B" w:rsidP="0037400B">
      <w:pPr>
        <w:spacing w:after="120"/>
      </w:pPr>
      <w:r>
        <w:rPr>
          <w:rFonts w:ascii="Arial" w:eastAsia="Arial" w:hAnsi="Arial" w:cs="Arial"/>
          <w:color w:val="444444"/>
          <w:sz w:val="18"/>
          <w:szCs w:val="18"/>
        </w:rPr>
        <w:t xml:space="preserve">Coded </w:t>
      </w:r>
      <w:proofErr w:type="spellStart"/>
      <w:r>
        <w:rPr>
          <w:rFonts w:ascii="Arial" w:eastAsia="Arial" w:hAnsi="Arial" w:cs="Arial"/>
          <w:color w:val="444444"/>
          <w:sz w:val="18"/>
          <w:szCs w:val="18"/>
        </w:rPr>
        <w:t>steatotic</w:t>
      </w:r>
      <w:proofErr w:type="spellEnd"/>
      <w:r>
        <w:rPr>
          <w:rFonts w:ascii="Arial" w:eastAsia="Arial" w:hAnsi="Arial" w:cs="Arial"/>
          <w:color w:val="444444"/>
          <w:sz w:val="18"/>
          <w:szCs w:val="18"/>
        </w:rPr>
        <w:t xml:space="preserve"> liver disease and PCI outcomes in non-diabetic adults — </w:t>
      </w:r>
      <w:proofErr w:type="spellStart"/>
      <w:r>
        <w:rPr>
          <w:rFonts w:ascii="Arial" w:eastAsia="Arial" w:hAnsi="Arial" w:cs="Arial"/>
          <w:color w:val="444444"/>
          <w:sz w:val="18"/>
          <w:szCs w:val="18"/>
        </w:rPr>
        <w:t>TriNetX</w:t>
      </w:r>
      <w:proofErr w:type="spellEnd"/>
      <w:r>
        <w:rPr>
          <w:rFonts w:ascii="Arial" w:eastAsia="Arial" w:hAnsi="Arial" w:cs="Arial"/>
          <w:color w:val="444444"/>
          <w:sz w:val="18"/>
          <w:szCs w:val="18"/>
        </w:rPr>
        <w:t xml:space="preserve"> US Collaborative Network (2014–2023)</w:t>
      </w:r>
    </w:p>
    <w:tbl>
      <w:tblPr>
        <w:tblStyle w:val="a2"/>
        <w:tblW w:w="12100" w:type="dxa"/>
        <w:tblInd w:w="0" w:type="dxa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ayout w:type="fixed"/>
        <w:tblLook w:val="04A0" w:firstRow="1" w:lastRow="0" w:firstColumn="1" w:lastColumn="0" w:noHBand="0" w:noVBand="1"/>
      </w:tblPr>
      <w:tblGrid>
        <w:gridCol w:w="1500"/>
        <w:gridCol w:w="8400"/>
        <w:gridCol w:w="2200"/>
      </w:tblGrid>
      <w:tr w:rsidR="0037400B" w:rsidTr="00F11C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pPr>
              <w:jc w:val="center"/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Code</w:t>
            </w:r>
          </w:p>
        </w:tc>
        <w:tc>
          <w:tcPr>
            <w:tcW w:w="8400" w:type="dxa"/>
          </w:tcPr>
          <w:p w:rsidR="0037400B" w:rsidRDefault="0037400B" w:rsidP="00F11C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Description</w:t>
            </w:r>
          </w:p>
        </w:tc>
        <w:tc>
          <w:tcPr>
            <w:tcW w:w="2200" w:type="dxa"/>
          </w:tcPr>
          <w:p w:rsidR="0037400B" w:rsidRDefault="0037400B" w:rsidP="00F11C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Role in Study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00" w:type="dxa"/>
            <w:gridSpan w:val="3"/>
          </w:tcPr>
          <w:p w:rsidR="0037400B" w:rsidRDefault="0037400B" w:rsidP="00F11C5B"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Part A. CPT Procedure Codes — Percutaneous Coronary Intervention (Index Event)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92920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Percutaneous transluminal coronary angioplasty; single major coronary artery or branch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PCI — angioplasty, single vessel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92921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Percutaneous transluminal coronary angioplasty; each additional branch of a major coronary artery (add-on)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PCI — angioplasty, additional branch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92928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Percutaneous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transcatheter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placement of intracoronary stent(s), with coronary angioplasty when performed; single major coronary artery or branch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PCI — stent placement, single vessel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92929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Percutaneous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transcatheter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placement of intracoronary stent(s), with coronary angioplasty when performed; each additional branch of a major coronary artery (add-on)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PCI — stent placement, additional branch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92933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Percutaneous transluminal coronary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atherectomy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, with intracoronary stent, with coronary angioplasty when performed; single major coronary artery or branch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PCI —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atherectomy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with stent, single vessel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92924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Percutaneous transluminal coronary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atherectomy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, with coronary angioplasty when performed; single major coronary artery or branch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PCI —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atherectomy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with angioplasty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92937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Percutaneous transluminal revascularization of or through coronary artery bypass graft (internal mammary, free arterial, venous), any combination of intracoronary stent,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atherectomy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and angioplasty, including distal protection when performed; single vessel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PCI — bypass graft revascularization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92941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Percutaneous transluminal revascularization of acute total/subtotal occlusion during acute myocardial infarction, coronary artery or coronary artery bypass graft, any combination of intracoronary stent,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atherectomy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and angioplasty, including aspiration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thrombectomy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when performed, single vessel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PCI — primary PCI for acute MI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92943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Percutaneous transluminal revascularization of chronic total occlusion, coronary artery, coronary artery branch, or coronary artery bypass graft, any combination of intracoronary stent,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atherectomy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and angioplasty; single vessel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PCI — chronic total occlusion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92972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Percutaneous transluminal coronary lithotripsy (add-on)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PCI — coronary lithotripsy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00" w:type="dxa"/>
            <w:gridSpan w:val="3"/>
          </w:tcPr>
          <w:p w:rsidR="0037400B" w:rsidRDefault="0037400B" w:rsidP="00F11C5B"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Part B. Exposure Definition — ICD-10-CM Codes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00" w:type="dxa"/>
            <w:gridSpan w:val="3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 xml:space="preserve">Inclusion criteria (coded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steatotic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liver disease)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K76.0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Fatty (change of) liver, not elsewhere classified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Exposure (SLD) — required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K75.81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Nonalcoholic steatohepatitis (NASH)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Exposure (SLD) — required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00" w:type="dxa"/>
            <w:gridSpan w:val="3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Exclusion criteria (applied to both cohorts)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E08–E13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Diabetes mellitus (all types)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Exclusion — both cohorts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K74.60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Unspecified cirrhosis of liver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Exclusion — both cohorts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K70.*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Alcoholic liver disease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Exclusion — both cohorts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K72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Hepatic failure, not elsewhere classified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Exclusion — both cohorts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Z94 / Z94.4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Transplanted organ and tissue status / Liver transplant status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Exclusion — both cohorts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C00–C96, C7A, D00–D09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Malignant neoplasms (all sites) and in situ neoplasms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Exclusion — both cohorts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00" w:type="dxa"/>
            <w:gridSpan w:val="3"/>
          </w:tcPr>
          <w:p w:rsidR="0037400B" w:rsidRDefault="0037400B" w:rsidP="00F11C5B"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Part C. Outcome ICD-10-CM Codes (Day 1–365 Post-PCI)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00" w:type="dxa"/>
            <w:gridSpan w:val="3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Primary outcome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—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Deceased (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TriNetX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vital status field)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All-cause mortality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00" w:type="dxa"/>
            <w:gridSpan w:val="3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Secondary outcomes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I21, I22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Acute / subsequent myocardial infarction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MI — incident analysis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I50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Heart failure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Heart failure — incident analysis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I21 + I63 + Deceased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MI, cerebral infarction, or death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3-point MACE — incident analysis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R57.0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Cardiogenic shock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Cardiogenic shock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I46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Cardiac arrest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Cardiac arrest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00" w:type="dxa"/>
            <w:gridSpan w:val="3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>Bleeding composite (13 codes — incident analysis)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K92.0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Hematemesis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Bleeding composite — GI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K92.1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Melena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Bleeding composite — GI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K92.2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Gastrointestinal hemorrhage, unspecified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Bleeding composite — GI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I60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Nontraumatic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subarachnoid hemorrhage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Bleeding composite — intracranial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I61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Nontraumatic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intracerebral hemorrhage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Bleeding composite — intracranial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I62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Other and unspecified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nontraumatic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intracranial hemorrhage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Bleeding composite — intracranial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R58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Hemorrhage, not elsewhere classified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Bleeding composite — nonspecific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I97.41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Intraoperative hemorrhage and hematoma of circulatory system organ complicating circulatory system procedure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Bleeding composite — procedural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I97.410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Intraoperative hemorrhage and hematoma complicating cardiac catheterization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Bleeding composite — procedural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I97.411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Intraoperative hemorrhage and hematoma complicating cardiac bypass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Bleeding composite — procedural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I97.418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Intraoperative hemorrhage and hematoma complicating other circulatory system procedure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Bleeding composite — procedural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I97.42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Intraoperative hemorrhage and hematoma of circulatory system organ complicating other procedure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Bleeding composite — procedural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I97.610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Postprocedural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hemorrhage of circulatory system organ following cardiac catheterization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Bleeding composite — procedural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00" w:type="dxa"/>
            <w:gridSpan w:val="3"/>
          </w:tcPr>
          <w:p w:rsidR="0037400B" w:rsidRDefault="0037400B" w:rsidP="00F11C5B"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Part D. Propensity Score Matching Covariates — ICD-10-CM Diagnostic Codes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00" w:type="dxa"/>
            <w:gridSpan w:val="3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Cardiovascular comorbidities and risk factors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I10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Essential (primary) hypertension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PSM covariate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I25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Chronic ischemic heart disease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PSM covariate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I50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Heart failure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PSM covariate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I48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Atrial fibrillation and flutter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PSM covariate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I63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Cerebral infarction (history)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PSM covariate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E66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Overweight and obesity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PSM covariate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E78.5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Hyperlipidemia, unspecified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PSM covariate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E78.0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Pure hypercholesterolemia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PSM covariate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N18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Chronic kidney disease (all stages)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PSM covariate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K74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Fibrosis and cirrhosis of liver (earlier-stage)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PSM covariate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I21.0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STEMI of anterior wall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PSM covariate — ACS type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I21.1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STEMI of inferior wall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PSM covariate — ACS type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I21.2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STEMI of other sites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PSM covariate — ACS type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I21.3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STEMI of unspecified site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PSM covariate — ACS type</w:t>
            </w:r>
          </w:p>
        </w:tc>
      </w:tr>
      <w:tr w:rsidR="0037400B" w:rsidTr="00F11C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I21.4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Non-ST elevation (NSTEMI) myocardial infarction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PSM covariate — ACS type</w:t>
            </w:r>
          </w:p>
        </w:tc>
      </w:tr>
      <w:tr w:rsidR="0037400B" w:rsidTr="00F11C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:rsidR="0037400B" w:rsidRDefault="0037400B" w:rsidP="00F11C5B">
            <w:r>
              <w:rPr>
                <w:rFonts w:ascii="Arial" w:eastAsia="Arial" w:hAnsi="Arial" w:cs="Arial"/>
                <w:sz w:val="18"/>
                <w:szCs w:val="18"/>
              </w:rPr>
              <w:t>I21.9</w:t>
            </w:r>
          </w:p>
        </w:tc>
        <w:tc>
          <w:tcPr>
            <w:tcW w:w="84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Acute myocardial infarction, unspecified</w:t>
            </w:r>
          </w:p>
        </w:tc>
        <w:tc>
          <w:tcPr>
            <w:tcW w:w="2200" w:type="dxa"/>
          </w:tcPr>
          <w:p w:rsidR="0037400B" w:rsidRDefault="0037400B" w:rsidP="00F11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PSM covariate — ACS type</w:t>
            </w:r>
          </w:p>
        </w:tc>
      </w:tr>
    </w:tbl>
    <w:p w:rsidR="0037400B" w:rsidRDefault="0037400B" w:rsidP="0037400B">
      <w:pPr>
        <w:spacing w:before="160"/>
      </w:pPr>
      <w:r>
        <w:rPr>
          <w:rFonts w:ascii="Arial" w:eastAsia="Arial" w:hAnsi="Arial" w:cs="Arial"/>
          <w:i/>
          <w:iCs/>
          <w:color w:val="444444"/>
          <w:sz w:val="16"/>
          <w:szCs w:val="16"/>
        </w:rPr>
        <w:t xml:space="preserve">Abbreviations: CPT = Current Procedural Terminology; ICD-10-CM = International Classification of Diseases, Tenth Revision, Clinical Modification; IVUS = intravascular ultrasound; OCT = optical coherence tomography; STEMI = ST-elevation myocardial infarction; NSTEMI = non-ST-elevation myocardial infarction; MACE = major adverse cardiovascular events; GI = gastrointestinal; PSM = propensity score matching; SLD = </w:t>
      </w:r>
      <w:proofErr w:type="spellStart"/>
      <w:r>
        <w:rPr>
          <w:rFonts w:ascii="Arial" w:eastAsia="Arial" w:hAnsi="Arial" w:cs="Arial"/>
          <w:i/>
          <w:iCs/>
          <w:color w:val="444444"/>
          <w:sz w:val="16"/>
          <w:szCs w:val="16"/>
        </w:rPr>
        <w:t>steatotic</w:t>
      </w:r>
      <w:proofErr w:type="spellEnd"/>
      <w:r>
        <w:rPr>
          <w:rFonts w:ascii="Arial" w:eastAsia="Arial" w:hAnsi="Arial" w:cs="Arial"/>
          <w:i/>
          <w:iCs/>
          <w:color w:val="444444"/>
          <w:sz w:val="16"/>
          <w:szCs w:val="16"/>
        </w:rPr>
        <w:t xml:space="preserve"> liver disease; ACS = acute coronary syndrome.</w:t>
      </w:r>
    </w:p>
    <w:p w:rsidR="00DF1842" w:rsidRDefault="0037400B">
      <w:bookmarkStart w:id="0" w:name="_GoBack"/>
      <w:bookmarkEnd w:id="0"/>
    </w:p>
    <w:p w:rsidR="0037400B" w:rsidRDefault="0037400B">
      <w:r>
        <w:rPr>
          <w:noProof/>
          <w:lang w:val="en-US"/>
        </w:rPr>
        <w:lastRenderedPageBreak/>
        <w:drawing>
          <wp:inline distT="0" distB="0" distL="0" distR="0" wp14:anchorId="4B404F7F" wp14:editId="7D369E1D">
            <wp:extent cx="5943600" cy="4457700"/>
            <wp:effectExtent l="0" t="0" r="0" b="0"/>
            <wp:docPr id="20034537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453727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740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00B"/>
    <w:rsid w:val="0037400B"/>
    <w:rsid w:val="00DF313B"/>
    <w:rsid w:val="00E8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834CD2-FD06-4E56-8E6D-8C7D287A5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00B"/>
    <w:pPr>
      <w:spacing w:after="0" w:line="240" w:lineRule="auto"/>
    </w:pPr>
    <w:rPr>
      <w:rFonts w:ascii="Times New Roman" w:eastAsia="Times New Roman" w:hAnsi="Times New Roman" w:cs="Times New Roman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2">
    <w:name w:val="a2"/>
    <w:basedOn w:val="TableNormal"/>
    <w:rsid w:val="0037400B"/>
    <w:pPr>
      <w:spacing w:after="0" w:line="240" w:lineRule="auto"/>
    </w:pPr>
    <w:rPr>
      <w:rFonts w:ascii="Times New Roman" w:eastAsia="Times New Roman" w:hAnsi="Times New Roman" w:cs="Times New Roman"/>
      <w:color w:val="7B7B7B"/>
      <w:sz w:val="20"/>
      <w:szCs w:val="20"/>
      <w:lang w:val="en"/>
    </w:rPr>
    <w:tblPr>
      <w:tblStyleRowBandSize w:val="1"/>
      <w:tblStyleColBandSize w:val="1"/>
      <w:tblInd w:w="0" w:type="nil"/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Beberly Providencia</dc:creator>
  <cp:keywords/>
  <dc:description/>
  <cp:lastModifiedBy>Beberly Providencia</cp:lastModifiedBy>
  <cp:revision>1</cp:revision>
  <dcterms:created xsi:type="dcterms:W3CDTF">2026-05-22T03:18:00Z</dcterms:created>
  <dcterms:modified xsi:type="dcterms:W3CDTF">2026-05-22T03:20:00Z</dcterms:modified>
</cp:coreProperties>
</file>