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DBC120">
      <w:pPr>
        <w:spacing w:after="80" w:line="252" w:lineRule="auto"/>
        <w:jc w:val="both"/>
        <w:rPr>
          <w:color w:val="auto"/>
        </w:rPr>
      </w:pPr>
      <w:bookmarkStart w:id="0" w:name="_GoBack"/>
      <w:r>
        <w:rPr>
          <w:rFonts w:ascii="Times New Roman" w:hAnsi="Times New Roman" w:eastAsia="Times New Roman"/>
          <w:b/>
          <w:i w:val="0"/>
          <w:color w:val="auto"/>
          <w:sz w:val="24"/>
        </w:rPr>
        <w:t>Supplementary Material</w:t>
      </w:r>
    </w:p>
    <w:p w14:paraId="04EF963A">
      <w:pPr>
        <w:spacing w:after="60" w:line="252" w:lineRule="auto"/>
        <w:jc w:val="both"/>
        <w:rPr>
          <w:color w:val="auto"/>
        </w:rPr>
      </w:pPr>
      <w:r>
        <w:rPr>
          <w:rFonts w:ascii="Times New Roman" w:hAnsi="Times New Roman" w:eastAsia="Times New Roman"/>
          <w:b/>
          <w:i w:val="0"/>
          <w:color w:val="auto"/>
          <w:sz w:val="21"/>
        </w:rPr>
        <w:t>Supplementary Table 1. Spearman correlations among LAVI, LASr, and LAAV</w:t>
      </w:r>
    </w:p>
    <w:tbl>
      <w:tblPr>
        <w:tblStyle w:val="3"/>
        <w:tblW w:w="49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8"/>
        <w:gridCol w:w="1900"/>
        <w:gridCol w:w="1708"/>
        <w:gridCol w:w="4178"/>
      </w:tblGrid>
      <w:tr w14:paraId="6B73FD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65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03BDB532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5"/>
              </w:rPr>
              <w:t>Variable pair</w:t>
            </w:r>
          </w:p>
        </w:tc>
        <w:tc>
          <w:tcPr>
            <w:tcW w:w="862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371E1EA2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5"/>
              </w:rPr>
              <w:t xml:space="preserve">Spearman </w:t>
            </w:r>
            <w:r>
              <w:rPr>
                <w:rFonts w:ascii="Times New Roman" w:hAnsi="Times New Roman" w:eastAsia="Times New Roman"/>
                <w:b w:val="0"/>
                <w:i/>
                <w:color w:val="auto"/>
                <w:sz w:val="15"/>
              </w:rPr>
              <w:t>r</w:t>
            </w:r>
          </w:p>
        </w:tc>
        <w:tc>
          <w:tcPr>
            <w:tcW w:w="775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267A24A0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/>
                <w:color w:val="auto"/>
                <w:sz w:val="15"/>
              </w:rPr>
              <w:t>P</w:t>
            </w: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5"/>
              </w:rPr>
              <w:t xml:space="preserve"> value</w:t>
            </w:r>
          </w:p>
        </w:tc>
        <w:tc>
          <w:tcPr>
            <w:tcW w:w="1896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07FC1A8D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5"/>
              </w:rPr>
              <w:t>Interpretation</w:t>
            </w:r>
          </w:p>
        </w:tc>
      </w:tr>
      <w:tr w14:paraId="1D4F9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65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205F7C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5"/>
              </w:rPr>
              <w:t>LAVI and LASr</w:t>
            </w:r>
          </w:p>
        </w:tc>
        <w:tc>
          <w:tcPr>
            <w:tcW w:w="862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EC44CC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5"/>
              </w:rPr>
              <w:t>-0.582</w:t>
            </w:r>
          </w:p>
        </w:tc>
        <w:tc>
          <w:tcPr>
            <w:tcW w:w="775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613FFB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5"/>
              </w:rPr>
              <w:t>&lt;0.001</w:t>
            </w:r>
          </w:p>
        </w:tc>
        <w:tc>
          <w:tcPr>
            <w:tcW w:w="1896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203B33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5"/>
              </w:rPr>
              <w:t>Moderate negative correlation</w:t>
            </w:r>
          </w:p>
        </w:tc>
      </w:tr>
      <w:tr w14:paraId="1DDEC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D83F69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5"/>
              </w:rPr>
              <w:t>LAVI and LAAV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64DD31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5"/>
              </w:rPr>
              <w:t>-0.407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75BA54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5"/>
              </w:rPr>
              <w:t>&lt;0.001</w:t>
            </w:r>
          </w:p>
        </w:tc>
        <w:tc>
          <w:tcPr>
            <w:tcW w:w="18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8283D1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5"/>
              </w:rPr>
              <w:t>Moderate negative correlation</w:t>
            </w:r>
          </w:p>
        </w:tc>
      </w:tr>
      <w:tr w14:paraId="4C97D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65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04FBD074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5"/>
              </w:rPr>
              <w:t>LASr and LAAV</w:t>
            </w:r>
          </w:p>
        </w:tc>
        <w:tc>
          <w:tcPr>
            <w:tcW w:w="862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59868DF4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5"/>
              </w:rPr>
              <w:t>0.468</w:t>
            </w:r>
          </w:p>
        </w:tc>
        <w:tc>
          <w:tcPr>
            <w:tcW w:w="775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31292B7B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5"/>
              </w:rPr>
              <w:t>&lt;0.001</w:t>
            </w:r>
          </w:p>
        </w:tc>
        <w:tc>
          <w:tcPr>
            <w:tcW w:w="1896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786F6E92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5"/>
              </w:rPr>
              <w:t>Moderate positive correlation</w:t>
            </w:r>
          </w:p>
        </w:tc>
      </w:tr>
    </w:tbl>
    <w:p w14:paraId="0210BCA5">
      <w:pPr>
        <w:spacing w:after="100" w:line="252" w:lineRule="auto"/>
        <w:jc w:val="both"/>
        <w:rPr>
          <w:color w:val="auto"/>
        </w:rPr>
      </w:pPr>
      <w:r>
        <w:rPr>
          <w:rFonts w:ascii="Times New Roman" w:hAnsi="Times New Roman" w:eastAsia="Times New Roman"/>
          <w:b w:val="0"/>
          <w:i w:val="0"/>
          <w:color w:val="auto"/>
          <w:sz w:val="16"/>
        </w:rPr>
        <w:t xml:space="preserve">Note: LAVI, left atrial volume index; LASr, left atrial reservoir strain; LAAV, left atrial appendage flow velocity. Spearman </w:t>
      </w:r>
      <w:r>
        <w:rPr>
          <w:rFonts w:ascii="Times New Roman" w:hAnsi="Times New Roman" w:eastAsia="Times New Roman"/>
          <w:b w:val="0"/>
          <w:i/>
          <w:color w:val="auto"/>
          <w:sz w:val="16"/>
        </w:rPr>
        <w:t>r</w:t>
      </w:r>
      <w:r>
        <w:rPr>
          <w:rFonts w:ascii="Times New Roman" w:hAnsi="Times New Roman" w:eastAsia="Times New Roman"/>
          <w:b w:val="0"/>
          <w:i w:val="0"/>
          <w:color w:val="auto"/>
          <w:sz w:val="16"/>
        </w:rPr>
        <w:t xml:space="preserve"> is the rank correlation coefficient; </w:t>
      </w:r>
      <w:r>
        <w:rPr>
          <w:rFonts w:ascii="Times New Roman" w:hAnsi="Times New Roman" w:eastAsia="Times New Roman"/>
          <w:b w:val="0"/>
          <w:i/>
          <w:color w:val="auto"/>
          <w:sz w:val="16"/>
        </w:rPr>
        <w:t>P</w:t>
      </w:r>
      <w:r>
        <w:rPr>
          <w:rFonts w:ascii="Times New Roman" w:hAnsi="Times New Roman" w:eastAsia="Times New Roman"/>
          <w:b w:val="0"/>
          <w:i w:val="0"/>
          <w:color w:val="auto"/>
          <w:sz w:val="16"/>
        </w:rPr>
        <w:t xml:space="preserve"> values were derived from Spearman correlation analysis.</w:t>
      </w:r>
    </w:p>
    <w:p w14:paraId="653DDB9C">
      <w:pPr>
        <w:spacing w:after="60" w:line="252" w:lineRule="auto"/>
        <w:jc w:val="both"/>
        <w:rPr>
          <w:color w:val="auto"/>
        </w:rPr>
      </w:pPr>
      <w:r>
        <w:rPr>
          <w:rFonts w:ascii="Times New Roman" w:hAnsi="Times New Roman" w:eastAsia="Times New Roman"/>
          <w:b/>
          <w:i w:val="0"/>
          <w:color w:val="auto"/>
          <w:sz w:val="21"/>
        </w:rPr>
        <w:t>Supplementary Table 2. VIFs of variables in the main Cox model</w:t>
      </w:r>
    </w:p>
    <w:tbl>
      <w:tblPr>
        <w:tblStyle w:val="3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62"/>
        <w:gridCol w:w="2754"/>
      </w:tblGrid>
      <w:tr w14:paraId="57FE60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50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02203712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5"/>
              </w:rPr>
              <w:t>Variable</w:t>
            </w:r>
          </w:p>
        </w:tc>
        <w:tc>
          <w:tcPr>
            <w:tcW w:w="1250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64F015B1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5"/>
              </w:rPr>
              <w:t>VIF</w:t>
            </w:r>
          </w:p>
        </w:tc>
      </w:tr>
      <w:tr w14:paraId="4DD737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50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D81992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5"/>
              </w:rPr>
              <w:t>Persistent AF</w:t>
            </w:r>
          </w:p>
        </w:tc>
        <w:tc>
          <w:tcPr>
            <w:tcW w:w="1250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451D7A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5"/>
              </w:rPr>
              <w:t>1.34</w:t>
            </w:r>
          </w:p>
        </w:tc>
      </w:tr>
      <w:tr w14:paraId="57CDD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E05795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5"/>
              </w:rPr>
              <w:t>AF duration (per 1-month increase)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0E0304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5"/>
              </w:rPr>
              <w:t>1.29</w:t>
            </w:r>
          </w:p>
        </w:tc>
      </w:tr>
      <w:tr w14:paraId="094E8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B01265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5"/>
              </w:rPr>
              <w:t>LAVI (per 1 mL/m² increase)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22B2AE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5"/>
              </w:rPr>
              <w:t>1.57</w:t>
            </w:r>
          </w:p>
        </w:tc>
      </w:tr>
      <w:tr w14:paraId="06DE3E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CFB4CB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5"/>
              </w:rPr>
              <w:t>LASr (per 1% increase)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50E9D6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5"/>
              </w:rPr>
              <w:t>1.76</w:t>
            </w:r>
          </w:p>
        </w:tc>
      </w:tr>
      <w:tr w14:paraId="3BCD51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5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43B6F37A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5"/>
              </w:rPr>
              <w:t>LAAV (per 1 cm/s increase)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6337651B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5"/>
              </w:rPr>
              <w:t>1.42</w:t>
            </w:r>
          </w:p>
        </w:tc>
      </w:tr>
    </w:tbl>
    <w:p w14:paraId="6EDD12A9">
      <w:pPr>
        <w:spacing w:after="100" w:line="252" w:lineRule="auto"/>
        <w:jc w:val="both"/>
        <w:rPr>
          <w:color w:val="auto"/>
        </w:rPr>
      </w:pPr>
      <w:r>
        <w:rPr>
          <w:rFonts w:ascii="Times New Roman" w:hAnsi="Times New Roman" w:eastAsia="Times New Roman"/>
          <w:b w:val="0"/>
          <w:i w:val="0"/>
          <w:color w:val="auto"/>
          <w:sz w:val="16"/>
        </w:rPr>
        <w:t>Note: VIF, variance inflation factor; Cox, Cox proportional hazards model; AF, atrial fibrillation; LAVI, left atrial volume index; LASr, left atrial reservoir strain; LAAV, left atrial appendage flow velocity. VIF&lt;5 indicated no multicollinearity with a substantial influence.</w:t>
      </w:r>
    </w:p>
    <w:p w14:paraId="23A1FDC0">
      <w:pPr>
        <w:spacing w:after="60" w:line="252" w:lineRule="auto"/>
        <w:jc w:val="both"/>
        <w:rPr>
          <w:color w:val="auto"/>
        </w:rPr>
      </w:pPr>
      <w:r>
        <w:rPr>
          <w:rFonts w:ascii="Times New Roman" w:hAnsi="Times New Roman" w:eastAsia="Times New Roman"/>
          <w:b/>
          <w:i w:val="0"/>
          <w:color w:val="auto"/>
          <w:sz w:val="21"/>
        </w:rPr>
        <w:t>Supplementary Table 3. Completion of follow-up rhythm monitoring</w:t>
      </w:r>
    </w:p>
    <w:tbl>
      <w:tblPr>
        <w:tblStyle w:val="3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89"/>
        <w:gridCol w:w="1781"/>
        <w:gridCol w:w="1944"/>
        <w:gridCol w:w="2105"/>
        <w:gridCol w:w="1297"/>
      </w:tblGrid>
      <w:tr w14:paraId="2A5E6F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64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3A2CB2A6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4"/>
              </w:rPr>
              <w:t>Indicator</w:t>
            </w:r>
          </w:p>
        </w:tc>
        <w:tc>
          <w:tcPr>
            <w:tcW w:w="808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7596CFA0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4"/>
              </w:rPr>
              <w:t>Overall</w:t>
            </w:r>
          </w:p>
        </w:tc>
        <w:tc>
          <w:tcPr>
            <w:tcW w:w="882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0B6ACCC4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4"/>
              </w:rPr>
              <w:t>Recurrence group</w:t>
            </w:r>
            <w:r>
              <w:rPr>
                <w:rFonts w:ascii="Times New Roman" w:hAnsi="Times New Roman" w:eastAsia="Times New Roman"/>
                <w:b w:val="0"/>
                <w:color w:val="auto"/>
              </w:rPr>
              <w:br w:type="textWrapping"/>
            </w: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4"/>
              </w:rPr>
              <w:t>(n=68)</w:t>
            </w:r>
          </w:p>
        </w:tc>
        <w:tc>
          <w:tcPr>
            <w:tcW w:w="955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4A04055B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4"/>
              </w:rPr>
              <w:t>Non-recurrence group</w:t>
            </w:r>
            <w:r>
              <w:rPr>
                <w:rFonts w:ascii="Times New Roman" w:hAnsi="Times New Roman" w:eastAsia="Times New Roman"/>
                <w:b w:val="0"/>
                <w:color w:val="auto"/>
              </w:rPr>
              <w:br w:type="textWrapping"/>
            </w: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4"/>
              </w:rPr>
              <w:t>(n=178)</w:t>
            </w:r>
          </w:p>
        </w:tc>
        <w:tc>
          <w:tcPr>
            <w:tcW w:w="588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048B564F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/>
                <w:color w:val="auto"/>
                <w:sz w:val="14"/>
              </w:rPr>
              <w:t>P</w:t>
            </w: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4"/>
              </w:rPr>
              <w:t xml:space="preserve"> value</w:t>
            </w:r>
          </w:p>
        </w:tc>
      </w:tr>
      <w:tr w14:paraId="3BF3D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64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033ACB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4"/>
              </w:rPr>
              <w:t>Scheduled follow-up completion rate</w:t>
            </w:r>
          </w:p>
        </w:tc>
        <w:tc>
          <w:tcPr>
            <w:tcW w:w="808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AF8B8B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4"/>
              </w:rPr>
              <w:t>236/246 (95.9)</w:t>
            </w:r>
          </w:p>
        </w:tc>
        <w:tc>
          <w:tcPr>
            <w:tcW w:w="882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2153AE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4"/>
              </w:rPr>
              <w:t>65/68 (95.6)</w:t>
            </w:r>
          </w:p>
        </w:tc>
        <w:tc>
          <w:tcPr>
            <w:tcW w:w="955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E710A8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4"/>
              </w:rPr>
              <w:t>171/178 (96.1)</w:t>
            </w:r>
          </w:p>
        </w:tc>
        <w:tc>
          <w:tcPr>
            <w:tcW w:w="588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C2617E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4"/>
              </w:rPr>
              <w:t>0.865</w:t>
            </w:r>
          </w:p>
        </w:tc>
      </w:tr>
      <w:tr w14:paraId="38E4E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19FC22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4"/>
              </w:rPr>
              <w:t>Scheduled ECG recordings per patient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35CC99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4"/>
              </w:rPr>
              <w:t>4.0±1.0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047F5F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4"/>
              </w:rPr>
              <w:t>4.1±1.1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D89C28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4"/>
              </w:rPr>
              <w:t>4.0±1.0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01A84F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4"/>
              </w:rPr>
              <w:t>0.515</w:t>
            </w:r>
          </w:p>
        </w:tc>
      </w:tr>
      <w:tr w14:paraId="76BD7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DBF93A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4"/>
              </w:rPr>
              <w:t>Scheduled 24-h Holter recordings per patient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4666D7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4"/>
              </w:rPr>
              <w:t>3.2±0.8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361B83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4"/>
              </w:rPr>
              <w:t>3.3±0.9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01F096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4"/>
              </w:rPr>
              <w:t>3.2±0.8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5148FE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4"/>
              </w:rPr>
              <w:t>0.424</w:t>
            </w:r>
          </w:p>
        </w:tc>
      </w:tr>
      <w:tr w14:paraId="16CC70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64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76C1963F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4"/>
              </w:rPr>
              <w:t>Symptom-triggered additional ECG or Holter</w:t>
            </w:r>
          </w:p>
        </w:tc>
        <w:tc>
          <w:tcPr>
            <w:tcW w:w="80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3FDDD95A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4"/>
              </w:rPr>
              <w:t>83/246 (33.7)</w:t>
            </w:r>
          </w:p>
        </w:tc>
        <w:tc>
          <w:tcPr>
            <w:tcW w:w="882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0C44F062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4"/>
              </w:rPr>
              <w:t>31/68 (45.6)</w:t>
            </w:r>
          </w:p>
        </w:tc>
        <w:tc>
          <w:tcPr>
            <w:tcW w:w="955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1A5CC4F7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4"/>
              </w:rPr>
              <w:t>52/178 (29.2)</w:t>
            </w:r>
          </w:p>
        </w:tc>
        <w:tc>
          <w:tcPr>
            <w:tcW w:w="58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4D16667B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4"/>
              </w:rPr>
              <w:t>0.015</w:t>
            </w:r>
          </w:p>
        </w:tc>
      </w:tr>
    </w:tbl>
    <w:p w14:paraId="15775E50">
      <w:pPr>
        <w:spacing w:after="100" w:line="252" w:lineRule="auto"/>
        <w:jc w:val="both"/>
        <w:rPr>
          <w:color w:val="auto"/>
        </w:rPr>
      </w:pPr>
      <w:r>
        <w:rPr>
          <w:rFonts w:ascii="Times New Roman" w:hAnsi="Times New Roman" w:eastAsia="Times New Roman"/>
          <w:b w:val="0"/>
          <w:i w:val="0"/>
          <w:color w:val="auto"/>
          <w:sz w:val="16"/>
        </w:rPr>
        <w:t xml:space="preserve">Note: ECG, electrocardiogram; Holter, 24-h ambulatory electrocardiography. Continuous variables are expressed as mean ± standard deviation, and categorical variables as n/N (%). </w:t>
      </w:r>
      <w:r>
        <w:rPr>
          <w:rFonts w:ascii="Times New Roman" w:hAnsi="Times New Roman" w:eastAsia="Times New Roman"/>
          <w:b w:val="0"/>
          <w:i/>
          <w:color w:val="auto"/>
          <w:sz w:val="16"/>
        </w:rPr>
        <w:t>P</w:t>
      </w:r>
      <w:r>
        <w:rPr>
          <w:rFonts w:ascii="Times New Roman" w:hAnsi="Times New Roman" w:eastAsia="Times New Roman"/>
          <w:b w:val="0"/>
          <w:i w:val="0"/>
          <w:color w:val="auto"/>
          <w:sz w:val="16"/>
        </w:rPr>
        <w:t xml:space="preserve"> values were derived from independent-samples </w:t>
      </w:r>
      <w:r>
        <w:rPr>
          <w:rFonts w:ascii="Times New Roman" w:hAnsi="Times New Roman" w:eastAsia="Times New Roman"/>
          <w:b w:val="0"/>
          <w:i/>
          <w:color w:val="auto"/>
          <w:sz w:val="16"/>
        </w:rPr>
        <w:t>t</w:t>
      </w:r>
      <w:r>
        <w:rPr>
          <w:rFonts w:ascii="Times New Roman" w:hAnsi="Times New Roman" w:eastAsia="Times New Roman"/>
          <w:b w:val="0"/>
          <w:i w:val="0"/>
          <w:color w:val="auto"/>
          <w:sz w:val="16"/>
        </w:rPr>
        <w:t xml:space="preserve">-test or </w:t>
      </w:r>
      <w:r>
        <w:rPr>
          <w:rFonts w:ascii="Times New Roman" w:hAnsi="Times New Roman" w:eastAsia="Times New Roman"/>
          <w:b w:val="0"/>
          <w:i/>
          <w:color w:val="auto"/>
          <w:sz w:val="16"/>
        </w:rPr>
        <w:t>χ²</w:t>
      </w:r>
      <w:r>
        <w:rPr>
          <w:rFonts w:ascii="Times New Roman" w:hAnsi="Times New Roman" w:eastAsia="Times New Roman"/>
          <w:b w:val="0"/>
          <w:i w:val="0"/>
          <w:color w:val="auto"/>
          <w:sz w:val="16"/>
        </w:rPr>
        <w:t xml:space="preserve"> test.</w:t>
      </w:r>
    </w:p>
    <w:p w14:paraId="0166DE16">
      <w:pPr>
        <w:spacing w:after="60" w:line="252" w:lineRule="auto"/>
        <w:jc w:val="both"/>
        <w:rPr>
          <w:color w:val="auto"/>
        </w:rPr>
      </w:pPr>
      <w:r>
        <w:rPr>
          <w:rFonts w:ascii="Times New Roman" w:hAnsi="Times New Roman" w:eastAsia="Times New Roman"/>
          <w:b/>
          <w:i w:val="0"/>
          <w:color w:val="auto"/>
          <w:sz w:val="21"/>
        </w:rPr>
        <w:t>Supplementary Table 4. Main model and ridge-penalized Cox sensitivity analysis</w:t>
      </w:r>
    </w:p>
    <w:tbl>
      <w:tblPr>
        <w:tblStyle w:val="3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42"/>
        <w:gridCol w:w="2731"/>
        <w:gridCol w:w="3085"/>
        <w:gridCol w:w="2554"/>
      </w:tblGrid>
      <w:tr w14:paraId="611E1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9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525C389D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4"/>
              </w:rPr>
              <w:t>Variable</w:t>
            </w:r>
          </w:p>
        </w:tc>
        <w:tc>
          <w:tcPr>
            <w:tcW w:w="1239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614CA876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4"/>
              </w:rPr>
              <w:t>Main Cox model HR (95% CI)</w:t>
            </w:r>
          </w:p>
        </w:tc>
        <w:tc>
          <w:tcPr>
            <w:tcW w:w="1400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4F3F4759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4"/>
              </w:rPr>
              <w:t>Ridge-penalized Cox HR (95% CI)</w:t>
            </w:r>
          </w:p>
        </w:tc>
        <w:tc>
          <w:tcPr>
            <w:tcW w:w="1159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72BDC796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4"/>
              </w:rPr>
              <w:t>Consistency interpretation</w:t>
            </w:r>
          </w:p>
        </w:tc>
      </w:tr>
      <w:tr w14:paraId="34BC1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9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BDE6E3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4"/>
              </w:rPr>
              <w:t>Persistent AF</w:t>
            </w:r>
          </w:p>
        </w:tc>
        <w:tc>
          <w:tcPr>
            <w:tcW w:w="1239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7F4A2A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4"/>
              </w:rPr>
              <w:t>1.742 (1.026-2.957)</w:t>
            </w:r>
          </w:p>
        </w:tc>
        <w:tc>
          <w:tcPr>
            <w:tcW w:w="1400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97E678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4"/>
              </w:rPr>
              <w:t>1.681 (1.006-2.808)</w:t>
            </w:r>
          </w:p>
        </w:tc>
        <w:tc>
          <w:tcPr>
            <w:tcW w:w="1159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31716E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4"/>
              </w:rPr>
              <w:t>Consistent direction</w:t>
            </w:r>
          </w:p>
        </w:tc>
      </w:tr>
      <w:tr w14:paraId="7B968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EB625D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4"/>
              </w:rPr>
              <w:t>AF duration</w:t>
            </w:r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5B3EA7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4"/>
              </w:rPr>
              <w:t>1.005 (0.996-1.014)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31A820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4"/>
              </w:rPr>
              <w:t>1.004 (0.996-1.013)</w:t>
            </w:r>
          </w:p>
        </w:tc>
        <w:tc>
          <w:tcPr>
            <w:tcW w:w="11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3D1E92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4"/>
              </w:rPr>
              <w:t>Still nonsignificant</w:t>
            </w:r>
          </w:p>
        </w:tc>
      </w:tr>
      <w:tr w14:paraId="4313A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748FA4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4"/>
              </w:rPr>
              <w:t>LAVI</w:t>
            </w:r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8F2540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4"/>
              </w:rPr>
              <w:t>1.029 (1.003-1.056)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BA26A3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4"/>
              </w:rPr>
              <w:t>1.027 (1.002-1.053)</w:t>
            </w:r>
          </w:p>
        </w:tc>
        <w:tc>
          <w:tcPr>
            <w:tcW w:w="11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69D1B4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4"/>
              </w:rPr>
              <w:t>Consistent direction</w:t>
            </w:r>
          </w:p>
        </w:tc>
      </w:tr>
      <w:tr w14:paraId="0011E3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37C768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4"/>
              </w:rPr>
              <w:t>LASr</w:t>
            </w:r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83CFCC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4"/>
              </w:rPr>
              <w:t>0.891 (0.842-0.943)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2F5A00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4"/>
              </w:rPr>
              <w:t>0.895 (0.849-0.944)</w:t>
            </w:r>
          </w:p>
        </w:tc>
        <w:tc>
          <w:tcPr>
            <w:tcW w:w="11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3003B7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4"/>
              </w:rPr>
              <w:t>Still significant</w:t>
            </w:r>
          </w:p>
        </w:tc>
      </w:tr>
      <w:tr w14:paraId="5738B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9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1B3C470F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4"/>
              </w:rPr>
              <w:t>LAAV</w:t>
            </w:r>
          </w:p>
        </w:tc>
        <w:tc>
          <w:tcPr>
            <w:tcW w:w="1239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6596DA42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4"/>
              </w:rPr>
              <w:t>0.972 (0.956-0.989)</w:t>
            </w:r>
          </w:p>
        </w:tc>
        <w:tc>
          <w:tcPr>
            <w:tcW w:w="140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05533334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4"/>
              </w:rPr>
              <w:t>0.974 (0.959-0.990)</w:t>
            </w:r>
          </w:p>
        </w:tc>
        <w:tc>
          <w:tcPr>
            <w:tcW w:w="1159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0868C9E6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4"/>
              </w:rPr>
              <w:t>Still significant</w:t>
            </w:r>
          </w:p>
        </w:tc>
      </w:tr>
    </w:tbl>
    <w:p w14:paraId="423ED7F9">
      <w:pPr>
        <w:spacing w:after="100" w:line="252" w:lineRule="auto"/>
        <w:jc w:val="both"/>
        <w:rPr>
          <w:color w:val="auto"/>
        </w:rPr>
      </w:pPr>
      <w:r>
        <w:rPr>
          <w:rFonts w:ascii="Times New Roman" w:hAnsi="Times New Roman" w:eastAsia="Times New Roman"/>
          <w:b w:val="0"/>
          <w:i w:val="0"/>
          <w:color w:val="auto"/>
          <w:sz w:val="16"/>
        </w:rPr>
        <w:t>Note: Cox, Cox proportional hazards model; HR, hazard ratio; CI, confidence interval; AF, atrial fibrillation; LAVI, left atrial volume index; LASr, left atrial reservoir strain; LAAV, left atrial appendage flow velocity. Ridge-penalized Cox regression was used to evaluate the robustness of estimates from the main model.</w:t>
      </w:r>
    </w:p>
    <w:p w14:paraId="0100E579">
      <w:pPr>
        <w:spacing w:after="60" w:line="252" w:lineRule="auto"/>
        <w:jc w:val="both"/>
        <w:rPr>
          <w:color w:val="auto"/>
        </w:rPr>
      </w:pPr>
      <w:r>
        <w:rPr>
          <w:rFonts w:ascii="Times New Roman" w:hAnsi="Times New Roman" w:eastAsia="Times New Roman"/>
          <w:b/>
          <w:i w:val="0"/>
          <w:color w:val="auto"/>
          <w:sz w:val="21"/>
        </w:rPr>
        <w:t>Supplementary Table 5. Cox sensitivity analysis adjusted for procedural heterogeneity</w:t>
      </w:r>
    </w:p>
    <w:tbl>
      <w:tblPr>
        <w:tblStyle w:val="3"/>
        <w:tblW w:w="49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39"/>
        <w:gridCol w:w="1708"/>
        <w:gridCol w:w="2848"/>
        <w:gridCol w:w="1519"/>
      </w:tblGrid>
      <w:tr w14:paraId="3A1FD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41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34979272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5"/>
              </w:rPr>
              <w:t>Variable</w:t>
            </w:r>
          </w:p>
        </w:tc>
        <w:tc>
          <w:tcPr>
            <w:tcW w:w="775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40449C09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5"/>
              </w:rPr>
              <w:t>HR</w:t>
            </w:r>
          </w:p>
        </w:tc>
        <w:tc>
          <w:tcPr>
            <w:tcW w:w="1292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50B6FDC3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5"/>
              </w:rPr>
              <w:t>95% CI</w:t>
            </w:r>
          </w:p>
        </w:tc>
        <w:tc>
          <w:tcPr>
            <w:tcW w:w="689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7E1F8C6D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/>
                <w:color w:val="auto"/>
                <w:sz w:val="15"/>
              </w:rPr>
              <w:t>P</w:t>
            </w: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5"/>
              </w:rPr>
              <w:t xml:space="preserve"> value</w:t>
            </w:r>
          </w:p>
        </w:tc>
      </w:tr>
      <w:tr w14:paraId="2443A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41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A2C0E5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5"/>
              </w:rPr>
              <w:t>LASr (per 1% increase)</w:t>
            </w:r>
          </w:p>
        </w:tc>
        <w:tc>
          <w:tcPr>
            <w:tcW w:w="775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3DA005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5"/>
              </w:rPr>
              <w:t>0.894</w:t>
            </w:r>
          </w:p>
        </w:tc>
        <w:tc>
          <w:tcPr>
            <w:tcW w:w="1292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766BE2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5"/>
              </w:rPr>
              <w:t>0.842-0.949</w:t>
            </w:r>
          </w:p>
        </w:tc>
        <w:tc>
          <w:tcPr>
            <w:tcW w:w="689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58875E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5"/>
              </w:rPr>
              <w:t>&lt;0.001</w:t>
            </w:r>
          </w:p>
        </w:tc>
      </w:tr>
      <w:tr w14:paraId="2D322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E076DA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5"/>
              </w:rPr>
              <w:t>LAAV (per 1 cm/s increase)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DE9D21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5"/>
              </w:rPr>
              <w:t>0.973</w:t>
            </w:r>
          </w:p>
        </w:tc>
        <w:tc>
          <w:tcPr>
            <w:tcW w:w="12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001983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5"/>
              </w:rPr>
              <w:t>0.957-0.990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48094A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5"/>
              </w:rPr>
              <w:t>0.002</w:t>
            </w:r>
          </w:p>
        </w:tc>
      </w:tr>
      <w:tr w14:paraId="20685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C7D8F3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5"/>
              </w:rPr>
              <w:t>Any additional ablation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2AC8A8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5"/>
              </w:rPr>
              <w:t>1.184</w:t>
            </w:r>
          </w:p>
        </w:tc>
        <w:tc>
          <w:tcPr>
            <w:tcW w:w="12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3F6F4E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5"/>
              </w:rPr>
              <w:t>0.684-2.052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4F41EB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5"/>
              </w:rPr>
              <w:t>0.546</w:t>
            </w:r>
          </w:p>
        </w:tc>
      </w:tr>
      <w:tr w14:paraId="5A39E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00C1CA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5"/>
              </w:rPr>
              <w:t>Procedure time (per 10-min increase)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207A92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5"/>
              </w:rPr>
              <w:t>1.031</w:t>
            </w:r>
          </w:p>
        </w:tc>
        <w:tc>
          <w:tcPr>
            <w:tcW w:w="12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681C44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5"/>
              </w:rPr>
              <w:t>0.918-1.158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BD394A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5"/>
              </w:rPr>
              <w:t>0.606</w:t>
            </w:r>
          </w:p>
        </w:tc>
      </w:tr>
      <w:tr w14:paraId="41541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D2322D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5"/>
              </w:rPr>
              <w:t>Total number of pulse applications (per 5-application increase)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DA7A7D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5"/>
              </w:rPr>
              <w:t>1.046</w:t>
            </w:r>
          </w:p>
        </w:tc>
        <w:tc>
          <w:tcPr>
            <w:tcW w:w="12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233769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5"/>
              </w:rPr>
              <w:t>0.913-1.200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30F7E3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5"/>
              </w:rPr>
              <w:t>0.518</w:t>
            </w:r>
          </w:p>
        </w:tc>
      </w:tr>
      <w:tr w14:paraId="511FE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451C57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5"/>
              </w:rPr>
              <w:t>Persistent AF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6B8C99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5"/>
              </w:rPr>
              <w:t>1.581</w:t>
            </w:r>
          </w:p>
        </w:tc>
        <w:tc>
          <w:tcPr>
            <w:tcW w:w="12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F82F94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5"/>
              </w:rPr>
              <w:t>0.891-2.805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B8CB99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5"/>
              </w:rPr>
              <w:t>0.117</w:t>
            </w:r>
          </w:p>
        </w:tc>
      </w:tr>
      <w:tr w14:paraId="45B6B6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864E63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5"/>
              </w:rPr>
              <w:t>LAVI (per 1 mL/m² increase)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FC68C6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5"/>
              </w:rPr>
              <w:t>1.025</w:t>
            </w:r>
          </w:p>
        </w:tc>
        <w:tc>
          <w:tcPr>
            <w:tcW w:w="12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F9BC95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5"/>
              </w:rPr>
              <w:t>0.998-1.053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4D0F52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5"/>
              </w:rPr>
              <w:t>0.071</w:t>
            </w:r>
          </w:p>
        </w:tc>
      </w:tr>
      <w:tr w14:paraId="320D5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41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1D708743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5"/>
              </w:rPr>
              <w:t>AF duration (per 1-month increase)</w:t>
            </w:r>
          </w:p>
        </w:tc>
        <w:tc>
          <w:tcPr>
            <w:tcW w:w="775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2D869B5C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5"/>
              </w:rPr>
              <w:t>1.004</w:t>
            </w:r>
          </w:p>
        </w:tc>
        <w:tc>
          <w:tcPr>
            <w:tcW w:w="1292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3068830B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5"/>
              </w:rPr>
              <w:t>0.995-1.013</w:t>
            </w:r>
          </w:p>
        </w:tc>
        <w:tc>
          <w:tcPr>
            <w:tcW w:w="689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4739DABC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5"/>
              </w:rPr>
              <w:t>0.383</w:t>
            </w:r>
          </w:p>
        </w:tc>
      </w:tr>
    </w:tbl>
    <w:p w14:paraId="71722C30">
      <w:pPr>
        <w:spacing w:after="100" w:line="252" w:lineRule="auto"/>
        <w:jc w:val="both"/>
        <w:rPr>
          <w:color w:val="auto"/>
        </w:rPr>
      </w:pPr>
      <w:r>
        <w:rPr>
          <w:rFonts w:ascii="Times New Roman" w:hAnsi="Times New Roman" w:eastAsia="Times New Roman"/>
          <w:b w:val="0"/>
          <w:i w:val="0"/>
          <w:color w:val="auto"/>
          <w:sz w:val="16"/>
        </w:rPr>
        <w:t>Note: HR, hazard ratio; CI, confidence interval; LASr, left atrial reservoir strain; LAAV, left atrial appendage flow velocity; PVI, pulmonary vein isolation; CFAE, complex fractionated atrial electrogram; AF, atrial fibrillation; LAVI, left atrial volume index. HRs were calculated using the Cox sensitivity model adjusted for procedural heterogeneity.</w:t>
      </w:r>
    </w:p>
    <w:p w14:paraId="00FDB046">
      <w:pPr>
        <w:spacing w:after="60" w:line="252" w:lineRule="auto"/>
        <w:jc w:val="both"/>
        <w:rPr>
          <w:color w:val="auto"/>
        </w:rPr>
      </w:pPr>
      <w:r>
        <w:rPr>
          <w:rFonts w:ascii="Times New Roman" w:hAnsi="Times New Roman" w:eastAsia="Times New Roman"/>
          <w:b/>
          <w:i w:val="0"/>
          <w:color w:val="auto"/>
          <w:sz w:val="21"/>
        </w:rPr>
        <w:t>Supplementary Table 6. Exploratory Cox analysis among patients with persistent AF (n=64, events=27)</w:t>
      </w:r>
    </w:p>
    <w:tbl>
      <w:tblPr>
        <w:tblStyle w:val="3"/>
        <w:tblW w:w="49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32"/>
        <w:gridCol w:w="1739"/>
        <w:gridCol w:w="2898"/>
        <w:gridCol w:w="1545"/>
      </w:tblGrid>
      <w:tr w14:paraId="7DCB8E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3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1F560D9A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5"/>
              </w:rPr>
              <w:t>Variable</w:t>
            </w:r>
          </w:p>
        </w:tc>
        <w:tc>
          <w:tcPr>
            <w:tcW w:w="789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49035B90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5"/>
              </w:rPr>
              <w:t>HR</w:t>
            </w:r>
          </w:p>
        </w:tc>
        <w:tc>
          <w:tcPr>
            <w:tcW w:w="1315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10A58970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5"/>
              </w:rPr>
              <w:t>95% CI</w:t>
            </w:r>
          </w:p>
        </w:tc>
        <w:tc>
          <w:tcPr>
            <w:tcW w:w="701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34779906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/>
                <w:color w:val="auto"/>
                <w:sz w:val="15"/>
              </w:rPr>
              <w:t>P</w:t>
            </w: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5"/>
              </w:rPr>
              <w:t xml:space="preserve"> value</w:t>
            </w:r>
          </w:p>
        </w:tc>
      </w:tr>
      <w:tr w14:paraId="5707D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3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7F4882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5"/>
              </w:rPr>
              <w:t>LASr (per 1% increase)</w:t>
            </w:r>
          </w:p>
        </w:tc>
        <w:tc>
          <w:tcPr>
            <w:tcW w:w="789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27E2EC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5"/>
              </w:rPr>
              <w:t>0.902</w:t>
            </w:r>
          </w:p>
        </w:tc>
        <w:tc>
          <w:tcPr>
            <w:tcW w:w="1315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09C392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5"/>
              </w:rPr>
              <w:t>0.817-0.996</w:t>
            </w:r>
          </w:p>
        </w:tc>
        <w:tc>
          <w:tcPr>
            <w:tcW w:w="701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7F6827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5"/>
              </w:rPr>
              <w:t>0.041</w:t>
            </w:r>
          </w:p>
        </w:tc>
      </w:tr>
      <w:tr w14:paraId="7B1BF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1E6222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5"/>
              </w:rPr>
              <w:t>LAAV (per 1 cm/s increase)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7F7E3F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5"/>
              </w:rPr>
              <w:t>0.969</w:t>
            </w:r>
          </w:p>
        </w:tc>
        <w:tc>
          <w:tcPr>
            <w:tcW w:w="13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2CF0C2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5"/>
              </w:rPr>
              <w:t>0.941-0.998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F3F1E3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5"/>
              </w:rPr>
              <w:t>0.037</w:t>
            </w:r>
          </w:p>
        </w:tc>
      </w:tr>
      <w:tr w14:paraId="2C466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72D6EB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5"/>
              </w:rPr>
              <w:t>LAVI (per 1 mL/m² increase)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B7C623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5"/>
              </w:rPr>
              <w:t>1.019</w:t>
            </w:r>
          </w:p>
        </w:tc>
        <w:tc>
          <w:tcPr>
            <w:tcW w:w="13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9B7FD0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5"/>
              </w:rPr>
              <w:t>0.982-1.058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B5B5F7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5"/>
              </w:rPr>
              <w:t>0.316</w:t>
            </w:r>
          </w:p>
        </w:tc>
      </w:tr>
      <w:tr w14:paraId="48E70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3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07B3C48C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5"/>
              </w:rPr>
              <w:t>Any additional ablation</w:t>
            </w:r>
          </w:p>
        </w:tc>
        <w:tc>
          <w:tcPr>
            <w:tcW w:w="789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390B7155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5"/>
              </w:rPr>
              <w:t>1.310</w:t>
            </w:r>
          </w:p>
        </w:tc>
        <w:tc>
          <w:tcPr>
            <w:tcW w:w="1315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3E017121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5"/>
              </w:rPr>
              <w:t>0.502-3.420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14666016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5"/>
              </w:rPr>
              <w:t>0.582</w:t>
            </w:r>
          </w:p>
        </w:tc>
      </w:tr>
    </w:tbl>
    <w:p w14:paraId="394B4D42">
      <w:pPr>
        <w:spacing w:after="100" w:line="252" w:lineRule="auto"/>
        <w:jc w:val="both"/>
        <w:rPr>
          <w:color w:val="auto"/>
        </w:rPr>
      </w:pPr>
      <w:r>
        <w:rPr>
          <w:rFonts w:ascii="Times New Roman" w:hAnsi="Times New Roman" w:eastAsia="Times New Roman"/>
          <w:b w:val="0"/>
          <w:i w:val="0"/>
          <w:color w:val="auto"/>
          <w:sz w:val="16"/>
        </w:rPr>
        <w:t>Note: HR, hazard ratio; CI, confidence interval; LASr, left atrial reservoir strain; LAAV, left atrial appendage flow velocity; LAVI, left atrial volume index. This analysis was limited to patients with persistent AF and represents an exploratory Cox model.</w:t>
      </w:r>
    </w:p>
    <w:p w14:paraId="06998124">
      <w:pPr>
        <w:spacing w:after="60" w:line="252" w:lineRule="auto"/>
        <w:jc w:val="both"/>
        <w:rPr>
          <w:color w:val="auto"/>
        </w:rPr>
      </w:pPr>
      <w:r>
        <w:rPr>
          <w:rFonts w:ascii="Times New Roman" w:hAnsi="Times New Roman" w:eastAsia="Times New Roman"/>
          <w:b/>
          <w:i w:val="0"/>
          <w:color w:val="auto"/>
          <w:sz w:val="21"/>
        </w:rPr>
        <w:t>Supplementary Table 7. Rhythm status during TTE and TEE examinations</w:t>
      </w:r>
    </w:p>
    <w:tbl>
      <w:tblPr>
        <w:tblStyle w:val="3"/>
        <w:tblW w:w="49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59"/>
        <w:gridCol w:w="1864"/>
        <w:gridCol w:w="2032"/>
        <w:gridCol w:w="2204"/>
        <w:gridCol w:w="1355"/>
      </w:tblGrid>
      <w:tr w14:paraId="67C0B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15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5F022506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4"/>
              </w:rPr>
              <w:t>Rhythm during examination</w:t>
            </w:r>
          </w:p>
        </w:tc>
        <w:tc>
          <w:tcPr>
            <w:tcW w:w="846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75C05EBD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4"/>
              </w:rPr>
              <w:t>Overall</w:t>
            </w:r>
            <w:r>
              <w:rPr>
                <w:rFonts w:ascii="Times New Roman" w:hAnsi="Times New Roman" w:eastAsia="Times New Roman"/>
                <w:b w:val="0"/>
                <w:color w:val="auto"/>
              </w:rPr>
              <w:br w:type="textWrapping"/>
            </w: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4"/>
              </w:rPr>
              <w:t>(n=246)</w:t>
            </w:r>
          </w:p>
        </w:tc>
        <w:tc>
          <w:tcPr>
            <w:tcW w:w="922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065F436C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4"/>
              </w:rPr>
              <w:t>Recurrence group</w:t>
            </w:r>
            <w:r>
              <w:rPr>
                <w:rFonts w:ascii="Times New Roman" w:hAnsi="Times New Roman" w:eastAsia="Times New Roman"/>
                <w:b w:val="0"/>
                <w:color w:val="auto"/>
              </w:rPr>
              <w:br w:type="textWrapping"/>
            </w: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4"/>
              </w:rPr>
              <w:t>(n=68)</w:t>
            </w:r>
          </w:p>
        </w:tc>
        <w:tc>
          <w:tcPr>
            <w:tcW w:w="1000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050412DD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4"/>
              </w:rPr>
              <w:t>Non-recurrence group</w:t>
            </w:r>
            <w:r>
              <w:rPr>
                <w:rFonts w:ascii="Times New Roman" w:hAnsi="Times New Roman" w:eastAsia="Times New Roman"/>
                <w:b w:val="0"/>
                <w:color w:val="auto"/>
              </w:rPr>
              <w:br w:type="textWrapping"/>
            </w: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4"/>
              </w:rPr>
              <w:t>(n=178)</w:t>
            </w:r>
          </w:p>
        </w:tc>
        <w:tc>
          <w:tcPr>
            <w:tcW w:w="615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7605C495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/>
                <w:color w:val="auto"/>
                <w:sz w:val="14"/>
              </w:rPr>
              <w:t>P</w:t>
            </w: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4"/>
              </w:rPr>
              <w:t xml:space="preserve"> value</w:t>
            </w:r>
          </w:p>
        </w:tc>
      </w:tr>
      <w:tr w14:paraId="04F2E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15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8FB728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4"/>
              </w:rPr>
              <w:t>Sinus rhythm during TTE</w:t>
            </w:r>
          </w:p>
        </w:tc>
        <w:tc>
          <w:tcPr>
            <w:tcW w:w="846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FCD86D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4"/>
              </w:rPr>
              <w:t>169 (68.7)</w:t>
            </w:r>
          </w:p>
        </w:tc>
        <w:tc>
          <w:tcPr>
            <w:tcW w:w="922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17102C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4"/>
              </w:rPr>
              <w:t>38 (55.9)</w:t>
            </w:r>
          </w:p>
        </w:tc>
        <w:tc>
          <w:tcPr>
            <w:tcW w:w="1000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584597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4"/>
              </w:rPr>
              <w:t>131 (73.6)</w:t>
            </w:r>
          </w:p>
        </w:tc>
        <w:tc>
          <w:tcPr>
            <w:tcW w:w="615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370785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4"/>
              </w:rPr>
              <w:t>0.008</w:t>
            </w:r>
          </w:p>
        </w:tc>
      </w:tr>
      <w:tr w14:paraId="067A3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386DE3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4"/>
              </w:rPr>
              <w:t>AF rhythm during TTE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97F341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4"/>
              </w:rPr>
              <w:t>77 (31.3)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7172BB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4"/>
              </w:rPr>
              <w:t>30 (44.1)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FCC2C1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4"/>
              </w:rPr>
              <w:t>47 (26.4)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7EEA13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4"/>
              </w:rPr>
              <w:t>0.008</w:t>
            </w:r>
          </w:p>
        </w:tc>
      </w:tr>
      <w:tr w14:paraId="69CA7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2FC2BE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4"/>
              </w:rPr>
              <w:t>Sinus rhythm during TEE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0B78A4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4"/>
              </w:rPr>
              <w:t>162 (65.9)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4A05E8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4"/>
              </w:rPr>
              <w:t>35 (51.5)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8A6FD9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4"/>
              </w:rPr>
              <w:t>127 (71.3)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F42786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4"/>
              </w:rPr>
              <w:t>0.004</w:t>
            </w:r>
          </w:p>
        </w:tc>
      </w:tr>
      <w:tr w14:paraId="3E2D2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15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5C2DCC17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4"/>
              </w:rPr>
              <w:t>AF rhythm during TEE</w:t>
            </w:r>
          </w:p>
        </w:tc>
        <w:tc>
          <w:tcPr>
            <w:tcW w:w="846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732DBA82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4"/>
              </w:rPr>
              <w:t>84 (34.1)</w:t>
            </w:r>
          </w:p>
        </w:tc>
        <w:tc>
          <w:tcPr>
            <w:tcW w:w="922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76805040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4"/>
              </w:rPr>
              <w:t>33 (48.5)</w:t>
            </w:r>
          </w:p>
        </w:tc>
        <w:tc>
          <w:tcPr>
            <w:tcW w:w="100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02A45E31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4"/>
              </w:rPr>
              <w:t>51 (28.7)</w:t>
            </w:r>
          </w:p>
        </w:tc>
        <w:tc>
          <w:tcPr>
            <w:tcW w:w="615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3B4AFEA7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4"/>
              </w:rPr>
              <w:t>0.004</w:t>
            </w:r>
          </w:p>
        </w:tc>
      </w:tr>
    </w:tbl>
    <w:p w14:paraId="71ABFD73">
      <w:pPr>
        <w:spacing w:after="100" w:line="252" w:lineRule="auto"/>
        <w:jc w:val="both"/>
        <w:rPr>
          <w:color w:val="auto"/>
        </w:rPr>
      </w:pPr>
      <w:r>
        <w:rPr>
          <w:rFonts w:ascii="Times New Roman" w:hAnsi="Times New Roman" w:eastAsia="Times New Roman"/>
          <w:b w:val="0"/>
          <w:i w:val="0"/>
          <w:color w:val="auto"/>
          <w:sz w:val="16"/>
        </w:rPr>
        <w:t xml:space="preserve">Note: TTE, transthoracic echocardiography; TEE, transesophageal echocardiography; AF, atrial fibrillation. Categorical variables are expressed as n (%); </w:t>
      </w:r>
      <w:r>
        <w:rPr>
          <w:rFonts w:ascii="Times New Roman" w:hAnsi="Times New Roman" w:eastAsia="Times New Roman"/>
          <w:b w:val="0"/>
          <w:i/>
          <w:color w:val="auto"/>
          <w:sz w:val="16"/>
        </w:rPr>
        <w:t>P</w:t>
      </w:r>
      <w:r>
        <w:rPr>
          <w:rFonts w:ascii="Times New Roman" w:hAnsi="Times New Roman" w:eastAsia="Times New Roman"/>
          <w:b w:val="0"/>
          <w:i w:val="0"/>
          <w:color w:val="auto"/>
          <w:sz w:val="16"/>
        </w:rPr>
        <w:t xml:space="preserve"> values were derived from the </w:t>
      </w:r>
      <w:r>
        <w:rPr>
          <w:rFonts w:ascii="Times New Roman" w:hAnsi="Times New Roman" w:eastAsia="Times New Roman"/>
          <w:b w:val="0"/>
          <w:i/>
          <w:color w:val="auto"/>
          <w:sz w:val="16"/>
        </w:rPr>
        <w:t>χ²</w:t>
      </w:r>
      <w:r>
        <w:rPr>
          <w:rFonts w:ascii="Times New Roman" w:hAnsi="Times New Roman" w:eastAsia="Times New Roman"/>
          <w:b w:val="0"/>
          <w:i w:val="0"/>
          <w:color w:val="auto"/>
          <w:sz w:val="16"/>
        </w:rPr>
        <w:t xml:space="preserve"> test.</w:t>
      </w:r>
    </w:p>
    <w:p w14:paraId="4A0D5418">
      <w:pPr>
        <w:spacing w:after="60" w:line="252" w:lineRule="auto"/>
        <w:jc w:val="both"/>
        <w:rPr>
          <w:color w:val="auto"/>
        </w:rPr>
      </w:pPr>
      <w:r>
        <w:rPr>
          <w:rFonts w:ascii="Times New Roman" w:hAnsi="Times New Roman" w:eastAsia="Times New Roman"/>
          <w:b/>
          <w:i w:val="0"/>
          <w:color w:val="auto"/>
          <w:sz w:val="21"/>
        </w:rPr>
        <w:t>Supplementary Table 8. Cox sensitivity analysis adjusted for rhythm status during examination</w:t>
      </w:r>
    </w:p>
    <w:tbl>
      <w:tblPr>
        <w:tblStyle w:val="3"/>
        <w:tblW w:w="49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39"/>
        <w:gridCol w:w="1708"/>
        <w:gridCol w:w="2848"/>
        <w:gridCol w:w="1519"/>
      </w:tblGrid>
      <w:tr w14:paraId="50832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41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568384FA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5"/>
              </w:rPr>
              <w:t>Variable</w:t>
            </w:r>
          </w:p>
        </w:tc>
        <w:tc>
          <w:tcPr>
            <w:tcW w:w="775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229DD9B7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5"/>
              </w:rPr>
              <w:t>HR</w:t>
            </w:r>
          </w:p>
        </w:tc>
        <w:tc>
          <w:tcPr>
            <w:tcW w:w="1292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384E8430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5"/>
              </w:rPr>
              <w:t>95% CI</w:t>
            </w:r>
          </w:p>
        </w:tc>
        <w:tc>
          <w:tcPr>
            <w:tcW w:w="689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001ACABA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/>
                <w:color w:val="auto"/>
                <w:sz w:val="15"/>
              </w:rPr>
              <w:t>P</w:t>
            </w: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5"/>
              </w:rPr>
              <w:t xml:space="preserve"> value</w:t>
            </w:r>
          </w:p>
        </w:tc>
      </w:tr>
      <w:tr w14:paraId="33AB5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41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39E483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5"/>
              </w:rPr>
              <w:t>LASr (per 1% increase)</w:t>
            </w:r>
          </w:p>
        </w:tc>
        <w:tc>
          <w:tcPr>
            <w:tcW w:w="775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8B9B8C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5"/>
              </w:rPr>
              <w:t>0.897</w:t>
            </w:r>
          </w:p>
        </w:tc>
        <w:tc>
          <w:tcPr>
            <w:tcW w:w="1292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A39088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5"/>
              </w:rPr>
              <w:t>0.846-0.951</w:t>
            </w:r>
          </w:p>
        </w:tc>
        <w:tc>
          <w:tcPr>
            <w:tcW w:w="689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A551CD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5"/>
              </w:rPr>
              <w:t>&lt;0.001</w:t>
            </w:r>
          </w:p>
        </w:tc>
      </w:tr>
      <w:tr w14:paraId="72283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560A50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5"/>
              </w:rPr>
              <w:t>LAAV (per 1 cm/s increase)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70C238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5"/>
              </w:rPr>
              <w:t>0.974</w:t>
            </w:r>
          </w:p>
        </w:tc>
        <w:tc>
          <w:tcPr>
            <w:tcW w:w="12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9C56DD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5"/>
              </w:rPr>
              <w:t>0.958-0.990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A7BD7B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5"/>
              </w:rPr>
              <w:t>0.002</w:t>
            </w:r>
          </w:p>
        </w:tc>
      </w:tr>
      <w:tr w14:paraId="02FC3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1AA6DB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5"/>
              </w:rPr>
              <w:t>AF rhythm during TTE examination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630C32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5"/>
              </w:rPr>
              <w:t>1.284</w:t>
            </w:r>
          </w:p>
        </w:tc>
        <w:tc>
          <w:tcPr>
            <w:tcW w:w="12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88F048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5"/>
              </w:rPr>
              <w:t>0.738-2.233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CFE468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5"/>
              </w:rPr>
              <w:t>0.376</w:t>
            </w:r>
          </w:p>
        </w:tc>
      </w:tr>
      <w:tr w14:paraId="73E33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41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4CA305A7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5"/>
              </w:rPr>
              <w:t>AF rhythm during TEE examination</w:t>
            </w:r>
          </w:p>
        </w:tc>
        <w:tc>
          <w:tcPr>
            <w:tcW w:w="775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2F3817EF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5"/>
              </w:rPr>
              <w:t>1.341</w:t>
            </w:r>
          </w:p>
        </w:tc>
        <w:tc>
          <w:tcPr>
            <w:tcW w:w="1292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767DCD30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5"/>
              </w:rPr>
              <w:t>0.774-2.324</w:t>
            </w:r>
          </w:p>
        </w:tc>
        <w:tc>
          <w:tcPr>
            <w:tcW w:w="689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2D935FF0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5"/>
              </w:rPr>
              <w:t>0.294</w:t>
            </w:r>
          </w:p>
        </w:tc>
      </w:tr>
    </w:tbl>
    <w:p w14:paraId="0514B933">
      <w:pPr>
        <w:spacing w:after="100" w:line="252" w:lineRule="auto"/>
        <w:jc w:val="both"/>
        <w:rPr>
          <w:color w:val="auto"/>
        </w:rPr>
      </w:pPr>
      <w:r>
        <w:rPr>
          <w:rFonts w:ascii="Times New Roman" w:hAnsi="Times New Roman" w:eastAsia="Times New Roman"/>
          <w:b w:val="0"/>
          <w:i w:val="0"/>
          <w:color w:val="auto"/>
          <w:sz w:val="16"/>
        </w:rPr>
        <w:t>Note: HR, hazard ratio; CI, confidence interval; LASr, left atrial reservoir strain; LAAV, left atrial appendage flow velocity; TTE, transthoracic echocardiography; TEE, transesophageal echocardiography; AF, atrial fibrillation. HRs were calculated using the Cox sensitivity model adjusted for rhythm status during examination.</w:t>
      </w:r>
    </w:p>
    <w:p w14:paraId="4C75CBEF">
      <w:pPr>
        <w:spacing w:after="60" w:line="252" w:lineRule="auto"/>
        <w:jc w:val="both"/>
        <w:rPr>
          <w:color w:val="auto"/>
        </w:rPr>
      </w:pPr>
      <w:r>
        <w:rPr>
          <w:rFonts w:ascii="Times New Roman" w:hAnsi="Times New Roman" w:eastAsia="Times New Roman"/>
          <w:b/>
          <w:i w:val="0"/>
          <w:color w:val="auto"/>
          <w:sz w:val="21"/>
        </w:rPr>
        <w:t>Supplementary Table 9. AAD use after the 3-month blanking period</w:t>
      </w:r>
    </w:p>
    <w:tbl>
      <w:tblPr>
        <w:tblStyle w:val="3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89"/>
        <w:gridCol w:w="1781"/>
        <w:gridCol w:w="1944"/>
        <w:gridCol w:w="2105"/>
        <w:gridCol w:w="1297"/>
      </w:tblGrid>
      <w:tr w14:paraId="14E93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64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682A6948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5"/>
              </w:rPr>
              <w:t>AAD status</w:t>
            </w:r>
          </w:p>
        </w:tc>
        <w:tc>
          <w:tcPr>
            <w:tcW w:w="808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5EF6C107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5"/>
              </w:rPr>
              <w:t>Overall</w:t>
            </w:r>
          </w:p>
        </w:tc>
        <w:tc>
          <w:tcPr>
            <w:tcW w:w="882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7AA99592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5"/>
              </w:rPr>
              <w:t>Recurrence group</w:t>
            </w:r>
            <w:r>
              <w:rPr>
                <w:rFonts w:ascii="Times New Roman" w:hAnsi="Times New Roman" w:eastAsia="Times New Roman"/>
                <w:b w:val="0"/>
                <w:color w:val="auto"/>
              </w:rPr>
              <w:br w:type="textWrapping"/>
            </w: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5"/>
              </w:rPr>
              <w:t>(n=68)</w:t>
            </w:r>
          </w:p>
        </w:tc>
        <w:tc>
          <w:tcPr>
            <w:tcW w:w="955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18070F49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5"/>
              </w:rPr>
              <w:t>Non-recurrence group</w:t>
            </w:r>
            <w:r>
              <w:rPr>
                <w:rFonts w:ascii="Times New Roman" w:hAnsi="Times New Roman" w:eastAsia="Times New Roman"/>
                <w:b w:val="0"/>
                <w:color w:val="auto"/>
              </w:rPr>
              <w:br w:type="textWrapping"/>
            </w: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5"/>
              </w:rPr>
              <w:t>(n=178)</w:t>
            </w:r>
          </w:p>
        </w:tc>
        <w:tc>
          <w:tcPr>
            <w:tcW w:w="588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5D0329E2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/>
                <w:color w:val="auto"/>
                <w:sz w:val="15"/>
              </w:rPr>
              <w:t>P</w:t>
            </w: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5"/>
              </w:rPr>
              <w:t xml:space="preserve"> value</w:t>
            </w:r>
          </w:p>
        </w:tc>
      </w:tr>
      <w:tr w14:paraId="5D3F9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64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332A9E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5"/>
              </w:rPr>
              <w:t>AAD discontinued after 3 months</w:t>
            </w:r>
          </w:p>
        </w:tc>
        <w:tc>
          <w:tcPr>
            <w:tcW w:w="808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876C70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5"/>
              </w:rPr>
              <w:t>189 (76.8)</w:t>
            </w:r>
          </w:p>
        </w:tc>
        <w:tc>
          <w:tcPr>
            <w:tcW w:w="882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67187D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5"/>
              </w:rPr>
              <w:t>49 (72.1)</w:t>
            </w:r>
          </w:p>
        </w:tc>
        <w:tc>
          <w:tcPr>
            <w:tcW w:w="955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81AE2E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5"/>
              </w:rPr>
              <w:t>140 (78.7)</w:t>
            </w:r>
          </w:p>
        </w:tc>
        <w:tc>
          <w:tcPr>
            <w:tcW w:w="588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6E95C6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5"/>
              </w:rPr>
              <w:t>0.273</w:t>
            </w:r>
          </w:p>
        </w:tc>
      </w:tr>
      <w:tr w14:paraId="27EF0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64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5A629332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5"/>
              </w:rPr>
              <w:t>AAD continued after 3 months</w:t>
            </w:r>
          </w:p>
        </w:tc>
        <w:tc>
          <w:tcPr>
            <w:tcW w:w="80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60A92330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5"/>
              </w:rPr>
              <w:t>57 (23.2)</w:t>
            </w:r>
          </w:p>
        </w:tc>
        <w:tc>
          <w:tcPr>
            <w:tcW w:w="882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61C1F832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5"/>
              </w:rPr>
              <w:t>19 (27.9)</w:t>
            </w:r>
          </w:p>
        </w:tc>
        <w:tc>
          <w:tcPr>
            <w:tcW w:w="955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5B3DF7D2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5"/>
              </w:rPr>
              <w:t>38 (21.3)</w:t>
            </w:r>
          </w:p>
        </w:tc>
        <w:tc>
          <w:tcPr>
            <w:tcW w:w="58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341F94C2">
            <w:pPr>
              <w:spacing w:after="0" w:line="240" w:lineRule="auto"/>
              <w:jc w:val="both"/>
              <w:rPr>
                <w:b w:val="0"/>
                <w:color w:val="auto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color w:val="auto"/>
                <w:sz w:val="15"/>
              </w:rPr>
              <w:t>0.273</w:t>
            </w:r>
          </w:p>
        </w:tc>
      </w:tr>
    </w:tbl>
    <w:p w14:paraId="716ED420">
      <w:pPr>
        <w:spacing w:after="100" w:line="252" w:lineRule="auto"/>
        <w:jc w:val="both"/>
        <w:rPr>
          <w:color w:val="auto"/>
        </w:rPr>
      </w:pPr>
      <w:r>
        <w:rPr>
          <w:rFonts w:ascii="Times New Roman" w:hAnsi="Times New Roman" w:eastAsia="Times New Roman"/>
          <w:b w:val="0"/>
          <w:i w:val="0"/>
          <w:color w:val="auto"/>
          <w:sz w:val="16"/>
        </w:rPr>
        <w:t xml:space="preserve">Note: AAD, antiarrhythmic drug. Categorical variables are expressed as n (%); </w:t>
      </w:r>
      <w:r>
        <w:rPr>
          <w:rFonts w:ascii="Times New Roman" w:hAnsi="Times New Roman" w:eastAsia="Times New Roman"/>
          <w:b w:val="0"/>
          <w:i/>
          <w:color w:val="auto"/>
          <w:sz w:val="16"/>
        </w:rPr>
        <w:t>P</w:t>
      </w:r>
      <w:r>
        <w:rPr>
          <w:rFonts w:ascii="Times New Roman" w:hAnsi="Times New Roman" w:eastAsia="Times New Roman"/>
          <w:b w:val="0"/>
          <w:i w:val="0"/>
          <w:color w:val="auto"/>
          <w:sz w:val="16"/>
        </w:rPr>
        <w:t xml:space="preserve"> values were derived from the </w:t>
      </w:r>
      <w:r>
        <w:rPr>
          <w:rFonts w:ascii="Times New Roman" w:hAnsi="Times New Roman" w:eastAsia="Times New Roman"/>
          <w:b w:val="0"/>
          <w:i/>
          <w:color w:val="auto"/>
          <w:sz w:val="16"/>
        </w:rPr>
        <w:t>χ²</w:t>
      </w:r>
      <w:r>
        <w:rPr>
          <w:rFonts w:ascii="Times New Roman" w:hAnsi="Times New Roman" w:eastAsia="Times New Roman"/>
          <w:b w:val="0"/>
          <w:i w:val="0"/>
          <w:color w:val="auto"/>
          <w:sz w:val="16"/>
        </w:rPr>
        <w:t xml:space="preserve"> test.</w:t>
      </w:r>
    </w:p>
    <w:p w14:paraId="6CA13D15">
      <w:pPr>
        <w:rPr>
          <w:color w:val="auto"/>
        </w:rPr>
      </w:pPr>
    </w:p>
    <w:bookmarkEnd w:id="0"/>
    <w:sectPr>
      <w:pgSz w:w="12240" w:h="15840"/>
      <w:pgMar w:top="792" w:right="720" w:bottom="792" w:left="72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2" w:lineRule="auto"/>
      </w:pPr>
      <w:r>
        <w:separator/>
      </w:r>
    </w:p>
  </w:footnote>
  <w:footnote w:type="continuationSeparator" w:id="1">
    <w:p>
      <w:pPr>
        <w:spacing w:before="0" w:after="0" w:line="252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663063"/>
    <w:rsid w:val="48E54DAF"/>
    <w:rsid w:val="53663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60" w:line="252" w:lineRule="auto"/>
    </w:pPr>
    <w:rPr>
      <w:rFonts w:ascii="Times New Roman" w:hAnsi="Times New Roman" w:eastAsia="Times New Roman" w:cstheme="minorBidi"/>
      <w:sz w:val="21"/>
      <w:szCs w:val="22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spacing w:after="0" w:line="240" w:lineRule="auto"/>
    </w:pPr>
    <w:rPr>
      <w:rFonts w:ascii="Times New Roman" w:hAnsi="Times New Roman"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806</Words>
  <Characters>4939</Characters>
  <Lines>0</Lines>
  <Paragraphs>0</Paragraphs>
  <TotalTime>0</TotalTime>
  <ScaleCrop>false</ScaleCrop>
  <LinksUpToDate>false</LinksUpToDate>
  <CharactersWithSpaces>5526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2026-05-28T22:30:00Z</dcterms:created>
  <dc:creator>user</dc:creator>
  <cp:lastModifiedBy>user</cp:lastModifiedBy>
  <dcterms:modified xsi:type="dcterms:W3CDTF">2026-06-15T09:30:25Z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B0795F162BC444D0A58643D00ACE06D5_11</vt:lpwstr>
  </property>
  <property fmtid="{D5CDD505-2E9C-101B-9397-08002B2CF9AE}" pid="4" name="KSOTemplateDocerSaveRecord">
    <vt:lpwstr>eyJoZGlkIjoiNTc0ZGY0NjdhN2U2NmU5NTcyOGZjMDA5NzcwN2E1NWEiLCJ1c2VySWQiOiIyOTMzMDE5NTMifQ==</vt:lpwstr>
  </property>
</Properties>
</file>