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86D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Calibri Light" w:cs="Times New Roman"/>
          <w:b/>
          <w:bCs/>
          <w:color w:val="000000"/>
          <w:kern w:val="0"/>
          <w:sz w:val="22"/>
          <w:szCs w:val="22"/>
          <w:lang w:bidi="ar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S11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A</w:t>
      </w:r>
      <w:r>
        <w:rPr>
          <w:rFonts w:hint="default" w:ascii="Times New Roman" w:hAnsi="Times New Roman" w:cs="Times New Roman"/>
          <w:sz w:val="22"/>
          <w:szCs w:val="22"/>
        </w:rPr>
        <w:t>ssociation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s</w:t>
      </w:r>
      <w:r>
        <w:rPr>
          <w:rFonts w:hint="default" w:ascii="Times New Roman" w:hAnsi="Times New Roman" w:cs="Times New Roman"/>
          <w:sz w:val="22"/>
          <w:szCs w:val="22"/>
        </w:rPr>
        <w:t xml:space="preserve"> between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NHR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and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CHF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based on unweighted analyses.</w:t>
      </w:r>
    </w:p>
    <w:tbl>
      <w:tblPr>
        <w:tblStyle w:val="3"/>
        <w:tblW w:w="498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6"/>
        <w:gridCol w:w="1823"/>
        <w:gridCol w:w="1823"/>
        <w:gridCol w:w="1827"/>
      </w:tblGrid>
      <w:tr w14:paraId="581B6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3" w:type="pct"/>
            <w:vMerge w:val="restart"/>
            <w:tcBorders>
              <w:top w:val="single" w:color="000000" w:sz="8" w:space="0"/>
              <w:left w:val="nil"/>
              <w:right w:val="nil"/>
            </w:tcBorders>
          </w:tcPr>
          <w:p w14:paraId="68C76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HR</w:t>
            </w:r>
          </w:p>
        </w:tc>
        <w:tc>
          <w:tcPr>
            <w:tcW w:w="2786" w:type="pct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6844C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CHF</w:t>
            </w:r>
          </w:p>
        </w:tc>
      </w:tr>
      <w:tr w14:paraId="37905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3" w:type="pct"/>
            <w:vMerge w:val="continue"/>
            <w:tcBorders>
              <w:left w:val="nil"/>
              <w:bottom w:val="single" w:color="000000" w:sz="8" w:space="0"/>
              <w:right w:val="nil"/>
            </w:tcBorders>
          </w:tcPr>
          <w:p w14:paraId="78CEB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2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DE3A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OR </w:t>
            </w:r>
          </w:p>
        </w:tc>
        <w:tc>
          <w:tcPr>
            <w:tcW w:w="92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D9C6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95% CI</w:t>
            </w:r>
          </w:p>
        </w:tc>
        <w:tc>
          <w:tcPr>
            <w:tcW w:w="9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60553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</w:p>
        </w:tc>
      </w:tr>
      <w:tr w14:paraId="3C7E3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0A666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Crude model (Model 1)</w:t>
            </w:r>
          </w:p>
        </w:tc>
        <w:tc>
          <w:tcPr>
            <w:tcW w:w="2786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08FA5B5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5EC41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8E16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Continuous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432A0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5D53C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1.17, 1.25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CD514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467BB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73465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Categories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C2436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376FF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336C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7EEE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 (ref)</w:t>
            </w:r>
          </w:p>
        </w:tc>
      </w:tr>
      <w:tr w14:paraId="027DB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059D1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258CC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1.34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C93AA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1.11, 1.61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07B56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0.002</w:t>
            </w:r>
          </w:p>
        </w:tc>
      </w:tr>
      <w:tr w14:paraId="13370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D570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5DCCB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1.57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FC7C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1.31, 1.88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9B62D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1CB85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F027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A0F56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2.26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BF950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1.91, 2.68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174C2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211D2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5A205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for tend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673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1.79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3C1D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1.59, 2.02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E05E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C95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5A2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Minimally adjusted model (Model 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5FBE9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1148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C56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Continuous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DA9B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5807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1.23, 1.32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30454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78EA2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0C26B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Categories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341B8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14531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2F3E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FF9CD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 (ref)</w:t>
            </w:r>
          </w:p>
        </w:tc>
      </w:tr>
      <w:tr w14:paraId="6F12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D874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4B53B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1.45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320DB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1.20, 1.75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FEF00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574EA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5E836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50F7C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1.79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CD88F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1.49, 2.16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58669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58785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31B81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83599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2.75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0C0A7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2.30, 3.30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481E8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588D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2A44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for tend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4AF9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2.07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7C6B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1.82, 2.35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D622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01CD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6D14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Fully adjusted model (Model 3)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C93DE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58EA2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35BCB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Continuous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6953A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B5B4D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1.08, 1.17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F8094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7BBFE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2440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Categories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FBA16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36F42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66B2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7D29E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 (ref)</w:t>
            </w:r>
          </w:p>
        </w:tc>
      </w:tr>
      <w:tr w14:paraId="05941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2AFA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6046C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1.17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8441C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0.97, 1.43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4666CB">
            <w:pPr>
              <w:jc w:val="center"/>
              <w:rPr>
                <w:rFonts w:hint="eastAsia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0.11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</w:t>
            </w:r>
          </w:p>
        </w:tc>
      </w:tr>
      <w:tr w14:paraId="26FA5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7F58C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AB62B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A61F5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1.06, 1.57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37DB9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0.012</w:t>
            </w:r>
          </w:p>
        </w:tc>
      </w:tr>
      <w:tr w14:paraId="6E53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D94B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04CE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1.61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EC50C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1.33, 1.96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8586F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63A04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2213" w:type="pct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89EB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for tend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AE65D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1.40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182E56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1.22, 1.62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A14532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&lt;0.001</w:t>
            </w:r>
          </w:p>
        </w:tc>
      </w:tr>
    </w:tbl>
    <w:p w14:paraId="49C277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 w:eastAsiaTheme="minorEastAsia"/>
          <w:color w:val="FF0000"/>
          <w:sz w:val="22"/>
          <w:szCs w:val="22"/>
          <w:lang w:val="en-US" w:eastAsia="zh-CN"/>
        </w:rPr>
      </w:pP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>The neutrophil to high-density lipoprotein cholesterol ratio was converted from a continuous variable to a categorical variable (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quartiles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>). Abbreviations: OR, o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dds ratio; 95% CI, 95% confidence interval; NHR, n</w:t>
      </w:r>
      <w:r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  <w:t>eutrophil to high-density lipoprotein cholesterol ratio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; CHF, Congestive Heart Failure. 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Model 1: no covariates were adjusted. Model 2: age, sex, and race were adjusted. Model 3: age, sex, race, education level, marital status, family PIR, BMI, 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</w:rPr>
        <w:fldChar w:fldCharType="begin"/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</w:rPr>
        <w:instrText xml:space="preserve"> HYPERLINK "https://wwwn.cdc.gov/Nchs/Data/Nhanes/Public/2013/DataFiles/SMQ_H.htm" \l "SMQ020" </w:instrTex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</w:rPr>
        <w:fldChar w:fldCharType="separate"/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/>
        </w:rPr>
        <w:t>s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</w:rPr>
        <w:t>moked at least 100 cigarettes in life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</w:rPr>
        <w:fldChar w:fldCharType="end"/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/>
        </w:rPr>
        <w:t>,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 drinking frequency, diabetes, the use of glucose-lowering medications, lipid-lowering medications, antihypertensive medications, and heart failure medications, FPG, HbA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vertAlign w:val="subscript"/>
          <w:lang w:val="en-US" w:eastAsia="zh-CN" w:bidi="ar"/>
        </w:rPr>
        <w:t>1c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, ALB, ALT, AST, serum creatinine, and eGFR were adjusted. </w:t>
      </w:r>
    </w:p>
    <w:p w14:paraId="549E7D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</w:p>
    <w:p w14:paraId="7DF59246">
      <w:pPr>
        <w:rPr>
          <w:rFonts w:hint="default" w:ascii="Times New Roman" w:hAnsi="Times New Roman" w:cs="Times New Roman"/>
          <w:sz w:val="22"/>
          <w:szCs w:val="22"/>
        </w:rPr>
      </w:pPr>
    </w:p>
    <w:p w14:paraId="37B62193"/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A1D15"/>
    <w:rsid w:val="00B75983"/>
    <w:rsid w:val="01D9415D"/>
    <w:rsid w:val="0F072309"/>
    <w:rsid w:val="157B4A1A"/>
    <w:rsid w:val="179C037F"/>
    <w:rsid w:val="19595E57"/>
    <w:rsid w:val="19E33973"/>
    <w:rsid w:val="21DE514B"/>
    <w:rsid w:val="2BAC62BA"/>
    <w:rsid w:val="2C723060"/>
    <w:rsid w:val="393022D9"/>
    <w:rsid w:val="3B9D177C"/>
    <w:rsid w:val="3DF8713D"/>
    <w:rsid w:val="43754D8C"/>
    <w:rsid w:val="454F3AE7"/>
    <w:rsid w:val="48037F57"/>
    <w:rsid w:val="4DBE7EAA"/>
    <w:rsid w:val="50302767"/>
    <w:rsid w:val="588E44CE"/>
    <w:rsid w:val="5C621EFA"/>
    <w:rsid w:val="5CAD7850"/>
    <w:rsid w:val="5D172CE4"/>
    <w:rsid w:val="5F08724D"/>
    <w:rsid w:val="6D7928C8"/>
    <w:rsid w:val="76977CC4"/>
    <w:rsid w:val="7746449A"/>
    <w:rsid w:val="77C87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1"/>
    <w:basedOn w:val="1"/>
    <w:next w:val="1"/>
    <w:qFormat/>
    <w:uiPriority w:val="0"/>
    <w:pPr>
      <w:keepNext/>
      <w:keepLines/>
      <w:spacing w:before="240" w:beforeLines="0" w:after="64" w:afterLines="0" w:line="317" w:lineRule="auto"/>
      <w:jc w:val="both"/>
      <w:outlineLvl w:val="7"/>
    </w:pPr>
    <w:rPr>
      <w:rFonts w:ascii="Arial" w:hAnsi="Arial" w:eastAsia="宋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1242</Characters>
  <Lines>0</Lines>
  <Paragraphs>0</Paragraphs>
  <TotalTime>0</TotalTime>
  <ScaleCrop>false</ScaleCrop>
  <LinksUpToDate>false</LinksUpToDate>
  <CharactersWithSpaces>1401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2025-09-26T03:37:00Z</dcterms:created>
  <dc:creator>HKang</dc:creator>
  <cp:lastModifiedBy>Edison.</cp:lastModifiedBy>
  <dcterms:modified xsi:type="dcterms:W3CDTF">2026-03-28T17:01:05Z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5DBA50193A39420682F14AA784F11874_12</vt:lpwstr>
  </property>
  <property fmtid="{D5CDD505-2E9C-101B-9397-08002B2CF9AE}" pid="4" name="KSOTemplateDocerSaveRecord">
    <vt:lpwstr>eyJoZGlkIjoiZjdhNGNkMWFiZDUwNTY2YjgyZDkxNjAyNGI0MWMyMDUiLCJ1c2VySWQiOiI3OTA1NjM4NTUifQ==</vt:lpwstr>
  </property>
</Properties>
</file>