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70A5" w:rsidRDefault="00000000">
      <w:pPr>
        <w:spacing w:after="120" w:line="360" w:lineRule="auto"/>
        <w:jc w:val="center"/>
      </w:pPr>
      <w:r>
        <w:rPr>
          <w:b/>
          <w:bCs/>
          <w:sz w:val="28"/>
          <w:szCs w:val="28"/>
        </w:rPr>
        <w:t>CARE guidelines for case reports — 13-item checklist</w:t>
      </w:r>
    </w:p>
    <w:p w:rsidR="004770A5" w:rsidRDefault="00000000">
      <w:pPr>
        <w:spacing w:after="240" w:line="360" w:lineRule="auto"/>
        <w:jc w:val="center"/>
      </w:pPr>
      <w:r>
        <w:rPr>
          <w:i/>
          <w:iCs/>
          <w:sz w:val="22"/>
          <w:szCs w:val="22"/>
        </w:rPr>
        <w:t>Completed for submission to BMC Cardiovascular Disorders</w:t>
      </w:r>
    </w:p>
    <w:p w:rsidR="004770A5" w:rsidRDefault="00000000">
      <w:pPr>
        <w:spacing w:after="360" w:line="360" w:lineRule="auto"/>
        <w:jc w:val="center"/>
      </w:pPr>
      <w:r>
        <w:rPr>
          <w:b/>
          <w:bCs/>
        </w:rPr>
        <w:t xml:space="preserve">Manuscript title: </w:t>
      </w:r>
      <w:r>
        <w:rPr>
          <w:i/>
          <w:iCs/>
        </w:rPr>
        <w:t>"Silent suppuration: an afebrile infected left anterior descending artery pseudoaneurysm with contiguous myocardial necrosis after drug-eluting stent implantation — a case report"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700"/>
        <w:gridCol w:w="3400"/>
        <w:gridCol w:w="3760"/>
      </w:tblGrid>
      <w:tr w:rsidR="004770A5">
        <w:trPr>
          <w:tblHeader/>
        </w:trPr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2E5C8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Topic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2E5C8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2E5C8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Checklist item description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2E5C8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  <w:color w:val="FFFFFF"/>
              </w:rPr>
              <w:t>Reported on page / section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E9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Title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E9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diagnosis or intervention of primary focus followed by the words "case report"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Title page; "...a case report" included in title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Keywords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Key words that identify diagnoses or interventions in this case report, including "case report"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Abstract — Keywords section (9 keywords, including "Case report")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Abstract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3a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Introduction — What is unique about this case? What does it add to the medical literature?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Abstract — Background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3b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Main symptoms and/or important clinical findings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Abstract — Case presentation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3c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main diagnoses, therapeutic interventions, and outcomes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Abstract — Case presentation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3d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Conclusion — What are the main "take-away" lessons from this case?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Abstract — Conclusions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One or two paragraphs summarising why this case is unique (may include references)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Background section (paragraphs 1–3); references [1–5] cited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Patient information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5a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De-identified patient specific information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"Clinical presentation and prior interventional history" (paragraph 1): 46-year-old Indian (South Asian) man; no identifying details disclosed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5b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Primary concerns and symptoms of the patient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"Clinical presentation and prior interventional history" (paragraph 1)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5c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Medical, family, and psycho-social history including relevant genetic information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"Clinical presentation and prior interventional history" (paragraph 1): hypertension, prior out-of-hospital cardiac arrest; family/genetic history non-contributory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0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5d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Relevant past interventions with outcomes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 xml:space="preserve">Case presentation — "Clinical presentation and prior interventional </w:t>
            </w:r>
            <w:r>
              <w:lastRenderedPageBreak/>
              <w:t>history" (paragraph 2): prior POBA and DES of the LAD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lastRenderedPageBreak/>
              <w:t>Clinical findings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Describe significant physical examination (PE) and important clinical findings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"Clinical presentation and prior interventional history" (vital signs, examination findings)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Timeline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0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Historical and current information from this episode of care organised as a timeline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describes the temporal sequence chronologically: POBA → DES (~6 weeks later) → current presentation (~4 weeks after DES); see Background and Case presentation sections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Diagnostic assessment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8a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Diagnostic methods (such as PE, laboratory testing, imaging, surveys)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"Investigations and the diagnostic narrative": laboratory panel, blood cultures, 12-lead ECG, TTE, coronary angiography, ECG-gated CT aortography, FDG PET-CT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8b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Diagnostic challenges (such as access, financial, or cultural)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and Discussion — diagnostic challenge of an entirely silent inflammatory profile in the setting of established infection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8c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Diagnostic reasoning including other diagnoses considered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differentials of penetrating aortic ulcer / intramural haematoma considered and excluded by CT aortography; mechanical (non-infective) post-PCI pseudoaneurysm considered until FDG PET-CT reframed the case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4F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8d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Prognostic characteristics (such as staging) where applicable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N/A — no formal staging system applies to this entity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Therapeutic intervention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9a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Types of intervention (such as pharmacologic, surgical, preventive, self-care)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 xml:space="preserve">Case presentation — "Operative findings and management" (surgical: median sternotomy, </w:t>
            </w:r>
            <w:proofErr w:type="spellStart"/>
            <w:r>
              <w:t>pseudoaneurysmectomy</w:t>
            </w:r>
            <w:proofErr w:type="spellEnd"/>
            <w:r>
              <w:t>, myocardial debridement, stent retrieval, coronary endarterectomy, LIMA-LAD bypass) and "Microbiology and postoperative course" (pharmacological: empirical ceftriaxone + vancomycin, then targeted meropenem)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9b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Administration of intervention (such as dosage, strength, duration)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 xml:space="preserve">Case presentation — "Microbiology and postoperative course": six-week course of intravenous meropenem followed by </w:t>
            </w:r>
            <w:r>
              <w:lastRenderedPageBreak/>
              <w:t>two-week oral step-down therapy; cardiopulmonary bypass with moderate systemic hypothermia and antegrade cold-blood cardioplegia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F0E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9c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Changes in intervention (with rationale)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"Microbiology and postoperative course": empirical ceftriaxone + vancomycin de-escalated to meropenem on receipt of culture sensitivities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Follow-up and outcomes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10a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Clinician- and patient-assessed outcomes (if available)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"Microbiology and postoperative course" (final paragraph): preserved biventricular function on TTE; healed sternotomy; no recurrent chest pain at three months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10b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Important follow-up diagnostic and other test results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"Microbiology and postoperative course": pre-discharge TTE, three-month review TTE; planned repeat coronary CT and FDG PET-CT at 6 and 12 months (Discussion)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10c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Intervention adherence and tolerability (and how this was assessed)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Case presentation — patient tolerated full intravenous antibiotic course and dual antiplatelet therapy; adherence verified by direct clinical review at follow-up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D8E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10d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Adverse and unanticipated events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No major adverse perioperative events; inotropic support weaned by postoperative day 2; no recurrence at three-month follow-up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Discussion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11a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Discussion of the strengths and limitations in your approach to this case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Discussion — limitations of single-case experience and absence of longer-term follow-up acknowledged in "Antimicrobial therapy and follow-up"; strengths include multimodality imaging, complete operative documentation, and microbiological confirmation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11b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Discussion of the relevant medical literature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Discussion — "The afebrile infected pseudoaneurysm: a diagnostic blind spot", "Pus across the vessel wall: an unrecognised pattern of injury", and "Surgical strategy: principles and choices"; references [2–17]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11c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rationale for conclusions (including assessment of possible causes)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Discussion — three hypotheses proposed for silent inflammatory profile (anatomical containment, DES-mediated immunomodulation, host-specific cytokine attenuation); mechanism of trans-mural extension explained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4770A5">
            <w:pPr>
              <w:spacing w:line="280" w:lineRule="auto"/>
            </w:pP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8E8F0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11d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primary "take-away" lessons of this case report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Conclusions section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F4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Patient perspective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F4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patient should share their perspective on the treatment(s) they received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The patient was satisfied with the surgical management and clinical outcome; he expressed gratitude for the diagnostic vigilance that uncovered an otherwise occult infection, and consented to publication so that others may benefit</w:t>
            </w:r>
          </w:p>
        </w:tc>
      </w:tr>
      <w:tr w:rsidR="004770A5">
        <w:tc>
          <w:tcPr>
            <w:tcW w:w="15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rPr>
                <w:b/>
                <w:bCs/>
              </w:rPr>
              <w:t>Informed consent</w:t>
            </w:r>
          </w:p>
        </w:tc>
        <w:tc>
          <w:tcPr>
            <w:tcW w:w="7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0E0D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34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Did the patient give informed consent? Please provide if requested</w:t>
            </w:r>
          </w:p>
        </w:tc>
        <w:tc>
          <w:tcPr>
            <w:tcW w:w="376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70A5" w:rsidRDefault="00000000">
            <w:pPr>
              <w:spacing w:line="280" w:lineRule="auto"/>
            </w:pPr>
            <w:r>
              <w:t>Yes — written informed consent for participation and for publication of the case and accompanying images was obtained from the patient. A copy is available for review by the Editor on request. Stated in the Declarations section ("Ethics approval and consent to participate" and "Consent for publication")</w:t>
            </w:r>
          </w:p>
        </w:tc>
      </w:tr>
    </w:tbl>
    <w:p w:rsidR="004770A5" w:rsidRDefault="004770A5">
      <w:pPr>
        <w:spacing w:before="240" w:line="360" w:lineRule="auto"/>
      </w:pPr>
    </w:p>
    <w:p w:rsidR="004770A5" w:rsidRDefault="004770A5">
      <w:pPr>
        <w:spacing w:before="120" w:line="300" w:lineRule="auto"/>
        <w:jc w:val="both"/>
      </w:pPr>
    </w:p>
    <w:sectPr w:rsidR="004770A5">
      <w:headerReference w:type="default" r:id="rId7"/>
      <w:footerReference w:type="default" r:id="rId8"/>
      <w:pgSz w:w="12240" w:h="15840" w:orient="landscape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437B3" w:rsidRDefault="00F437B3">
      <w:r>
        <w:separator/>
      </w:r>
    </w:p>
  </w:endnote>
  <w:endnote w:type="continuationSeparator" w:id="0">
    <w:p w:rsidR="00F437B3" w:rsidRDefault="00F437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70A5" w:rsidRDefault="00000000"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F4C5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5F4C57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437B3" w:rsidRDefault="00F437B3">
      <w:r>
        <w:separator/>
      </w:r>
    </w:p>
  </w:footnote>
  <w:footnote w:type="continuationSeparator" w:id="0">
    <w:p w:rsidR="00F437B3" w:rsidRDefault="00F437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770A5" w:rsidRDefault="004770A5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5E278E"/>
    <w:multiLevelType w:val="hybridMultilevel"/>
    <w:tmpl w:val="550C4028"/>
    <w:lvl w:ilvl="0" w:tplc="CE2CFD64">
      <w:start w:val="1"/>
      <w:numFmt w:val="bullet"/>
      <w:lvlText w:val="●"/>
      <w:lvlJc w:val="left"/>
      <w:pPr>
        <w:ind w:left="720" w:hanging="360"/>
      </w:pPr>
    </w:lvl>
    <w:lvl w:ilvl="1" w:tplc="6F8CD9BA">
      <w:start w:val="1"/>
      <w:numFmt w:val="bullet"/>
      <w:lvlText w:val="○"/>
      <w:lvlJc w:val="left"/>
      <w:pPr>
        <w:ind w:left="1440" w:hanging="360"/>
      </w:pPr>
    </w:lvl>
    <w:lvl w:ilvl="2" w:tplc="7238317C">
      <w:start w:val="1"/>
      <w:numFmt w:val="bullet"/>
      <w:lvlText w:val="■"/>
      <w:lvlJc w:val="left"/>
      <w:pPr>
        <w:ind w:left="2160" w:hanging="360"/>
      </w:pPr>
    </w:lvl>
    <w:lvl w:ilvl="3" w:tplc="A7FC0F8E">
      <w:start w:val="1"/>
      <w:numFmt w:val="bullet"/>
      <w:lvlText w:val="●"/>
      <w:lvlJc w:val="left"/>
      <w:pPr>
        <w:ind w:left="2880" w:hanging="360"/>
      </w:pPr>
    </w:lvl>
    <w:lvl w:ilvl="4" w:tplc="297C01DE">
      <w:start w:val="1"/>
      <w:numFmt w:val="bullet"/>
      <w:lvlText w:val="○"/>
      <w:lvlJc w:val="left"/>
      <w:pPr>
        <w:ind w:left="3600" w:hanging="360"/>
      </w:pPr>
    </w:lvl>
    <w:lvl w:ilvl="5" w:tplc="0AA82FD6">
      <w:start w:val="1"/>
      <w:numFmt w:val="bullet"/>
      <w:lvlText w:val="■"/>
      <w:lvlJc w:val="left"/>
      <w:pPr>
        <w:ind w:left="4320" w:hanging="360"/>
      </w:pPr>
    </w:lvl>
    <w:lvl w:ilvl="6" w:tplc="8FE8343E">
      <w:start w:val="1"/>
      <w:numFmt w:val="bullet"/>
      <w:lvlText w:val="●"/>
      <w:lvlJc w:val="left"/>
      <w:pPr>
        <w:ind w:left="5040" w:hanging="360"/>
      </w:pPr>
    </w:lvl>
    <w:lvl w:ilvl="7" w:tplc="9014C992">
      <w:start w:val="1"/>
      <w:numFmt w:val="bullet"/>
      <w:lvlText w:val="●"/>
      <w:lvlJc w:val="left"/>
      <w:pPr>
        <w:ind w:left="5760" w:hanging="360"/>
      </w:pPr>
    </w:lvl>
    <w:lvl w:ilvl="8" w:tplc="832243F4">
      <w:start w:val="1"/>
      <w:numFmt w:val="bullet"/>
      <w:lvlText w:val="●"/>
      <w:lvlJc w:val="left"/>
      <w:pPr>
        <w:ind w:left="6480" w:hanging="360"/>
      </w:pPr>
    </w:lvl>
  </w:abstractNum>
  <w:num w:numId="1" w16cid:durableId="15175748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0A5"/>
    <w:rsid w:val="004770A5"/>
    <w:rsid w:val="005F4C57"/>
    <w:rsid w:val="009F007B"/>
    <w:rsid w:val="00C6701A"/>
    <w:rsid w:val="00CF0546"/>
    <w:rsid w:val="00E52B60"/>
    <w:rsid w:val="00F4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F09DE"/>
  <w15:docId w15:val="{0EA7D53C-9A98-0B4A-ADA9-AB67EC99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70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701A"/>
  </w:style>
  <w:style w:type="paragraph" w:styleId="Footer">
    <w:name w:val="footer"/>
    <w:basedOn w:val="Normal"/>
    <w:link w:val="FooterChar"/>
    <w:uiPriority w:val="99"/>
    <w:unhideWhenUsed/>
    <w:rsid w:val="00C670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7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1042</Words>
  <Characters>5941</Characters>
  <Application>Microsoft Office Word</Application>
  <DocSecurity>0</DocSecurity>
  <Lines>49</Lines>
  <Paragraphs>13</Paragraphs>
  <ScaleCrop>false</ScaleCrop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checklist — BMC Cardiovascular Disorders submission</dc:title>
  <dc:creator>Authors</dc:creator>
  <cp:lastModifiedBy>Jasmine Sandhu</cp:lastModifiedBy>
  <cp:revision>3</cp:revision>
  <dcterms:created xsi:type="dcterms:W3CDTF">2026-05-24T15:33:00Z</dcterms:created>
  <dcterms:modified xsi:type="dcterms:W3CDTF">2026-05-28T13:37:00Z</dcterms:modified>
</cp:coreProperties>
</file>