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A3671" w14:textId="77777777" w:rsidR="00130E24" w:rsidRPr="00D64659" w:rsidRDefault="00130E24" w:rsidP="00130E24">
      <w:pPr>
        <w:spacing w:after="160" w:line="278" w:lineRule="auto"/>
        <w:jc w:val="center"/>
        <w:rPr>
          <w:rFonts w:ascii="Times New Roman" w:hAnsi="Times New Roman" w:cs="Times New Roman"/>
          <w:b/>
          <w:bCs/>
          <w:sz w:val="24"/>
          <w:szCs w:val="24"/>
          <w:lang w:val="en-JP"/>
        </w:rPr>
      </w:pPr>
      <w:r w:rsidRPr="00D64659">
        <w:rPr>
          <w:rFonts w:ascii="Times New Roman" w:hAnsi="Times New Roman" w:cs="Times New Roman"/>
          <w:b/>
          <w:bCs/>
          <w:sz w:val="24"/>
          <w:szCs w:val="24"/>
          <w:lang w:val="en-JP"/>
        </w:rPr>
        <w:t>Supplemental Figure 1. Study flowchart.</w:t>
      </w:r>
    </w:p>
    <w:p w14:paraId="69A78023" w14:textId="7D58DF6D" w:rsidR="00130E24" w:rsidRPr="00D64659" w:rsidRDefault="00A73220" w:rsidP="00130E24">
      <w:pPr>
        <w:spacing w:after="160" w:line="278" w:lineRule="auto"/>
        <w:jc w:val="center"/>
        <w:rPr>
          <w:rFonts w:ascii="Times New Roman" w:hAnsi="Times New Roman" w:cs="Times New Roman"/>
          <w:b/>
          <w:sz w:val="24"/>
          <w:szCs w:val="24"/>
          <w:lang w:val="en-JP"/>
        </w:rPr>
      </w:pPr>
      <w:r>
        <w:rPr>
          <w:rFonts w:ascii="Times New Roman" w:hAnsi="Times New Roman" w:cs="Times New Roman"/>
          <w:b/>
          <w:noProof/>
          <w:sz w:val="24"/>
          <w:szCs w:val="24"/>
          <w:lang w:val="en-JP"/>
          <w14:ligatures w14:val="standardContextual"/>
        </w:rPr>
        <w:drawing>
          <wp:inline distT="0" distB="0" distL="0" distR="0" wp14:anchorId="558057C0" wp14:editId="01F5FAD2">
            <wp:extent cx="4828374" cy="2938808"/>
            <wp:effectExtent l="25400" t="25400" r="23495" b="20320"/>
            <wp:docPr id="921846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46382" name="Picture 921846382"/>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69380" cy="2963766"/>
                    </a:xfrm>
                    <a:prstGeom prst="rect">
                      <a:avLst/>
                    </a:prstGeom>
                    <a:ln w="19050">
                      <a:solidFill>
                        <a:schemeClr val="tx1"/>
                      </a:solidFill>
                    </a:ln>
                  </pic:spPr>
                </pic:pic>
              </a:graphicData>
            </a:graphic>
          </wp:inline>
        </w:drawing>
      </w:r>
    </w:p>
    <w:p w14:paraId="59EBBEEA" w14:textId="77777777" w:rsidR="00130E24" w:rsidRPr="00D64659" w:rsidRDefault="00130E24" w:rsidP="00130E24">
      <w:pPr>
        <w:spacing w:after="160" w:line="278" w:lineRule="auto"/>
        <w:jc w:val="both"/>
        <w:rPr>
          <w:rFonts w:ascii="Times New Roman" w:hAnsi="Times New Roman" w:cs="Times New Roman"/>
          <w:bCs/>
          <w:sz w:val="24"/>
          <w:szCs w:val="24"/>
          <w:lang w:val="en-JP"/>
        </w:rPr>
      </w:pPr>
      <w:r w:rsidRPr="00D64659">
        <w:rPr>
          <w:rFonts w:ascii="Times New Roman" w:hAnsi="Times New Roman" w:cs="Times New Roman"/>
          <w:bCs/>
          <w:sz w:val="24"/>
          <w:szCs w:val="24"/>
          <w:lang w:val="en-JP"/>
        </w:rPr>
        <w:t xml:space="preserve">Flowchart of patient selection for the study. A total of 1,904 patients who underwent coronary artery calcium (CAC) scoring and coronary CT angiography (CCTA) for evaluation of coronary artery disease between April 2012 and March 2019 were initially screened. After exclusion of patients with non-ischemic cardiomyopathy, prior myocardial infarction, prior coronary revascularization, severe valvular disease, aortic disease, congenital heart disease, cardiac tumors, or CAC scans unsuitable for CT-BHI assessment (cases with severe vertebral deformities or lower thoracic vertebrae outside the field of view), 767 patients were included in the final study cohort. </w:t>
      </w:r>
    </w:p>
    <w:p w14:paraId="0A69AE6F" w14:textId="5D15AA39" w:rsidR="00E50691" w:rsidRPr="00130E24" w:rsidRDefault="00130E24" w:rsidP="00130E24">
      <w:pPr>
        <w:spacing w:after="160" w:line="278" w:lineRule="auto"/>
        <w:jc w:val="both"/>
        <w:rPr>
          <w:rFonts w:ascii="Times New Roman" w:hAnsi="Times New Roman" w:cs="Times New Roman"/>
          <w:bCs/>
          <w:sz w:val="24"/>
          <w:szCs w:val="24"/>
        </w:rPr>
      </w:pPr>
      <w:r w:rsidRPr="00D64659">
        <w:rPr>
          <w:rFonts w:ascii="Times New Roman" w:hAnsi="Times New Roman" w:cs="Times New Roman"/>
          <w:bCs/>
          <w:sz w:val="24"/>
          <w:szCs w:val="24"/>
          <w:lang w:val="en-JP"/>
        </w:rPr>
        <w:t>CT-BHI, computed tomography-based bone health indicator.</w:t>
      </w:r>
    </w:p>
    <w:p w14:paraId="46EF156C" w14:textId="77777777" w:rsidR="00130E24" w:rsidRDefault="00130E24">
      <w:pPr>
        <w:spacing w:after="160" w:line="278" w:lineRule="auto"/>
        <w:rPr>
          <w:rFonts w:ascii="Times New Roman" w:hAnsi="Times New Roman" w:cs="Times New Roman"/>
          <w:b/>
          <w:sz w:val="24"/>
          <w:szCs w:val="24"/>
        </w:rPr>
      </w:pPr>
      <w:r>
        <w:rPr>
          <w:rFonts w:ascii="Times New Roman" w:hAnsi="Times New Roman" w:cs="Times New Roman"/>
          <w:b/>
          <w:sz w:val="24"/>
          <w:szCs w:val="24"/>
        </w:rPr>
        <w:br w:type="page"/>
      </w:r>
    </w:p>
    <w:p w14:paraId="3E0FF700" w14:textId="39171E38" w:rsidR="00E50691" w:rsidRPr="00D64659" w:rsidRDefault="00E50691" w:rsidP="00E50691">
      <w:pPr>
        <w:spacing w:after="80" w:line="252" w:lineRule="auto"/>
        <w:jc w:val="center"/>
        <w:rPr>
          <w:rFonts w:ascii="Times New Roman" w:hAnsi="Times New Roman" w:cs="Times New Roman"/>
          <w:sz w:val="24"/>
          <w:szCs w:val="24"/>
        </w:rPr>
      </w:pPr>
      <w:r w:rsidRPr="00D64659">
        <w:rPr>
          <w:rFonts w:ascii="Times New Roman" w:hAnsi="Times New Roman" w:cs="Times New Roman"/>
          <w:b/>
          <w:sz w:val="24"/>
          <w:szCs w:val="24"/>
        </w:rPr>
        <w:lastRenderedPageBreak/>
        <w:t>Supplemental Table 1. Lumbar spine DXA validation subset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1"/>
        <w:gridCol w:w="4518"/>
      </w:tblGrid>
      <w:tr w:rsidR="00E50691" w:rsidRPr="00D64659" w14:paraId="6D7E1AF8" w14:textId="77777777" w:rsidTr="00E50691">
        <w:trPr>
          <w:jc w:val="center"/>
        </w:trPr>
        <w:tc>
          <w:tcPr>
            <w:tcW w:w="4611" w:type="dxa"/>
            <w:tcBorders>
              <w:top w:val="single" w:sz="4" w:space="0" w:color="auto"/>
              <w:bottom w:val="single" w:sz="4" w:space="0" w:color="auto"/>
            </w:tcBorders>
            <w:vAlign w:val="center"/>
          </w:tcPr>
          <w:p w14:paraId="05838EA0"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b/>
                <w:sz w:val="24"/>
                <w:szCs w:val="24"/>
              </w:rPr>
              <w:t>Characteristic</w:t>
            </w:r>
          </w:p>
        </w:tc>
        <w:tc>
          <w:tcPr>
            <w:tcW w:w="4518" w:type="dxa"/>
            <w:tcBorders>
              <w:top w:val="single" w:sz="4" w:space="0" w:color="auto"/>
              <w:bottom w:val="single" w:sz="4" w:space="0" w:color="auto"/>
            </w:tcBorders>
            <w:vAlign w:val="center"/>
          </w:tcPr>
          <w:p w14:paraId="23033883"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b/>
                <w:sz w:val="24"/>
                <w:szCs w:val="24"/>
              </w:rPr>
              <w:t>Value</w:t>
            </w:r>
          </w:p>
        </w:tc>
      </w:tr>
      <w:tr w:rsidR="00E50691" w:rsidRPr="00D64659" w14:paraId="6D14AB6C" w14:textId="77777777" w:rsidTr="00E50691">
        <w:trPr>
          <w:jc w:val="center"/>
        </w:trPr>
        <w:tc>
          <w:tcPr>
            <w:tcW w:w="4611" w:type="dxa"/>
            <w:tcBorders>
              <w:top w:val="single" w:sz="4" w:space="0" w:color="auto"/>
            </w:tcBorders>
            <w:vAlign w:val="center"/>
          </w:tcPr>
          <w:p w14:paraId="19DD7F9A"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Patients with lumbar spine DXA within 1 year</w:t>
            </w:r>
          </w:p>
        </w:tc>
        <w:tc>
          <w:tcPr>
            <w:tcW w:w="4518" w:type="dxa"/>
            <w:tcBorders>
              <w:top w:val="single" w:sz="4" w:space="0" w:color="auto"/>
            </w:tcBorders>
            <w:vAlign w:val="center"/>
          </w:tcPr>
          <w:p w14:paraId="6174F2D0"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44</w:t>
            </w:r>
          </w:p>
        </w:tc>
      </w:tr>
      <w:tr w:rsidR="00E50691" w:rsidRPr="00D64659" w14:paraId="61E5BE17" w14:textId="77777777" w:rsidTr="00E50691">
        <w:trPr>
          <w:jc w:val="center"/>
        </w:trPr>
        <w:tc>
          <w:tcPr>
            <w:tcW w:w="4611" w:type="dxa"/>
            <w:vAlign w:val="center"/>
          </w:tcPr>
          <w:p w14:paraId="4D01466B"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Age, years</w:t>
            </w:r>
          </w:p>
        </w:tc>
        <w:tc>
          <w:tcPr>
            <w:tcW w:w="4518" w:type="dxa"/>
            <w:vAlign w:val="center"/>
          </w:tcPr>
          <w:p w14:paraId="44F75E32"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71.0 [64.8, 73.0]</w:t>
            </w:r>
          </w:p>
        </w:tc>
      </w:tr>
      <w:tr w:rsidR="00E50691" w:rsidRPr="00D64659" w14:paraId="5AB2E5D2" w14:textId="77777777" w:rsidTr="00E50691">
        <w:trPr>
          <w:jc w:val="center"/>
        </w:trPr>
        <w:tc>
          <w:tcPr>
            <w:tcW w:w="4611" w:type="dxa"/>
            <w:vAlign w:val="center"/>
          </w:tcPr>
          <w:p w14:paraId="45BA63A7"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Male sex</w:t>
            </w:r>
          </w:p>
        </w:tc>
        <w:tc>
          <w:tcPr>
            <w:tcW w:w="4518" w:type="dxa"/>
            <w:vAlign w:val="center"/>
          </w:tcPr>
          <w:p w14:paraId="1A8DDBB5" w14:textId="26BF547D"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7 (15.9%)</w:t>
            </w:r>
          </w:p>
        </w:tc>
      </w:tr>
      <w:tr w:rsidR="00E50691" w:rsidRPr="00D64659" w14:paraId="7DDABC96" w14:textId="77777777" w:rsidTr="00E50691">
        <w:trPr>
          <w:jc w:val="center"/>
        </w:trPr>
        <w:tc>
          <w:tcPr>
            <w:tcW w:w="4611" w:type="dxa"/>
            <w:vAlign w:val="center"/>
          </w:tcPr>
          <w:p w14:paraId="1C278C7F"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Body mass index, kg/m</w:t>
            </w:r>
            <w:r w:rsidRPr="00D64659">
              <w:rPr>
                <w:rFonts w:ascii="Times New Roman" w:hAnsi="Times New Roman" w:cs="Times New Roman"/>
                <w:sz w:val="24"/>
                <w:szCs w:val="24"/>
                <w:vertAlign w:val="superscript"/>
              </w:rPr>
              <w:t>2</w:t>
            </w:r>
          </w:p>
        </w:tc>
        <w:tc>
          <w:tcPr>
            <w:tcW w:w="4518" w:type="dxa"/>
            <w:vAlign w:val="center"/>
          </w:tcPr>
          <w:p w14:paraId="3445AA7F"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19.7 [17.3, 21.5]</w:t>
            </w:r>
          </w:p>
        </w:tc>
      </w:tr>
      <w:tr w:rsidR="00E50691" w:rsidRPr="00D64659" w14:paraId="4C5F4798" w14:textId="77777777" w:rsidTr="00E50691">
        <w:trPr>
          <w:jc w:val="center"/>
        </w:trPr>
        <w:tc>
          <w:tcPr>
            <w:tcW w:w="4611" w:type="dxa"/>
            <w:vAlign w:val="center"/>
          </w:tcPr>
          <w:p w14:paraId="4B81CCD7"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CT-DXA interval, days</w:t>
            </w:r>
          </w:p>
        </w:tc>
        <w:tc>
          <w:tcPr>
            <w:tcW w:w="4518" w:type="dxa"/>
            <w:vAlign w:val="center"/>
          </w:tcPr>
          <w:p w14:paraId="4D9C21CE"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108 [55, 181]</w:t>
            </w:r>
          </w:p>
        </w:tc>
      </w:tr>
      <w:tr w:rsidR="00E50691" w:rsidRPr="00D64659" w14:paraId="7C4CDC0E" w14:textId="77777777" w:rsidTr="00E50691">
        <w:trPr>
          <w:jc w:val="center"/>
        </w:trPr>
        <w:tc>
          <w:tcPr>
            <w:tcW w:w="4611" w:type="dxa"/>
            <w:vAlign w:val="center"/>
          </w:tcPr>
          <w:p w14:paraId="7E4A708D" w14:textId="2CE89B4D"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CT-BHI, HU</w:t>
            </w:r>
          </w:p>
        </w:tc>
        <w:tc>
          <w:tcPr>
            <w:tcW w:w="4518" w:type="dxa"/>
            <w:vAlign w:val="center"/>
          </w:tcPr>
          <w:p w14:paraId="08CCC55D" w14:textId="77777777" w:rsidR="00E50691" w:rsidRPr="00D64659" w:rsidRDefault="00E50691" w:rsidP="00136C5F">
            <w:pPr>
              <w:jc w:val="center"/>
              <w:rPr>
                <w:rFonts w:ascii="Times New Roman" w:hAnsi="Times New Roman" w:cs="Times New Roman"/>
                <w:sz w:val="24"/>
                <w:szCs w:val="24"/>
              </w:rPr>
            </w:pPr>
            <w:r w:rsidRPr="00D64659">
              <w:rPr>
                <w:rFonts w:ascii="Times New Roman" w:hAnsi="Times New Roman" w:cs="Times New Roman"/>
                <w:sz w:val="24"/>
                <w:szCs w:val="24"/>
              </w:rPr>
              <w:t>112.4 [77.1, 145.8]</w:t>
            </w:r>
          </w:p>
        </w:tc>
      </w:tr>
      <w:tr w:rsidR="0059461E" w:rsidRPr="00D64659" w14:paraId="1EAADBC3" w14:textId="77777777" w:rsidTr="0059461E">
        <w:trPr>
          <w:jc w:val="center"/>
        </w:trPr>
        <w:tc>
          <w:tcPr>
            <w:tcW w:w="4611" w:type="dxa"/>
            <w:vAlign w:val="center"/>
          </w:tcPr>
          <w:p w14:paraId="7204D14E" w14:textId="0E9BA3DB" w:rsidR="0059461E" w:rsidRPr="00D64659" w:rsidRDefault="0059461E" w:rsidP="0059461E">
            <w:pPr>
              <w:jc w:val="center"/>
              <w:rPr>
                <w:rFonts w:ascii="Times New Roman" w:hAnsi="Times New Roman" w:cs="Times New Roman"/>
                <w:sz w:val="24"/>
                <w:szCs w:val="24"/>
              </w:rPr>
            </w:pPr>
            <w:r w:rsidRPr="00D64659">
              <w:rPr>
                <w:rFonts w:ascii="Times New Roman" w:hAnsi="Times New Roman" w:cs="Times New Roman"/>
                <w:sz w:val="24"/>
                <w:szCs w:val="24"/>
              </w:rPr>
              <w:t>T-score</w:t>
            </w:r>
          </w:p>
        </w:tc>
        <w:tc>
          <w:tcPr>
            <w:tcW w:w="4518" w:type="dxa"/>
            <w:vAlign w:val="center"/>
          </w:tcPr>
          <w:p w14:paraId="3DDE9299" w14:textId="03E9B66B" w:rsidR="0059461E" w:rsidRPr="00D64659" w:rsidRDefault="0059461E" w:rsidP="0059461E">
            <w:pPr>
              <w:jc w:val="center"/>
              <w:rPr>
                <w:rFonts w:ascii="Times New Roman" w:hAnsi="Times New Roman" w:cs="Times New Roman"/>
                <w:sz w:val="24"/>
                <w:szCs w:val="24"/>
              </w:rPr>
            </w:pPr>
            <w:r w:rsidRPr="00D64659">
              <w:rPr>
                <w:rFonts w:ascii="Times New Roman" w:hAnsi="Times New Roman" w:cs="Times New Roman"/>
                <w:sz w:val="24"/>
                <w:szCs w:val="24"/>
              </w:rPr>
              <w:t>-1.25 [-1.92, 0.00]</w:t>
            </w:r>
          </w:p>
        </w:tc>
      </w:tr>
      <w:tr w:rsidR="0059461E" w:rsidRPr="00D64659" w14:paraId="21D69CEA" w14:textId="77777777" w:rsidTr="0059461E">
        <w:trPr>
          <w:jc w:val="center"/>
        </w:trPr>
        <w:tc>
          <w:tcPr>
            <w:tcW w:w="4611" w:type="dxa"/>
            <w:tcBorders>
              <w:bottom w:val="single" w:sz="4" w:space="0" w:color="auto"/>
            </w:tcBorders>
            <w:vAlign w:val="center"/>
          </w:tcPr>
          <w:p w14:paraId="2BA30A16" w14:textId="1604EE91" w:rsidR="0059461E" w:rsidRPr="00D64659" w:rsidRDefault="0059461E" w:rsidP="0059461E">
            <w:pPr>
              <w:jc w:val="center"/>
              <w:rPr>
                <w:rFonts w:ascii="Times New Roman" w:hAnsi="Times New Roman" w:cs="Times New Roman"/>
                <w:sz w:val="24"/>
                <w:szCs w:val="24"/>
              </w:rPr>
            </w:pPr>
            <w:r w:rsidRPr="00D64659">
              <w:rPr>
                <w:rFonts w:ascii="Times New Roman" w:hAnsi="Times New Roman" w:cs="Times New Roman"/>
                <w:sz w:val="24"/>
                <w:szCs w:val="24"/>
              </w:rPr>
              <w:t>BMD, g/cm</w:t>
            </w:r>
            <w:r w:rsidRPr="00D64659">
              <w:rPr>
                <w:rFonts w:ascii="Times New Roman" w:hAnsi="Times New Roman" w:cs="Times New Roman"/>
                <w:sz w:val="24"/>
                <w:szCs w:val="24"/>
                <w:vertAlign w:val="superscript"/>
              </w:rPr>
              <w:t>2</w:t>
            </w:r>
          </w:p>
        </w:tc>
        <w:tc>
          <w:tcPr>
            <w:tcW w:w="4518" w:type="dxa"/>
            <w:tcBorders>
              <w:bottom w:val="single" w:sz="4" w:space="0" w:color="auto"/>
            </w:tcBorders>
            <w:vAlign w:val="center"/>
          </w:tcPr>
          <w:p w14:paraId="28C6B15B" w14:textId="77777777" w:rsidR="0059461E" w:rsidRPr="00D64659" w:rsidRDefault="0059461E" w:rsidP="0059461E">
            <w:pPr>
              <w:jc w:val="center"/>
              <w:rPr>
                <w:rFonts w:ascii="Times New Roman" w:hAnsi="Times New Roman" w:cs="Times New Roman"/>
                <w:sz w:val="24"/>
                <w:szCs w:val="24"/>
              </w:rPr>
            </w:pPr>
            <w:r w:rsidRPr="00D64659">
              <w:rPr>
                <w:rFonts w:ascii="Times New Roman" w:hAnsi="Times New Roman" w:cs="Times New Roman"/>
                <w:sz w:val="24"/>
                <w:szCs w:val="24"/>
              </w:rPr>
              <w:t>0.973 [0.894, 1.138]</w:t>
            </w:r>
          </w:p>
        </w:tc>
      </w:tr>
    </w:tbl>
    <w:p w14:paraId="23A49748" w14:textId="5BFC9711" w:rsidR="00E50691" w:rsidRPr="00D64659" w:rsidRDefault="00E50691" w:rsidP="00237509">
      <w:pPr>
        <w:spacing w:after="80" w:line="252" w:lineRule="auto"/>
        <w:rPr>
          <w:rFonts w:ascii="Times New Roman" w:hAnsi="Times New Roman" w:cs="Times New Roman"/>
          <w:sz w:val="24"/>
          <w:szCs w:val="24"/>
        </w:rPr>
      </w:pPr>
      <w:r w:rsidRPr="00D64659">
        <w:rPr>
          <w:rFonts w:ascii="Times New Roman" w:hAnsi="Times New Roman" w:cs="Times New Roman"/>
          <w:sz w:val="24"/>
          <w:szCs w:val="24"/>
        </w:rPr>
        <w:t>Values are median [</w:t>
      </w:r>
      <w:r w:rsidR="000E2809" w:rsidRPr="00D64659">
        <w:rPr>
          <w:rFonts w:ascii="Times New Roman" w:hAnsi="Times New Roman" w:cs="Times New Roman"/>
          <w:sz w:val="24"/>
          <w:szCs w:val="24"/>
        </w:rPr>
        <w:t>interquartile range</w:t>
      </w:r>
      <w:r w:rsidRPr="00D64659">
        <w:rPr>
          <w:rFonts w:ascii="Times New Roman" w:hAnsi="Times New Roman" w:cs="Times New Roman"/>
          <w:sz w:val="24"/>
          <w:szCs w:val="24"/>
        </w:rPr>
        <w:t xml:space="preserve">] or n (%). </w:t>
      </w:r>
      <w:r w:rsidR="00B17C0D" w:rsidRPr="00D64659">
        <w:rPr>
          <w:rFonts w:ascii="Times New Roman" w:hAnsi="Times New Roman" w:cs="Times New Roman"/>
          <w:sz w:val="24"/>
          <w:szCs w:val="24"/>
        </w:rPr>
        <w:t xml:space="preserve">BMD, Bone mineral density; CT-BHI, Computed tomography-bone health indicator; </w:t>
      </w:r>
      <w:r w:rsidRPr="00D64659">
        <w:rPr>
          <w:rFonts w:ascii="Times New Roman" w:hAnsi="Times New Roman" w:cs="Times New Roman"/>
          <w:sz w:val="24"/>
          <w:szCs w:val="24"/>
        </w:rPr>
        <w:t>DXA</w:t>
      </w:r>
      <w:r w:rsidR="000E2809" w:rsidRPr="00D64659">
        <w:rPr>
          <w:rFonts w:ascii="Times New Roman" w:hAnsi="Times New Roman" w:cs="Times New Roman"/>
          <w:sz w:val="24"/>
          <w:szCs w:val="24"/>
        </w:rPr>
        <w:t xml:space="preserve">, </w:t>
      </w:r>
      <w:r w:rsidR="00B17C0D" w:rsidRPr="00D64659">
        <w:rPr>
          <w:rFonts w:ascii="Times New Roman" w:hAnsi="Times New Roman" w:cs="Times New Roman"/>
          <w:sz w:val="24"/>
          <w:szCs w:val="24"/>
        </w:rPr>
        <w:t xml:space="preserve">Dual Energy X-ray </w:t>
      </w:r>
      <w:r w:rsidR="003C07DD" w:rsidRPr="00D64659">
        <w:rPr>
          <w:rFonts w:ascii="Times New Roman" w:hAnsi="Times New Roman" w:cs="Times New Roman"/>
          <w:sz w:val="24"/>
          <w:szCs w:val="24"/>
        </w:rPr>
        <w:t>a</w:t>
      </w:r>
      <w:r w:rsidR="00B17C0D" w:rsidRPr="00D64659">
        <w:rPr>
          <w:rFonts w:ascii="Times New Roman" w:hAnsi="Times New Roman" w:cs="Times New Roman"/>
          <w:sz w:val="24"/>
          <w:szCs w:val="24"/>
        </w:rPr>
        <w:t>bsorptiometry.</w:t>
      </w:r>
    </w:p>
    <w:p w14:paraId="0A934DD8" w14:textId="77777777" w:rsidR="00381E92" w:rsidRPr="00D64659" w:rsidRDefault="00381E92" w:rsidP="00381E92">
      <w:pPr>
        <w:spacing w:after="80" w:line="252" w:lineRule="auto"/>
        <w:jc w:val="center"/>
        <w:rPr>
          <w:rFonts w:ascii="Times New Roman" w:hAnsi="Times New Roman" w:cs="Times New Roman"/>
          <w:b/>
          <w:sz w:val="24"/>
          <w:szCs w:val="24"/>
        </w:rPr>
      </w:pPr>
    </w:p>
    <w:p w14:paraId="54A82451" w14:textId="77777777" w:rsidR="00381E92" w:rsidRPr="00D64659" w:rsidRDefault="00381E92" w:rsidP="00381E92">
      <w:pPr>
        <w:spacing w:after="80" w:line="252" w:lineRule="auto"/>
        <w:jc w:val="center"/>
        <w:rPr>
          <w:rFonts w:ascii="Times New Roman" w:hAnsi="Times New Roman" w:cs="Times New Roman"/>
          <w:b/>
          <w:sz w:val="24"/>
          <w:szCs w:val="24"/>
        </w:rPr>
      </w:pPr>
    </w:p>
    <w:p w14:paraId="038508AE" w14:textId="666D4F97" w:rsidR="00237509" w:rsidRPr="00D64659" w:rsidRDefault="00237509" w:rsidP="00381E92">
      <w:pPr>
        <w:spacing w:after="80" w:line="252" w:lineRule="auto"/>
        <w:jc w:val="center"/>
        <w:rPr>
          <w:rFonts w:ascii="Times New Roman" w:hAnsi="Times New Roman" w:cs="Times New Roman"/>
          <w:b/>
          <w:sz w:val="24"/>
          <w:szCs w:val="24"/>
        </w:rPr>
      </w:pPr>
      <w:r w:rsidRPr="00D64659">
        <w:rPr>
          <w:rFonts w:ascii="Times New Roman" w:hAnsi="Times New Roman" w:cs="Times New Roman"/>
          <w:b/>
          <w:sz w:val="24"/>
          <w:szCs w:val="24"/>
        </w:rPr>
        <w:t>Supplemental Table 2. Correlation between CT-</w:t>
      </w:r>
      <w:r w:rsidR="00F4617A" w:rsidRPr="00D64659">
        <w:rPr>
          <w:rFonts w:ascii="Times New Roman" w:hAnsi="Times New Roman" w:cs="Times New Roman"/>
          <w:b/>
          <w:sz w:val="24"/>
          <w:szCs w:val="24"/>
        </w:rPr>
        <w:t>BHI</w:t>
      </w:r>
      <w:r w:rsidRPr="00D64659">
        <w:rPr>
          <w:rFonts w:ascii="Times New Roman" w:hAnsi="Times New Roman" w:cs="Times New Roman"/>
          <w:b/>
          <w:sz w:val="24"/>
          <w:szCs w:val="24"/>
        </w:rPr>
        <w:t xml:space="preserve"> and lumbar spine DXA indices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1767"/>
        <w:gridCol w:w="1767"/>
      </w:tblGrid>
      <w:tr w:rsidR="003C07DD" w:rsidRPr="00D64659" w14:paraId="21973A66" w14:textId="77777777" w:rsidTr="001A452D">
        <w:trPr>
          <w:jc w:val="center"/>
        </w:trPr>
        <w:tc>
          <w:tcPr>
            <w:tcW w:w="1718" w:type="dxa"/>
            <w:tcBorders>
              <w:top w:val="single" w:sz="4" w:space="0" w:color="auto"/>
              <w:bottom w:val="single" w:sz="4" w:space="0" w:color="auto"/>
            </w:tcBorders>
            <w:vAlign w:val="center"/>
          </w:tcPr>
          <w:p w14:paraId="21AA9CEE" w14:textId="77777777" w:rsidR="003C07DD" w:rsidRPr="00D64659" w:rsidRDefault="003C07DD" w:rsidP="00136C5F">
            <w:pPr>
              <w:jc w:val="center"/>
              <w:rPr>
                <w:rFonts w:ascii="Times New Roman" w:hAnsi="Times New Roman" w:cs="Times New Roman"/>
                <w:sz w:val="24"/>
                <w:szCs w:val="24"/>
              </w:rPr>
            </w:pPr>
            <w:r w:rsidRPr="00D64659">
              <w:rPr>
                <w:rFonts w:ascii="Times New Roman" w:hAnsi="Times New Roman" w:cs="Times New Roman"/>
                <w:b/>
                <w:sz w:val="24"/>
                <w:szCs w:val="24"/>
              </w:rPr>
              <w:t>Lumbar spine DXA index</w:t>
            </w:r>
          </w:p>
        </w:tc>
        <w:tc>
          <w:tcPr>
            <w:tcW w:w="1767" w:type="dxa"/>
            <w:tcBorders>
              <w:top w:val="single" w:sz="4" w:space="0" w:color="auto"/>
              <w:bottom w:val="single" w:sz="4" w:space="0" w:color="auto"/>
            </w:tcBorders>
            <w:vAlign w:val="center"/>
          </w:tcPr>
          <w:p w14:paraId="540E5A02" w14:textId="24429476" w:rsidR="003C07DD" w:rsidRPr="00D64659" w:rsidRDefault="003C07DD" w:rsidP="00136C5F">
            <w:pPr>
              <w:jc w:val="center"/>
              <w:rPr>
                <w:rFonts w:ascii="Times New Roman" w:hAnsi="Times New Roman" w:cs="Times New Roman"/>
                <w:sz w:val="24"/>
                <w:szCs w:val="24"/>
              </w:rPr>
            </w:pPr>
            <w:r w:rsidRPr="00D64659">
              <w:rPr>
                <w:rFonts w:ascii="Times New Roman" w:hAnsi="Times New Roman" w:cs="Times New Roman"/>
                <w:b/>
                <w:sz w:val="24"/>
                <w:szCs w:val="24"/>
              </w:rPr>
              <w:t xml:space="preserve">Spearman </w:t>
            </w:r>
            <w:r w:rsidRPr="00D64659">
              <w:rPr>
                <w:rFonts w:ascii="Times New Roman" w:hAnsi="Times New Roman" w:cs="Times New Roman"/>
                <w:b/>
                <w:bCs/>
                <w:color w:val="000000" w:themeColor="text1"/>
                <w:sz w:val="24"/>
                <w:szCs w:val="24"/>
              </w:rPr>
              <w:t>ρ</w:t>
            </w:r>
          </w:p>
        </w:tc>
        <w:tc>
          <w:tcPr>
            <w:tcW w:w="1767" w:type="dxa"/>
            <w:tcBorders>
              <w:top w:val="single" w:sz="4" w:space="0" w:color="auto"/>
              <w:bottom w:val="single" w:sz="4" w:space="0" w:color="auto"/>
            </w:tcBorders>
            <w:vAlign w:val="center"/>
          </w:tcPr>
          <w:p w14:paraId="459FDCFD" w14:textId="541D7C0B" w:rsidR="003C07DD" w:rsidRPr="00D64659" w:rsidRDefault="003C07DD" w:rsidP="00136C5F">
            <w:pPr>
              <w:jc w:val="center"/>
              <w:rPr>
                <w:rFonts w:ascii="Times New Roman" w:hAnsi="Times New Roman" w:cs="Times New Roman"/>
                <w:sz w:val="24"/>
                <w:szCs w:val="24"/>
              </w:rPr>
            </w:pPr>
            <w:r w:rsidRPr="00D64659">
              <w:rPr>
                <w:rFonts w:ascii="Times New Roman" w:hAnsi="Times New Roman" w:cs="Times New Roman"/>
                <w:b/>
                <w:sz w:val="24"/>
                <w:szCs w:val="24"/>
              </w:rPr>
              <w:t>P value</w:t>
            </w:r>
          </w:p>
        </w:tc>
      </w:tr>
      <w:tr w:rsidR="003C07DD" w:rsidRPr="00D64659" w14:paraId="1A8E4B98" w14:textId="77777777" w:rsidTr="003707A8">
        <w:trPr>
          <w:jc w:val="center"/>
        </w:trPr>
        <w:tc>
          <w:tcPr>
            <w:tcW w:w="1718" w:type="dxa"/>
            <w:tcBorders>
              <w:top w:val="single" w:sz="4" w:space="0" w:color="auto"/>
            </w:tcBorders>
            <w:vAlign w:val="center"/>
          </w:tcPr>
          <w:p w14:paraId="41A816D9" w14:textId="01879BAC" w:rsidR="003C07DD" w:rsidRPr="00D64659" w:rsidRDefault="003C07DD" w:rsidP="00136C5F">
            <w:pPr>
              <w:jc w:val="center"/>
              <w:rPr>
                <w:rFonts w:ascii="Times New Roman" w:hAnsi="Times New Roman" w:cs="Times New Roman"/>
                <w:sz w:val="24"/>
                <w:szCs w:val="24"/>
              </w:rPr>
            </w:pPr>
            <w:r w:rsidRPr="00D64659">
              <w:rPr>
                <w:rFonts w:ascii="Times New Roman" w:hAnsi="Times New Roman" w:cs="Times New Roman"/>
                <w:sz w:val="24"/>
                <w:szCs w:val="24"/>
              </w:rPr>
              <w:t>T-score</w:t>
            </w:r>
          </w:p>
        </w:tc>
        <w:tc>
          <w:tcPr>
            <w:tcW w:w="1767" w:type="dxa"/>
            <w:tcBorders>
              <w:top w:val="single" w:sz="4" w:space="0" w:color="auto"/>
            </w:tcBorders>
            <w:vAlign w:val="center"/>
          </w:tcPr>
          <w:p w14:paraId="0D1E45B1" w14:textId="77777777" w:rsidR="003C07DD" w:rsidRPr="00D64659" w:rsidRDefault="003C07DD" w:rsidP="00136C5F">
            <w:pPr>
              <w:jc w:val="center"/>
              <w:rPr>
                <w:rFonts w:ascii="Times New Roman" w:hAnsi="Times New Roman" w:cs="Times New Roman"/>
                <w:sz w:val="24"/>
                <w:szCs w:val="24"/>
              </w:rPr>
            </w:pPr>
            <w:r w:rsidRPr="00D64659">
              <w:rPr>
                <w:rFonts w:ascii="Times New Roman" w:hAnsi="Times New Roman" w:cs="Times New Roman"/>
                <w:sz w:val="24"/>
                <w:szCs w:val="24"/>
              </w:rPr>
              <w:t>0.509</w:t>
            </w:r>
          </w:p>
        </w:tc>
        <w:tc>
          <w:tcPr>
            <w:tcW w:w="1767" w:type="dxa"/>
            <w:tcBorders>
              <w:top w:val="single" w:sz="4" w:space="0" w:color="auto"/>
            </w:tcBorders>
            <w:vAlign w:val="center"/>
          </w:tcPr>
          <w:p w14:paraId="5D644B86" w14:textId="77777777" w:rsidR="003C07DD" w:rsidRPr="00D64659" w:rsidRDefault="003C07DD" w:rsidP="00136C5F">
            <w:pPr>
              <w:jc w:val="center"/>
              <w:rPr>
                <w:rFonts w:ascii="Times New Roman" w:hAnsi="Times New Roman" w:cs="Times New Roman"/>
                <w:sz w:val="24"/>
                <w:szCs w:val="24"/>
              </w:rPr>
            </w:pPr>
            <w:r w:rsidRPr="00D64659">
              <w:rPr>
                <w:rFonts w:ascii="Times New Roman" w:hAnsi="Times New Roman" w:cs="Times New Roman"/>
                <w:sz w:val="24"/>
                <w:szCs w:val="24"/>
              </w:rPr>
              <w:t>&lt;0.001</w:t>
            </w:r>
          </w:p>
        </w:tc>
      </w:tr>
      <w:tr w:rsidR="003C07DD" w:rsidRPr="00D64659" w14:paraId="068A2A17" w14:textId="77777777" w:rsidTr="003707A8">
        <w:trPr>
          <w:jc w:val="center"/>
        </w:trPr>
        <w:tc>
          <w:tcPr>
            <w:tcW w:w="1718" w:type="dxa"/>
            <w:tcBorders>
              <w:bottom w:val="single" w:sz="4" w:space="0" w:color="auto"/>
            </w:tcBorders>
            <w:vAlign w:val="center"/>
          </w:tcPr>
          <w:p w14:paraId="5FF6B5B9" w14:textId="20CC3E04" w:rsidR="003C07DD" w:rsidRPr="00D64659" w:rsidRDefault="003C07DD" w:rsidP="0059461E">
            <w:pPr>
              <w:rPr>
                <w:rFonts w:ascii="Times New Roman" w:hAnsi="Times New Roman" w:cs="Times New Roman"/>
                <w:sz w:val="24"/>
                <w:szCs w:val="24"/>
              </w:rPr>
            </w:pPr>
            <w:r w:rsidRPr="00D64659">
              <w:rPr>
                <w:rFonts w:ascii="Times New Roman" w:hAnsi="Times New Roman" w:cs="Times New Roman"/>
                <w:sz w:val="24"/>
                <w:szCs w:val="24"/>
              </w:rPr>
              <w:t>BMD, g/cm</w:t>
            </w:r>
            <w:r w:rsidRPr="00D64659">
              <w:rPr>
                <w:rFonts w:ascii="Times New Roman" w:hAnsi="Times New Roman" w:cs="Times New Roman"/>
                <w:sz w:val="24"/>
                <w:szCs w:val="24"/>
                <w:vertAlign w:val="superscript"/>
              </w:rPr>
              <w:t>2</w:t>
            </w:r>
          </w:p>
        </w:tc>
        <w:tc>
          <w:tcPr>
            <w:tcW w:w="1767" w:type="dxa"/>
            <w:tcBorders>
              <w:bottom w:val="single" w:sz="4" w:space="0" w:color="auto"/>
            </w:tcBorders>
            <w:vAlign w:val="center"/>
          </w:tcPr>
          <w:p w14:paraId="1D6BF077" w14:textId="77777777" w:rsidR="003C07DD" w:rsidRPr="00D64659" w:rsidRDefault="003C07DD" w:rsidP="00136C5F">
            <w:pPr>
              <w:jc w:val="center"/>
              <w:rPr>
                <w:rFonts w:ascii="Times New Roman" w:hAnsi="Times New Roman" w:cs="Times New Roman"/>
                <w:sz w:val="24"/>
                <w:szCs w:val="24"/>
              </w:rPr>
            </w:pPr>
            <w:r w:rsidRPr="00D64659">
              <w:rPr>
                <w:rFonts w:ascii="Times New Roman" w:hAnsi="Times New Roman" w:cs="Times New Roman"/>
                <w:sz w:val="24"/>
                <w:szCs w:val="24"/>
              </w:rPr>
              <w:t>0.503</w:t>
            </w:r>
          </w:p>
        </w:tc>
        <w:tc>
          <w:tcPr>
            <w:tcW w:w="1767" w:type="dxa"/>
            <w:tcBorders>
              <w:bottom w:val="single" w:sz="4" w:space="0" w:color="auto"/>
            </w:tcBorders>
            <w:vAlign w:val="center"/>
          </w:tcPr>
          <w:p w14:paraId="50F4BCC0" w14:textId="77777777" w:rsidR="003C07DD" w:rsidRPr="00D64659" w:rsidRDefault="003C07DD" w:rsidP="00136C5F">
            <w:pPr>
              <w:jc w:val="center"/>
              <w:rPr>
                <w:rFonts w:ascii="Times New Roman" w:hAnsi="Times New Roman" w:cs="Times New Roman"/>
                <w:sz w:val="24"/>
                <w:szCs w:val="24"/>
              </w:rPr>
            </w:pPr>
            <w:r w:rsidRPr="00D64659">
              <w:rPr>
                <w:rFonts w:ascii="Times New Roman" w:hAnsi="Times New Roman" w:cs="Times New Roman"/>
                <w:sz w:val="24"/>
                <w:szCs w:val="24"/>
              </w:rPr>
              <w:t>&lt;0.001</w:t>
            </w:r>
          </w:p>
        </w:tc>
      </w:tr>
    </w:tbl>
    <w:p w14:paraId="32911951" w14:textId="190C8BCE" w:rsidR="00237509" w:rsidRPr="00D64659" w:rsidRDefault="00B17C0D">
      <w:pPr>
        <w:rPr>
          <w:rFonts w:ascii="Times New Roman" w:hAnsi="Times New Roman" w:cs="Times New Roman"/>
        </w:rPr>
      </w:pPr>
      <w:r w:rsidRPr="00D64659">
        <w:rPr>
          <w:rFonts w:ascii="Times New Roman" w:hAnsi="Times New Roman" w:cs="Times New Roman"/>
          <w:sz w:val="24"/>
          <w:szCs w:val="24"/>
        </w:rPr>
        <w:t xml:space="preserve">CT-BHI, computed tomography-bone health indicator; DXA, Dual Energy X-ray </w:t>
      </w:r>
      <w:r w:rsidR="003C07DD" w:rsidRPr="00D64659">
        <w:rPr>
          <w:rFonts w:ascii="Times New Roman" w:hAnsi="Times New Roman" w:cs="Times New Roman"/>
          <w:sz w:val="24"/>
          <w:szCs w:val="24"/>
        </w:rPr>
        <w:t>a</w:t>
      </w:r>
      <w:r w:rsidRPr="00D64659">
        <w:rPr>
          <w:rFonts w:ascii="Times New Roman" w:hAnsi="Times New Roman" w:cs="Times New Roman"/>
          <w:sz w:val="24"/>
          <w:szCs w:val="24"/>
        </w:rPr>
        <w:t>bsorptiometry.</w:t>
      </w:r>
    </w:p>
    <w:p w14:paraId="39F495A8" w14:textId="77777777" w:rsidR="003707A8" w:rsidRPr="00D64659" w:rsidRDefault="003707A8" w:rsidP="00E91D54">
      <w:pPr>
        <w:spacing w:after="80" w:line="252" w:lineRule="auto"/>
        <w:jc w:val="center"/>
        <w:rPr>
          <w:rFonts w:ascii="Times New Roman" w:hAnsi="Times New Roman" w:cs="Times New Roman"/>
        </w:rPr>
      </w:pPr>
    </w:p>
    <w:p w14:paraId="6B6BD3FB" w14:textId="77777777" w:rsidR="00381E92" w:rsidRPr="00D64659" w:rsidRDefault="00381E92" w:rsidP="00E91D54">
      <w:pPr>
        <w:spacing w:after="80" w:line="252" w:lineRule="auto"/>
        <w:jc w:val="center"/>
        <w:rPr>
          <w:rFonts w:ascii="Times New Roman" w:hAnsi="Times New Roman" w:cs="Times New Roman"/>
          <w:b/>
          <w:sz w:val="24"/>
          <w:szCs w:val="24"/>
        </w:rPr>
        <w:sectPr w:rsidR="00381E92" w:rsidRPr="00D64659" w:rsidSect="00381E92">
          <w:pgSz w:w="12240" w:h="15840"/>
          <w:pgMar w:top="1080" w:right="1440" w:bottom="1080" w:left="1440" w:header="708" w:footer="708" w:gutter="0"/>
          <w:cols w:space="708"/>
          <w:docGrid w:linePitch="360"/>
        </w:sectPr>
      </w:pPr>
    </w:p>
    <w:p w14:paraId="6C99F85E" w14:textId="0E8FB3E2" w:rsidR="001A452D" w:rsidRPr="00D64659" w:rsidRDefault="00E91D54" w:rsidP="00E91D54">
      <w:pPr>
        <w:spacing w:after="80" w:line="252" w:lineRule="auto"/>
        <w:jc w:val="center"/>
        <w:rPr>
          <w:rFonts w:ascii="Times New Roman" w:hAnsi="Times New Roman" w:cs="Times New Roman"/>
          <w:sz w:val="24"/>
          <w:szCs w:val="24"/>
        </w:rPr>
      </w:pPr>
      <w:r w:rsidRPr="00D64659">
        <w:rPr>
          <w:rFonts w:ascii="Times New Roman" w:hAnsi="Times New Roman" w:cs="Times New Roman"/>
          <w:b/>
          <w:sz w:val="24"/>
          <w:szCs w:val="24"/>
        </w:rPr>
        <w:lastRenderedPageBreak/>
        <w:t>Supplemental Table 3</w:t>
      </w:r>
      <w:r w:rsidR="001A452D" w:rsidRPr="00D64659">
        <w:rPr>
          <w:rFonts w:ascii="Times New Roman" w:hAnsi="Times New Roman" w:cs="Times New Roman"/>
          <w:b/>
          <w:sz w:val="24"/>
          <w:szCs w:val="24"/>
        </w:rPr>
        <w:t xml:space="preserve">. Linear regression </w:t>
      </w:r>
      <w:r w:rsidRPr="00D64659">
        <w:rPr>
          <w:rFonts w:ascii="Times New Roman" w:hAnsi="Times New Roman" w:cs="Times New Roman"/>
          <w:b/>
          <w:sz w:val="24"/>
          <w:szCs w:val="24"/>
        </w:rPr>
        <w:t>analysis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4"/>
        <w:gridCol w:w="1936"/>
        <w:gridCol w:w="1837"/>
        <w:gridCol w:w="1886"/>
        <w:gridCol w:w="1837"/>
      </w:tblGrid>
      <w:tr w:rsidR="001A452D" w:rsidRPr="00D64659" w14:paraId="4CCD1D71" w14:textId="77777777" w:rsidTr="001A452D">
        <w:trPr>
          <w:jc w:val="center"/>
        </w:trPr>
        <w:tc>
          <w:tcPr>
            <w:tcW w:w="1948" w:type="dxa"/>
            <w:tcBorders>
              <w:top w:val="single" w:sz="4" w:space="0" w:color="auto"/>
              <w:bottom w:val="single" w:sz="4" w:space="0" w:color="auto"/>
            </w:tcBorders>
            <w:vAlign w:val="center"/>
          </w:tcPr>
          <w:p w14:paraId="69DA0EE1"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b/>
                <w:sz w:val="24"/>
                <w:szCs w:val="24"/>
              </w:rPr>
              <w:t>Lumbar spine DXA index</w:t>
            </w:r>
          </w:p>
        </w:tc>
        <w:tc>
          <w:tcPr>
            <w:tcW w:w="1991" w:type="dxa"/>
            <w:tcBorders>
              <w:top w:val="single" w:sz="4" w:space="0" w:color="auto"/>
              <w:bottom w:val="single" w:sz="4" w:space="0" w:color="auto"/>
            </w:tcBorders>
            <w:vAlign w:val="center"/>
          </w:tcPr>
          <w:p w14:paraId="6D79BAC2"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b/>
                <w:sz w:val="24"/>
                <w:szCs w:val="24"/>
              </w:rPr>
              <w:t>Unadjusted beta per 10 HU (95% CI)</w:t>
            </w:r>
          </w:p>
        </w:tc>
        <w:tc>
          <w:tcPr>
            <w:tcW w:w="1935" w:type="dxa"/>
            <w:tcBorders>
              <w:top w:val="single" w:sz="4" w:space="0" w:color="auto"/>
              <w:bottom w:val="single" w:sz="4" w:space="0" w:color="auto"/>
            </w:tcBorders>
            <w:vAlign w:val="center"/>
          </w:tcPr>
          <w:p w14:paraId="71FE8954"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b/>
                <w:sz w:val="24"/>
                <w:szCs w:val="24"/>
              </w:rPr>
              <w:t>p</w:t>
            </w:r>
          </w:p>
        </w:tc>
        <w:tc>
          <w:tcPr>
            <w:tcW w:w="1963" w:type="dxa"/>
            <w:tcBorders>
              <w:top w:val="single" w:sz="4" w:space="0" w:color="auto"/>
              <w:bottom w:val="single" w:sz="4" w:space="0" w:color="auto"/>
            </w:tcBorders>
            <w:vAlign w:val="center"/>
          </w:tcPr>
          <w:p w14:paraId="4CE74816"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b/>
                <w:sz w:val="24"/>
                <w:szCs w:val="24"/>
              </w:rPr>
              <w:t>Adjusted beta per 10 HU (95% CI)</w:t>
            </w:r>
          </w:p>
        </w:tc>
        <w:tc>
          <w:tcPr>
            <w:tcW w:w="1935" w:type="dxa"/>
            <w:tcBorders>
              <w:top w:val="single" w:sz="4" w:space="0" w:color="auto"/>
              <w:bottom w:val="single" w:sz="4" w:space="0" w:color="auto"/>
            </w:tcBorders>
            <w:vAlign w:val="center"/>
          </w:tcPr>
          <w:p w14:paraId="5FC55579"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b/>
                <w:sz w:val="24"/>
                <w:szCs w:val="24"/>
              </w:rPr>
              <w:t>p</w:t>
            </w:r>
          </w:p>
        </w:tc>
      </w:tr>
      <w:tr w:rsidR="001A452D" w:rsidRPr="00D64659" w14:paraId="234A7880" w14:textId="77777777" w:rsidTr="003707A8">
        <w:trPr>
          <w:jc w:val="center"/>
        </w:trPr>
        <w:tc>
          <w:tcPr>
            <w:tcW w:w="1948" w:type="dxa"/>
            <w:tcBorders>
              <w:top w:val="single" w:sz="4" w:space="0" w:color="auto"/>
            </w:tcBorders>
            <w:vAlign w:val="center"/>
          </w:tcPr>
          <w:p w14:paraId="73EF5C3A" w14:textId="3C6D0004"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sz w:val="24"/>
                <w:szCs w:val="24"/>
              </w:rPr>
              <w:t>T-score</w:t>
            </w:r>
          </w:p>
        </w:tc>
        <w:tc>
          <w:tcPr>
            <w:tcW w:w="1991" w:type="dxa"/>
            <w:tcBorders>
              <w:top w:val="single" w:sz="4" w:space="0" w:color="auto"/>
            </w:tcBorders>
            <w:vAlign w:val="center"/>
          </w:tcPr>
          <w:p w14:paraId="40B217A7"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sz w:val="24"/>
                <w:szCs w:val="24"/>
              </w:rPr>
              <w:t>0.202 (0.091 to 0.314)</w:t>
            </w:r>
          </w:p>
        </w:tc>
        <w:tc>
          <w:tcPr>
            <w:tcW w:w="1935" w:type="dxa"/>
            <w:tcBorders>
              <w:top w:val="single" w:sz="4" w:space="0" w:color="auto"/>
            </w:tcBorders>
            <w:vAlign w:val="center"/>
          </w:tcPr>
          <w:p w14:paraId="0B4241CE"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sz w:val="24"/>
                <w:szCs w:val="24"/>
              </w:rPr>
              <w:t>&lt;0.001</w:t>
            </w:r>
          </w:p>
        </w:tc>
        <w:tc>
          <w:tcPr>
            <w:tcW w:w="1963" w:type="dxa"/>
            <w:tcBorders>
              <w:top w:val="single" w:sz="4" w:space="0" w:color="auto"/>
            </w:tcBorders>
            <w:vAlign w:val="center"/>
          </w:tcPr>
          <w:p w14:paraId="07E3310A"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sz w:val="24"/>
                <w:szCs w:val="24"/>
              </w:rPr>
              <w:t>0.208 (0.091 to 0.325)</w:t>
            </w:r>
          </w:p>
        </w:tc>
        <w:tc>
          <w:tcPr>
            <w:tcW w:w="1935" w:type="dxa"/>
            <w:tcBorders>
              <w:top w:val="single" w:sz="4" w:space="0" w:color="auto"/>
            </w:tcBorders>
            <w:vAlign w:val="center"/>
          </w:tcPr>
          <w:p w14:paraId="31DCFEC3"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sz w:val="24"/>
                <w:szCs w:val="24"/>
              </w:rPr>
              <w:t>&lt;0.001</w:t>
            </w:r>
          </w:p>
        </w:tc>
      </w:tr>
      <w:tr w:rsidR="001A452D" w:rsidRPr="00D64659" w14:paraId="05F3AB01" w14:textId="77777777" w:rsidTr="003707A8">
        <w:trPr>
          <w:jc w:val="center"/>
        </w:trPr>
        <w:tc>
          <w:tcPr>
            <w:tcW w:w="1948" w:type="dxa"/>
            <w:tcBorders>
              <w:bottom w:val="single" w:sz="4" w:space="0" w:color="auto"/>
            </w:tcBorders>
            <w:vAlign w:val="center"/>
          </w:tcPr>
          <w:p w14:paraId="7AFD84E9" w14:textId="2DFB91E1"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sz w:val="24"/>
                <w:szCs w:val="24"/>
              </w:rPr>
              <w:t>BMD, g/cm</w:t>
            </w:r>
            <w:r w:rsidRPr="00D64659">
              <w:rPr>
                <w:rFonts w:ascii="Times New Roman" w:hAnsi="Times New Roman" w:cs="Times New Roman"/>
                <w:sz w:val="24"/>
                <w:szCs w:val="24"/>
                <w:vertAlign w:val="superscript"/>
              </w:rPr>
              <w:t>2</w:t>
            </w:r>
          </w:p>
        </w:tc>
        <w:tc>
          <w:tcPr>
            <w:tcW w:w="1991" w:type="dxa"/>
            <w:tcBorders>
              <w:bottom w:val="single" w:sz="4" w:space="0" w:color="auto"/>
            </w:tcBorders>
            <w:vAlign w:val="center"/>
          </w:tcPr>
          <w:p w14:paraId="6AE0EA9C"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sz w:val="24"/>
                <w:szCs w:val="24"/>
              </w:rPr>
              <w:t>0.024 (0.010 to 0.038)</w:t>
            </w:r>
          </w:p>
        </w:tc>
        <w:tc>
          <w:tcPr>
            <w:tcW w:w="1935" w:type="dxa"/>
            <w:tcBorders>
              <w:bottom w:val="single" w:sz="4" w:space="0" w:color="auto"/>
            </w:tcBorders>
            <w:vAlign w:val="center"/>
          </w:tcPr>
          <w:p w14:paraId="51954833"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sz w:val="24"/>
                <w:szCs w:val="24"/>
              </w:rPr>
              <w:t>0.001</w:t>
            </w:r>
          </w:p>
        </w:tc>
        <w:tc>
          <w:tcPr>
            <w:tcW w:w="1963" w:type="dxa"/>
            <w:tcBorders>
              <w:bottom w:val="single" w:sz="4" w:space="0" w:color="auto"/>
            </w:tcBorders>
            <w:vAlign w:val="center"/>
          </w:tcPr>
          <w:p w14:paraId="66FFAB29"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sz w:val="24"/>
                <w:szCs w:val="24"/>
              </w:rPr>
              <w:t>0.025 (0.011 to 0.039)</w:t>
            </w:r>
          </w:p>
        </w:tc>
        <w:tc>
          <w:tcPr>
            <w:tcW w:w="1935" w:type="dxa"/>
            <w:tcBorders>
              <w:bottom w:val="single" w:sz="4" w:space="0" w:color="auto"/>
            </w:tcBorders>
            <w:vAlign w:val="center"/>
          </w:tcPr>
          <w:p w14:paraId="79562D8A" w14:textId="77777777" w:rsidR="001A452D" w:rsidRPr="00D64659" w:rsidRDefault="001A452D" w:rsidP="00136C5F">
            <w:pPr>
              <w:jc w:val="center"/>
              <w:rPr>
                <w:rFonts w:ascii="Times New Roman" w:hAnsi="Times New Roman" w:cs="Times New Roman"/>
                <w:sz w:val="24"/>
                <w:szCs w:val="24"/>
              </w:rPr>
            </w:pPr>
            <w:r w:rsidRPr="00D64659">
              <w:rPr>
                <w:rFonts w:ascii="Times New Roman" w:hAnsi="Times New Roman" w:cs="Times New Roman"/>
                <w:sz w:val="24"/>
                <w:szCs w:val="24"/>
              </w:rPr>
              <w:t>&lt;0.001</w:t>
            </w:r>
          </w:p>
        </w:tc>
      </w:tr>
    </w:tbl>
    <w:p w14:paraId="4FD13094" w14:textId="58AD4E4D" w:rsidR="001A452D" w:rsidRPr="00D64659" w:rsidRDefault="001A452D" w:rsidP="000F3842">
      <w:pPr>
        <w:spacing w:after="80" w:line="252" w:lineRule="auto"/>
        <w:rPr>
          <w:rFonts w:ascii="Times New Roman" w:hAnsi="Times New Roman" w:cs="Times New Roman"/>
          <w:sz w:val="24"/>
          <w:szCs w:val="24"/>
        </w:rPr>
      </w:pPr>
      <w:r w:rsidRPr="00D64659">
        <w:rPr>
          <w:rFonts w:ascii="Times New Roman" w:hAnsi="Times New Roman" w:cs="Times New Roman"/>
          <w:sz w:val="24"/>
          <w:szCs w:val="24"/>
        </w:rPr>
        <w:t>Beta represents the expected change in the DXA index per 10-HU increase in CT-</w:t>
      </w:r>
      <w:r w:rsidR="00B17C0D" w:rsidRPr="00D64659">
        <w:rPr>
          <w:rFonts w:ascii="Times New Roman" w:hAnsi="Times New Roman" w:cs="Times New Roman"/>
          <w:sz w:val="24"/>
          <w:szCs w:val="24"/>
        </w:rPr>
        <w:t>BHI</w:t>
      </w:r>
      <w:r w:rsidRPr="00D64659">
        <w:rPr>
          <w:rFonts w:ascii="Times New Roman" w:hAnsi="Times New Roman" w:cs="Times New Roman"/>
          <w:sz w:val="24"/>
          <w:szCs w:val="24"/>
        </w:rPr>
        <w:t xml:space="preserve">. Adjusted models included age, sex, </w:t>
      </w:r>
      <w:r w:rsidR="003707A8" w:rsidRPr="00D64659">
        <w:rPr>
          <w:rFonts w:ascii="Times New Roman" w:hAnsi="Times New Roman" w:cs="Times New Roman"/>
          <w:sz w:val="24"/>
          <w:szCs w:val="24"/>
        </w:rPr>
        <w:t>body mass index</w:t>
      </w:r>
      <w:r w:rsidRPr="00D64659">
        <w:rPr>
          <w:rFonts w:ascii="Times New Roman" w:hAnsi="Times New Roman" w:cs="Times New Roman"/>
          <w:sz w:val="24"/>
          <w:szCs w:val="24"/>
        </w:rPr>
        <w:t>, and CT-DXA interval.</w:t>
      </w:r>
      <w:r w:rsidR="00B17C0D" w:rsidRPr="00D64659">
        <w:rPr>
          <w:rFonts w:ascii="Times New Roman" w:hAnsi="Times New Roman" w:cs="Times New Roman"/>
          <w:sz w:val="24"/>
          <w:szCs w:val="24"/>
        </w:rPr>
        <w:t xml:space="preserve"> </w:t>
      </w:r>
      <w:r w:rsidR="003707A8" w:rsidRPr="00D64659">
        <w:rPr>
          <w:rFonts w:ascii="Times New Roman" w:hAnsi="Times New Roman" w:cs="Times New Roman"/>
          <w:sz w:val="24"/>
          <w:szCs w:val="24"/>
        </w:rPr>
        <w:t xml:space="preserve">BMD, Bone mineral density; CT-BHI, Computed tomography-bone health indicator; DXA, Dual Energy X-ray </w:t>
      </w:r>
      <w:r w:rsidR="003C07DD" w:rsidRPr="00D64659">
        <w:rPr>
          <w:rFonts w:ascii="Times New Roman" w:hAnsi="Times New Roman" w:cs="Times New Roman"/>
          <w:sz w:val="24"/>
          <w:szCs w:val="24"/>
        </w:rPr>
        <w:t>a</w:t>
      </w:r>
      <w:r w:rsidR="003707A8" w:rsidRPr="00D64659">
        <w:rPr>
          <w:rFonts w:ascii="Times New Roman" w:hAnsi="Times New Roman" w:cs="Times New Roman"/>
          <w:sz w:val="24"/>
          <w:szCs w:val="24"/>
        </w:rPr>
        <w:t>bsorptiometry.</w:t>
      </w:r>
    </w:p>
    <w:p w14:paraId="5A23566D" w14:textId="77777777" w:rsidR="00381E92" w:rsidRPr="00D64659" w:rsidRDefault="00381E92" w:rsidP="00E91D54">
      <w:pPr>
        <w:spacing w:after="80" w:line="252" w:lineRule="auto"/>
        <w:jc w:val="center"/>
        <w:rPr>
          <w:rFonts w:ascii="Times New Roman" w:hAnsi="Times New Roman" w:cs="Times New Roman"/>
        </w:rPr>
      </w:pPr>
    </w:p>
    <w:p w14:paraId="29ED4ABA" w14:textId="77777777" w:rsidR="00381E92" w:rsidRPr="00D64659" w:rsidRDefault="00381E92" w:rsidP="00E91D54">
      <w:pPr>
        <w:spacing w:after="80" w:line="252" w:lineRule="auto"/>
        <w:jc w:val="center"/>
        <w:rPr>
          <w:rFonts w:ascii="Times New Roman" w:hAnsi="Times New Roman" w:cs="Times New Roman"/>
        </w:rPr>
      </w:pPr>
    </w:p>
    <w:p w14:paraId="4DE8E6A7" w14:textId="2DFC468A" w:rsidR="00E91D54" w:rsidRPr="00D64659" w:rsidRDefault="00E91D54" w:rsidP="00E91D54">
      <w:pPr>
        <w:spacing w:after="80" w:line="252" w:lineRule="auto"/>
        <w:jc w:val="center"/>
        <w:rPr>
          <w:rFonts w:ascii="Times New Roman" w:hAnsi="Times New Roman" w:cs="Times New Roman"/>
          <w:sz w:val="24"/>
          <w:szCs w:val="24"/>
        </w:rPr>
      </w:pPr>
      <w:r w:rsidRPr="00D64659">
        <w:rPr>
          <w:rFonts w:ascii="Times New Roman" w:hAnsi="Times New Roman" w:cs="Times New Roman"/>
          <w:b/>
          <w:sz w:val="24"/>
          <w:szCs w:val="24"/>
        </w:rPr>
        <w:t>Supplemental Table 4.</w:t>
      </w:r>
      <w:r w:rsidR="00A82766">
        <w:rPr>
          <w:rFonts w:ascii="Times New Roman" w:hAnsi="Times New Roman" w:cs="Times New Roman"/>
          <w:b/>
          <w:sz w:val="24"/>
          <w:szCs w:val="24"/>
        </w:rPr>
        <w:t xml:space="preserve"> </w:t>
      </w:r>
      <w:r w:rsidRPr="00D64659">
        <w:rPr>
          <w:rFonts w:ascii="Times New Roman" w:hAnsi="Times New Roman" w:cs="Times New Roman"/>
          <w:b/>
          <w:sz w:val="24"/>
          <w:szCs w:val="24"/>
        </w:rPr>
        <w:t>DXA indices across main-cohort CT-BHI tertiles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127"/>
        <w:gridCol w:w="2268"/>
        <w:gridCol w:w="2126"/>
        <w:gridCol w:w="1138"/>
      </w:tblGrid>
      <w:tr w:rsidR="00381E92" w:rsidRPr="00D64659" w14:paraId="0EC872AE" w14:textId="77777777" w:rsidTr="0059461E">
        <w:trPr>
          <w:jc w:val="center"/>
        </w:trPr>
        <w:tc>
          <w:tcPr>
            <w:tcW w:w="1701" w:type="dxa"/>
            <w:tcBorders>
              <w:top w:val="single" w:sz="4" w:space="0" w:color="auto"/>
              <w:bottom w:val="single" w:sz="4" w:space="0" w:color="auto"/>
            </w:tcBorders>
            <w:vAlign w:val="center"/>
          </w:tcPr>
          <w:p w14:paraId="7AE5630A" w14:textId="77777777"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b/>
                <w:sz w:val="22"/>
              </w:rPr>
              <w:t>Variable</w:t>
            </w:r>
          </w:p>
        </w:tc>
        <w:tc>
          <w:tcPr>
            <w:tcW w:w="2127" w:type="dxa"/>
            <w:tcBorders>
              <w:top w:val="single" w:sz="4" w:space="0" w:color="auto"/>
              <w:bottom w:val="single" w:sz="4" w:space="0" w:color="auto"/>
            </w:tcBorders>
            <w:vAlign w:val="center"/>
          </w:tcPr>
          <w:p w14:paraId="4D1576AF" w14:textId="3A7BF7B9"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b/>
                <w:sz w:val="22"/>
              </w:rPr>
              <w:t>Lower CT-BHI</w:t>
            </w:r>
          </w:p>
        </w:tc>
        <w:tc>
          <w:tcPr>
            <w:tcW w:w="2268" w:type="dxa"/>
            <w:tcBorders>
              <w:top w:val="single" w:sz="4" w:space="0" w:color="auto"/>
              <w:bottom w:val="single" w:sz="4" w:space="0" w:color="auto"/>
            </w:tcBorders>
            <w:vAlign w:val="center"/>
          </w:tcPr>
          <w:p w14:paraId="4B7701BF" w14:textId="77B9AE9F"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b/>
                <w:sz w:val="22"/>
              </w:rPr>
              <w:t>Intermediate CT-BHI</w:t>
            </w:r>
          </w:p>
        </w:tc>
        <w:tc>
          <w:tcPr>
            <w:tcW w:w="2126" w:type="dxa"/>
            <w:tcBorders>
              <w:top w:val="single" w:sz="4" w:space="0" w:color="auto"/>
              <w:bottom w:val="single" w:sz="4" w:space="0" w:color="auto"/>
            </w:tcBorders>
            <w:vAlign w:val="center"/>
          </w:tcPr>
          <w:p w14:paraId="2F8AE4FD" w14:textId="186EE986"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b/>
                <w:sz w:val="22"/>
              </w:rPr>
              <w:t>Higher CT-BHI</w:t>
            </w:r>
          </w:p>
        </w:tc>
        <w:tc>
          <w:tcPr>
            <w:tcW w:w="1138" w:type="dxa"/>
            <w:tcBorders>
              <w:top w:val="single" w:sz="4" w:space="0" w:color="auto"/>
              <w:bottom w:val="single" w:sz="4" w:space="0" w:color="auto"/>
            </w:tcBorders>
            <w:vAlign w:val="center"/>
          </w:tcPr>
          <w:p w14:paraId="7E7F8743" w14:textId="2E572B13"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b/>
                <w:sz w:val="22"/>
              </w:rPr>
              <w:t>p value</w:t>
            </w:r>
          </w:p>
        </w:tc>
      </w:tr>
      <w:tr w:rsidR="00381E92" w:rsidRPr="00D64659" w14:paraId="73F674FD" w14:textId="77777777" w:rsidTr="0059461E">
        <w:trPr>
          <w:jc w:val="center"/>
        </w:trPr>
        <w:tc>
          <w:tcPr>
            <w:tcW w:w="1701" w:type="dxa"/>
            <w:tcBorders>
              <w:top w:val="single" w:sz="4" w:space="0" w:color="auto"/>
            </w:tcBorders>
            <w:vAlign w:val="center"/>
          </w:tcPr>
          <w:p w14:paraId="3AE445D1" w14:textId="77777777"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n</w:t>
            </w:r>
          </w:p>
        </w:tc>
        <w:tc>
          <w:tcPr>
            <w:tcW w:w="2127" w:type="dxa"/>
            <w:tcBorders>
              <w:top w:val="single" w:sz="4" w:space="0" w:color="auto"/>
            </w:tcBorders>
            <w:vAlign w:val="center"/>
          </w:tcPr>
          <w:p w14:paraId="62573D23" w14:textId="77777777"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27</w:t>
            </w:r>
          </w:p>
        </w:tc>
        <w:tc>
          <w:tcPr>
            <w:tcW w:w="2268" w:type="dxa"/>
            <w:tcBorders>
              <w:top w:val="single" w:sz="4" w:space="0" w:color="auto"/>
            </w:tcBorders>
            <w:vAlign w:val="center"/>
          </w:tcPr>
          <w:p w14:paraId="47D15C3A" w14:textId="77777777"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11</w:t>
            </w:r>
          </w:p>
        </w:tc>
        <w:tc>
          <w:tcPr>
            <w:tcW w:w="2126" w:type="dxa"/>
            <w:tcBorders>
              <w:top w:val="single" w:sz="4" w:space="0" w:color="auto"/>
            </w:tcBorders>
            <w:vAlign w:val="center"/>
          </w:tcPr>
          <w:p w14:paraId="45CC0838" w14:textId="77777777"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6</w:t>
            </w:r>
          </w:p>
        </w:tc>
        <w:tc>
          <w:tcPr>
            <w:tcW w:w="1138" w:type="dxa"/>
            <w:tcBorders>
              <w:top w:val="single" w:sz="4" w:space="0" w:color="auto"/>
            </w:tcBorders>
            <w:vAlign w:val="center"/>
          </w:tcPr>
          <w:p w14:paraId="3F641C71" w14:textId="77777777" w:rsidR="00381E92" w:rsidRPr="00D64659" w:rsidRDefault="00381E92" w:rsidP="00136C5F">
            <w:pPr>
              <w:jc w:val="center"/>
              <w:rPr>
                <w:rFonts w:ascii="Times New Roman" w:hAnsi="Times New Roman" w:cs="Times New Roman"/>
                <w:sz w:val="22"/>
              </w:rPr>
            </w:pPr>
          </w:p>
        </w:tc>
      </w:tr>
      <w:tr w:rsidR="00381E92" w:rsidRPr="00D64659" w14:paraId="3DFC1C87" w14:textId="77777777" w:rsidTr="0059461E">
        <w:trPr>
          <w:jc w:val="center"/>
        </w:trPr>
        <w:tc>
          <w:tcPr>
            <w:tcW w:w="1701" w:type="dxa"/>
            <w:vAlign w:val="center"/>
          </w:tcPr>
          <w:p w14:paraId="0FF1AB44" w14:textId="63665625"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T-score</w:t>
            </w:r>
          </w:p>
        </w:tc>
        <w:tc>
          <w:tcPr>
            <w:tcW w:w="2127" w:type="dxa"/>
            <w:vAlign w:val="center"/>
          </w:tcPr>
          <w:p w14:paraId="45441683" w14:textId="42B482CA"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-1.9</w:t>
            </w:r>
            <w:r w:rsidR="0059461E" w:rsidRPr="00D64659">
              <w:rPr>
                <w:rFonts w:ascii="Times New Roman" w:hAnsi="Times New Roman" w:cs="Times New Roman"/>
                <w:sz w:val="22"/>
              </w:rPr>
              <w:t xml:space="preserve"> </w:t>
            </w:r>
            <w:r w:rsidRPr="00D64659">
              <w:rPr>
                <w:rFonts w:ascii="Times New Roman" w:hAnsi="Times New Roman" w:cs="Times New Roman"/>
                <w:sz w:val="22"/>
              </w:rPr>
              <w:t>[-2.2, -0.9]</w:t>
            </w:r>
          </w:p>
        </w:tc>
        <w:tc>
          <w:tcPr>
            <w:tcW w:w="2268" w:type="dxa"/>
            <w:vAlign w:val="center"/>
          </w:tcPr>
          <w:p w14:paraId="60206C04" w14:textId="77777777" w:rsidR="00381E92" w:rsidRPr="00D64659" w:rsidRDefault="00381E92" w:rsidP="00136C5F">
            <w:pPr>
              <w:jc w:val="center"/>
              <w:rPr>
                <w:rFonts w:ascii="Times New Roman" w:hAnsi="Times New Roman" w:cs="Times New Roman"/>
                <w:sz w:val="22"/>
                <w:lang w:eastAsia="ja-JP"/>
              </w:rPr>
            </w:pPr>
            <w:r w:rsidRPr="00D64659">
              <w:rPr>
                <w:rFonts w:ascii="Times New Roman" w:hAnsi="Times New Roman" w:cs="Times New Roman"/>
                <w:sz w:val="22"/>
              </w:rPr>
              <w:t>-0.5 [-1.2, 0.9]</w:t>
            </w:r>
          </w:p>
        </w:tc>
        <w:tc>
          <w:tcPr>
            <w:tcW w:w="2126" w:type="dxa"/>
            <w:vAlign w:val="center"/>
          </w:tcPr>
          <w:p w14:paraId="56DCB9C8" w14:textId="77777777"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0.8 [-1.2, 1.8]</w:t>
            </w:r>
          </w:p>
        </w:tc>
        <w:tc>
          <w:tcPr>
            <w:tcW w:w="1138" w:type="dxa"/>
            <w:vAlign w:val="center"/>
          </w:tcPr>
          <w:p w14:paraId="6CD00FCF" w14:textId="77777777"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0.006</w:t>
            </w:r>
          </w:p>
        </w:tc>
      </w:tr>
      <w:tr w:rsidR="00381E92" w:rsidRPr="00D64659" w14:paraId="6437BB61" w14:textId="77777777" w:rsidTr="0059461E">
        <w:trPr>
          <w:jc w:val="center"/>
        </w:trPr>
        <w:tc>
          <w:tcPr>
            <w:tcW w:w="1701" w:type="dxa"/>
            <w:tcBorders>
              <w:bottom w:val="single" w:sz="4" w:space="0" w:color="auto"/>
            </w:tcBorders>
            <w:vAlign w:val="center"/>
          </w:tcPr>
          <w:p w14:paraId="0BDF3F76" w14:textId="59473E58"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BMD, g/cm</w:t>
            </w:r>
            <w:r w:rsidRPr="00D64659">
              <w:rPr>
                <w:rFonts w:ascii="Times New Roman" w:hAnsi="Times New Roman" w:cs="Times New Roman"/>
                <w:sz w:val="22"/>
                <w:vertAlign w:val="superscript"/>
              </w:rPr>
              <w:t>2</w:t>
            </w:r>
          </w:p>
        </w:tc>
        <w:tc>
          <w:tcPr>
            <w:tcW w:w="2127" w:type="dxa"/>
            <w:tcBorders>
              <w:bottom w:val="single" w:sz="4" w:space="0" w:color="auto"/>
            </w:tcBorders>
            <w:vAlign w:val="center"/>
          </w:tcPr>
          <w:p w14:paraId="0E92523C" w14:textId="77777777"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0.950 [0.863, 1.009]</w:t>
            </w:r>
          </w:p>
        </w:tc>
        <w:tc>
          <w:tcPr>
            <w:tcW w:w="2268" w:type="dxa"/>
            <w:tcBorders>
              <w:bottom w:val="single" w:sz="4" w:space="0" w:color="auto"/>
            </w:tcBorders>
            <w:vAlign w:val="center"/>
          </w:tcPr>
          <w:p w14:paraId="1E697C66" w14:textId="77777777"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1.056 [0.982, 1.305]</w:t>
            </w:r>
          </w:p>
        </w:tc>
        <w:tc>
          <w:tcPr>
            <w:tcW w:w="2126" w:type="dxa"/>
            <w:tcBorders>
              <w:bottom w:val="single" w:sz="4" w:space="0" w:color="auto"/>
            </w:tcBorders>
            <w:vAlign w:val="center"/>
          </w:tcPr>
          <w:p w14:paraId="4FD61C29" w14:textId="77777777"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1.217 [0.971, 1.334]</w:t>
            </w:r>
          </w:p>
        </w:tc>
        <w:tc>
          <w:tcPr>
            <w:tcW w:w="1138" w:type="dxa"/>
            <w:tcBorders>
              <w:bottom w:val="single" w:sz="4" w:space="0" w:color="auto"/>
            </w:tcBorders>
            <w:vAlign w:val="center"/>
          </w:tcPr>
          <w:p w14:paraId="64033931" w14:textId="77777777" w:rsidR="00381E92" w:rsidRPr="00D64659" w:rsidRDefault="00381E92" w:rsidP="00136C5F">
            <w:pPr>
              <w:jc w:val="center"/>
              <w:rPr>
                <w:rFonts w:ascii="Times New Roman" w:hAnsi="Times New Roman" w:cs="Times New Roman"/>
                <w:sz w:val="22"/>
              </w:rPr>
            </w:pPr>
            <w:r w:rsidRPr="00D64659">
              <w:rPr>
                <w:rFonts w:ascii="Times New Roman" w:hAnsi="Times New Roman" w:cs="Times New Roman"/>
                <w:sz w:val="22"/>
              </w:rPr>
              <w:t>0.010</w:t>
            </w:r>
          </w:p>
        </w:tc>
      </w:tr>
    </w:tbl>
    <w:p w14:paraId="7A0549A5" w14:textId="11B92AB5" w:rsidR="00E91D54" w:rsidRPr="00D64659" w:rsidRDefault="00E91D54" w:rsidP="00E91D54">
      <w:pPr>
        <w:spacing w:after="80" w:line="252" w:lineRule="auto"/>
        <w:rPr>
          <w:rFonts w:ascii="Times New Roman" w:hAnsi="Times New Roman" w:cs="Times New Roman"/>
          <w:sz w:val="24"/>
          <w:szCs w:val="24"/>
        </w:rPr>
      </w:pPr>
      <w:r w:rsidRPr="00D64659">
        <w:rPr>
          <w:rFonts w:ascii="Times New Roman" w:hAnsi="Times New Roman" w:cs="Times New Roman"/>
          <w:sz w:val="24"/>
          <w:szCs w:val="24"/>
        </w:rPr>
        <w:t>Continuous variables are median [</w:t>
      </w:r>
      <w:r w:rsidR="001B3F63" w:rsidRPr="00D64659">
        <w:rPr>
          <w:rFonts w:ascii="Times New Roman" w:hAnsi="Times New Roman" w:cs="Times New Roman"/>
          <w:sz w:val="24"/>
          <w:szCs w:val="24"/>
        </w:rPr>
        <w:t>interquartile range</w:t>
      </w:r>
      <w:r w:rsidRPr="00D64659">
        <w:rPr>
          <w:rFonts w:ascii="Times New Roman" w:hAnsi="Times New Roman" w:cs="Times New Roman"/>
          <w:sz w:val="24"/>
          <w:szCs w:val="24"/>
        </w:rPr>
        <w:t>] and were compared using the Kruskal-</w:t>
      </w:r>
      <w:proofErr w:type="gramStart"/>
      <w:r w:rsidRPr="00D64659">
        <w:rPr>
          <w:rFonts w:ascii="Times New Roman" w:hAnsi="Times New Roman" w:cs="Times New Roman"/>
          <w:sz w:val="24"/>
          <w:szCs w:val="24"/>
        </w:rPr>
        <w:t>Wallis</w:t>
      </w:r>
      <w:proofErr w:type="gramEnd"/>
      <w:r w:rsidRPr="00D64659">
        <w:rPr>
          <w:rFonts w:ascii="Times New Roman" w:hAnsi="Times New Roman" w:cs="Times New Roman"/>
          <w:sz w:val="24"/>
          <w:szCs w:val="24"/>
        </w:rPr>
        <w:t xml:space="preserve"> test. </w:t>
      </w:r>
      <w:r w:rsidR="003707A8" w:rsidRPr="00D64659">
        <w:rPr>
          <w:rFonts w:ascii="Times New Roman" w:hAnsi="Times New Roman" w:cs="Times New Roman"/>
          <w:sz w:val="24"/>
          <w:szCs w:val="24"/>
        </w:rPr>
        <w:t xml:space="preserve">BMD, Bone mineral density; CT-BHI, Computed tomography-bone health indicator; DXA, Dual Energy X-ray </w:t>
      </w:r>
      <w:r w:rsidR="003C07DD" w:rsidRPr="00D64659">
        <w:rPr>
          <w:rFonts w:ascii="Times New Roman" w:hAnsi="Times New Roman" w:cs="Times New Roman"/>
          <w:sz w:val="24"/>
          <w:szCs w:val="24"/>
        </w:rPr>
        <w:t>a</w:t>
      </w:r>
      <w:r w:rsidR="003707A8" w:rsidRPr="00D64659">
        <w:rPr>
          <w:rFonts w:ascii="Times New Roman" w:hAnsi="Times New Roman" w:cs="Times New Roman"/>
          <w:sz w:val="24"/>
          <w:szCs w:val="24"/>
        </w:rPr>
        <w:t>bsorptiometry.</w:t>
      </w:r>
    </w:p>
    <w:p w14:paraId="1AD6AF29" w14:textId="15C9DE70" w:rsidR="00D64659" w:rsidRPr="00D64659" w:rsidRDefault="00D64659">
      <w:pPr>
        <w:spacing w:after="160" w:line="278" w:lineRule="auto"/>
        <w:rPr>
          <w:rFonts w:ascii="Times New Roman" w:hAnsi="Times New Roman" w:cs="Times New Roman"/>
          <w:b/>
          <w:sz w:val="24"/>
          <w:szCs w:val="24"/>
        </w:rPr>
      </w:pPr>
      <w:r w:rsidRPr="00D64659">
        <w:rPr>
          <w:rFonts w:ascii="Times New Roman" w:hAnsi="Times New Roman" w:cs="Times New Roman"/>
          <w:b/>
          <w:sz w:val="24"/>
          <w:szCs w:val="24"/>
        </w:rPr>
        <w:br w:type="page"/>
      </w:r>
    </w:p>
    <w:p w14:paraId="0E160EE7" w14:textId="77777777" w:rsidR="00D64659" w:rsidRPr="00D64659" w:rsidRDefault="00D64659" w:rsidP="00D64659">
      <w:pPr>
        <w:spacing w:before="120" w:after="40"/>
        <w:jc w:val="center"/>
        <w:rPr>
          <w:rFonts w:ascii="Times New Roman" w:hAnsi="Times New Roman" w:cs="Times New Roman"/>
          <w:sz w:val="24"/>
          <w:szCs w:val="24"/>
        </w:rPr>
      </w:pPr>
      <w:r w:rsidRPr="00D64659">
        <w:rPr>
          <w:rFonts w:ascii="Times New Roman" w:hAnsi="Times New Roman" w:cs="Times New Roman"/>
          <w:b/>
          <w:sz w:val="24"/>
          <w:szCs w:val="24"/>
        </w:rPr>
        <w:lastRenderedPageBreak/>
        <w:t>Supplemental Table 5. Renal function according to CT-BHI tertiles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860"/>
        <w:gridCol w:w="2122"/>
        <w:gridCol w:w="1690"/>
        <w:gridCol w:w="924"/>
      </w:tblGrid>
      <w:tr w:rsidR="00D64659" w:rsidRPr="00D64659" w14:paraId="498DB224" w14:textId="77777777" w:rsidTr="00136C5F">
        <w:trPr>
          <w:jc w:val="center"/>
        </w:trPr>
        <w:tc>
          <w:tcPr>
            <w:tcW w:w="1809" w:type="dxa"/>
            <w:tcBorders>
              <w:top w:val="single" w:sz="4" w:space="0" w:color="auto"/>
              <w:bottom w:val="single" w:sz="4" w:space="0" w:color="auto"/>
            </w:tcBorders>
            <w:vAlign w:val="center"/>
          </w:tcPr>
          <w:p w14:paraId="7F466FDB"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b/>
                <w:sz w:val="22"/>
              </w:rPr>
              <w:t>Variable</w:t>
            </w:r>
          </w:p>
        </w:tc>
        <w:tc>
          <w:tcPr>
            <w:tcW w:w="1860" w:type="dxa"/>
            <w:tcBorders>
              <w:top w:val="single" w:sz="4" w:space="0" w:color="auto"/>
              <w:bottom w:val="single" w:sz="4" w:space="0" w:color="auto"/>
            </w:tcBorders>
            <w:vAlign w:val="center"/>
          </w:tcPr>
          <w:p w14:paraId="4C3E30C0"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b/>
                <w:sz w:val="22"/>
              </w:rPr>
              <w:t>Lower CT-BHI</w:t>
            </w:r>
          </w:p>
        </w:tc>
        <w:tc>
          <w:tcPr>
            <w:tcW w:w="2122" w:type="dxa"/>
            <w:tcBorders>
              <w:top w:val="single" w:sz="4" w:space="0" w:color="auto"/>
              <w:bottom w:val="single" w:sz="4" w:space="0" w:color="auto"/>
            </w:tcBorders>
            <w:vAlign w:val="center"/>
          </w:tcPr>
          <w:p w14:paraId="08E109E6"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b/>
                <w:sz w:val="22"/>
              </w:rPr>
              <w:t>Intermediate CT-BHI</w:t>
            </w:r>
          </w:p>
        </w:tc>
        <w:tc>
          <w:tcPr>
            <w:tcW w:w="1690" w:type="dxa"/>
            <w:tcBorders>
              <w:top w:val="single" w:sz="4" w:space="0" w:color="auto"/>
              <w:bottom w:val="single" w:sz="4" w:space="0" w:color="auto"/>
            </w:tcBorders>
            <w:vAlign w:val="center"/>
          </w:tcPr>
          <w:p w14:paraId="3C456F5B"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b/>
                <w:sz w:val="22"/>
              </w:rPr>
              <w:t>Higher CT-BHI</w:t>
            </w:r>
          </w:p>
        </w:tc>
        <w:tc>
          <w:tcPr>
            <w:tcW w:w="924" w:type="dxa"/>
            <w:tcBorders>
              <w:top w:val="single" w:sz="4" w:space="0" w:color="auto"/>
              <w:bottom w:val="single" w:sz="4" w:space="0" w:color="auto"/>
            </w:tcBorders>
            <w:vAlign w:val="center"/>
          </w:tcPr>
          <w:p w14:paraId="4ECDD5BE"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b/>
                <w:sz w:val="22"/>
              </w:rPr>
              <w:t>P value</w:t>
            </w:r>
          </w:p>
        </w:tc>
      </w:tr>
      <w:tr w:rsidR="00D64659" w:rsidRPr="00D64659" w14:paraId="7BC0E546" w14:textId="77777777" w:rsidTr="00136C5F">
        <w:trPr>
          <w:jc w:val="center"/>
        </w:trPr>
        <w:tc>
          <w:tcPr>
            <w:tcW w:w="1809" w:type="dxa"/>
            <w:tcBorders>
              <w:top w:val="single" w:sz="4" w:space="0" w:color="auto"/>
            </w:tcBorders>
            <w:vAlign w:val="center"/>
          </w:tcPr>
          <w:p w14:paraId="5BF7D9EE"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eGFR, mL/min/1.73 m²</w:t>
            </w:r>
          </w:p>
        </w:tc>
        <w:tc>
          <w:tcPr>
            <w:tcW w:w="1860" w:type="dxa"/>
            <w:tcBorders>
              <w:top w:val="single" w:sz="4" w:space="0" w:color="auto"/>
            </w:tcBorders>
            <w:vAlign w:val="center"/>
          </w:tcPr>
          <w:p w14:paraId="4E706AE8"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69.3 [56.8, 80.8]</w:t>
            </w:r>
          </w:p>
        </w:tc>
        <w:tc>
          <w:tcPr>
            <w:tcW w:w="2122" w:type="dxa"/>
            <w:tcBorders>
              <w:top w:val="single" w:sz="4" w:space="0" w:color="auto"/>
            </w:tcBorders>
            <w:vAlign w:val="center"/>
          </w:tcPr>
          <w:p w14:paraId="49C23241"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70.7 [61.3, 79.2]</w:t>
            </w:r>
          </w:p>
        </w:tc>
        <w:tc>
          <w:tcPr>
            <w:tcW w:w="1690" w:type="dxa"/>
            <w:tcBorders>
              <w:top w:val="single" w:sz="4" w:space="0" w:color="auto"/>
            </w:tcBorders>
            <w:vAlign w:val="center"/>
          </w:tcPr>
          <w:p w14:paraId="3A0EB7A3"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72.6 [61.2, 82.9]</w:t>
            </w:r>
          </w:p>
        </w:tc>
        <w:tc>
          <w:tcPr>
            <w:tcW w:w="924" w:type="dxa"/>
            <w:tcBorders>
              <w:top w:val="single" w:sz="4" w:space="0" w:color="auto"/>
            </w:tcBorders>
            <w:vAlign w:val="center"/>
          </w:tcPr>
          <w:p w14:paraId="61A7C1C1"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0.076</w:t>
            </w:r>
          </w:p>
        </w:tc>
      </w:tr>
      <w:tr w:rsidR="00D64659" w:rsidRPr="00D64659" w14:paraId="40F78E3B" w14:textId="77777777" w:rsidTr="00136C5F">
        <w:trPr>
          <w:jc w:val="center"/>
        </w:trPr>
        <w:tc>
          <w:tcPr>
            <w:tcW w:w="1809" w:type="dxa"/>
            <w:vAlign w:val="center"/>
          </w:tcPr>
          <w:p w14:paraId="3228984E"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Serum creatinine, mg/dL</w:t>
            </w:r>
          </w:p>
        </w:tc>
        <w:tc>
          <w:tcPr>
            <w:tcW w:w="1860" w:type="dxa"/>
            <w:vAlign w:val="center"/>
          </w:tcPr>
          <w:p w14:paraId="5A67B523"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0.75 [0.62, 0.91]</w:t>
            </w:r>
          </w:p>
        </w:tc>
        <w:tc>
          <w:tcPr>
            <w:tcW w:w="2122" w:type="dxa"/>
            <w:vAlign w:val="center"/>
          </w:tcPr>
          <w:p w14:paraId="579CE085"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0.76 [0.65, 0.90]</w:t>
            </w:r>
          </w:p>
        </w:tc>
        <w:tc>
          <w:tcPr>
            <w:tcW w:w="1690" w:type="dxa"/>
            <w:vAlign w:val="center"/>
          </w:tcPr>
          <w:p w14:paraId="385E423B"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0.79 [0.66, 0.91]</w:t>
            </w:r>
          </w:p>
        </w:tc>
        <w:tc>
          <w:tcPr>
            <w:tcW w:w="924" w:type="dxa"/>
            <w:vAlign w:val="center"/>
          </w:tcPr>
          <w:p w14:paraId="131FAB33"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0.455</w:t>
            </w:r>
          </w:p>
        </w:tc>
      </w:tr>
      <w:tr w:rsidR="00D64659" w:rsidRPr="00D64659" w14:paraId="42A0776E" w14:textId="77777777" w:rsidTr="00136C5F">
        <w:trPr>
          <w:jc w:val="center"/>
        </w:trPr>
        <w:tc>
          <w:tcPr>
            <w:tcW w:w="1809" w:type="dxa"/>
            <w:vAlign w:val="center"/>
          </w:tcPr>
          <w:p w14:paraId="74184AF1"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eGFR &lt;60, n (%)</w:t>
            </w:r>
          </w:p>
        </w:tc>
        <w:tc>
          <w:tcPr>
            <w:tcW w:w="1860" w:type="dxa"/>
            <w:vAlign w:val="center"/>
          </w:tcPr>
          <w:p w14:paraId="62FFF3C3"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79 (30.6)</w:t>
            </w:r>
          </w:p>
        </w:tc>
        <w:tc>
          <w:tcPr>
            <w:tcW w:w="2122" w:type="dxa"/>
            <w:vAlign w:val="center"/>
          </w:tcPr>
          <w:p w14:paraId="1037758E"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58 (22.7)</w:t>
            </w:r>
          </w:p>
        </w:tc>
        <w:tc>
          <w:tcPr>
            <w:tcW w:w="1690" w:type="dxa"/>
            <w:vAlign w:val="center"/>
          </w:tcPr>
          <w:p w14:paraId="3AA589C6"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56 (22.1)</w:t>
            </w:r>
          </w:p>
        </w:tc>
        <w:tc>
          <w:tcPr>
            <w:tcW w:w="924" w:type="dxa"/>
            <w:vAlign w:val="center"/>
          </w:tcPr>
          <w:p w14:paraId="7BA34BD0" w14:textId="77777777" w:rsidR="00D64659" w:rsidRPr="00D64659" w:rsidRDefault="00D64659" w:rsidP="00136C5F">
            <w:pPr>
              <w:jc w:val="center"/>
              <w:rPr>
                <w:rFonts w:ascii="Times New Roman" w:hAnsi="Times New Roman" w:cs="Times New Roman"/>
                <w:sz w:val="22"/>
              </w:rPr>
            </w:pPr>
            <w:r w:rsidRPr="00D64659">
              <w:rPr>
                <w:rFonts w:ascii="Times New Roman" w:hAnsi="Times New Roman" w:cs="Times New Roman"/>
                <w:sz w:val="22"/>
              </w:rPr>
              <w:t>0.046</w:t>
            </w:r>
          </w:p>
        </w:tc>
      </w:tr>
    </w:tbl>
    <w:p w14:paraId="21127D05" w14:textId="77777777" w:rsidR="00D64659" w:rsidRPr="00D64659" w:rsidRDefault="00D64659" w:rsidP="00D64659">
      <w:pPr>
        <w:spacing w:after="100"/>
        <w:rPr>
          <w:rFonts w:ascii="Times New Roman" w:hAnsi="Times New Roman" w:cs="Times New Roman"/>
          <w:sz w:val="24"/>
          <w:szCs w:val="24"/>
        </w:rPr>
      </w:pPr>
      <w:r w:rsidRPr="00D64659">
        <w:rPr>
          <w:rFonts w:ascii="Times New Roman" w:hAnsi="Times New Roman" w:cs="Times New Roman"/>
          <w:sz w:val="24"/>
          <w:szCs w:val="24"/>
        </w:rPr>
        <w:t>Values are median [interquartile range] or n (%). P values were calculated using Kruskal-Wallis tests for continuous variables and chi-square tests for categorical variables.</w:t>
      </w:r>
    </w:p>
    <w:p w14:paraId="5D52FC49" w14:textId="77777777" w:rsidR="00D64659" w:rsidRPr="00D64659" w:rsidRDefault="00D64659" w:rsidP="00D64659">
      <w:pPr>
        <w:spacing w:after="100"/>
        <w:rPr>
          <w:rFonts w:ascii="Times New Roman" w:hAnsi="Times New Roman" w:cs="Times New Roman"/>
          <w:sz w:val="24"/>
          <w:szCs w:val="24"/>
        </w:rPr>
      </w:pPr>
    </w:p>
    <w:p w14:paraId="53A563B2" w14:textId="77777777" w:rsidR="00D64659" w:rsidRPr="00D64659" w:rsidRDefault="00D64659" w:rsidP="00D64659">
      <w:pPr>
        <w:spacing w:before="120" w:after="40"/>
        <w:jc w:val="center"/>
        <w:rPr>
          <w:rFonts w:ascii="Times New Roman" w:hAnsi="Times New Roman" w:cs="Times New Roman"/>
          <w:sz w:val="24"/>
          <w:szCs w:val="24"/>
        </w:rPr>
      </w:pPr>
      <w:r w:rsidRPr="00D64659">
        <w:rPr>
          <w:rFonts w:ascii="Times New Roman" w:hAnsi="Times New Roman" w:cs="Times New Roman"/>
          <w:b/>
          <w:sz w:val="24"/>
          <w:szCs w:val="24"/>
        </w:rPr>
        <w:t>Supplemental Table 6. Cox regression sensitivity analyses adjusted for renal function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3744"/>
        <w:gridCol w:w="2160"/>
        <w:gridCol w:w="1152"/>
      </w:tblGrid>
      <w:tr w:rsidR="00D64659" w:rsidRPr="00D64659" w14:paraId="1E7AFD9A" w14:textId="77777777" w:rsidTr="00136C5F">
        <w:trPr>
          <w:jc w:val="center"/>
        </w:trPr>
        <w:tc>
          <w:tcPr>
            <w:tcW w:w="2016" w:type="dxa"/>
            <w:tcBorders>
              <w:top w:val="single" w:sz="4" w:space="0" w:color="auto"/>
              <w:bottom w:val="single" w:sz="4" w:space="0" w:color="auto"/>
            </w:tcBorders>
            <w:vAlign w:val="center"/>
          </w:tcPr>
          <w:p w14:paraId="0AEE8214"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b/>
                <w:sz w:val="22"/>
              </w:rPr>
              <w:t>Model</w:t>
            </w:r>
          </w:p>
        </w:tc>
        <w:tc>
          <w:tcPr>
            <w:tcW w:w="3744" w:type="dxa"/>
            <w:tcBorders>
              <w:top w:val="single" w:sz="4" w:space="0" w:color="auto"/>
              <w:bottom w:val="single" w:sz="4" w:space="0" w:color="auto"/>
            </w:tcBorders>
            <w:vAlign w:val="center"/>
          </w:tcPr>
          <w:p w14:paraId="7B00E7A5"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b/>
                <w:sz w:val="22"/>
              </w:rPr>
              <w:t>Variable</w:t>
            </w:r>
          </w:p>
        </w:tc>
        <w:tc>
          <w:tcPr>
            <w:tcW w:w="2160" w:type="dxa"/>
            <w:tcBorders>
              <w:top w:val="single" w:sz="4" w:space="0" w:color="auto"/>
              <w:bottom w:val="single" w:sz="4" w:space="0" w:color="auto"/>
            </w:tcBorders>
            <w:vAlign w:val="center"/>
          </w:tcPr>
          <w:p w14:paraId="6CC38F7D"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b/>
                <w:sz w:val="22"/>
              </w:rPr>
              <w:t>HR (95% CI)</w:t>
            </w:r>
          </w:p>
        </w:tc>
        <w:tc>
          <w:tcPr>
            <w:tcW w:w="1152" w:type="dxa"/>
            <w:tcBorders>
              <w:top w:val="single" w:sz="4" w:space="0" w:color="auto"/>
              <w:bottom w:val="single" w:sz="4" w:space="0" w:color="auto"/>
            </w:tcBorders>
            <w:vAlign w:val="center"/>
          </w:tcPr>
          <w:p w14:paraId="2564937E"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b/>
                <w:sz w:val="22"/>
              </w:rPr>
              <w:t>p value</w:t>
            </w:r>
          </w:p>
        </w:tc>
      </w:tr>
      <w:tr w:rsidR="00D64659" w:rsidRPr="00D64659" w14:paraId="1F6D9A77" w14:textId="77777777" w:rsidTr="00136C5F">
        <w:trPr>
          <w:jc w:val="center"/>
        </w:trPr>
        <w:tc>
          <w:tcPr>
            <w:tcW w:w="2016" w:type="dxa"/>
            <w:tcBorders>
              <w:top w:val="single" w:sz="4" w:space="0" w:color="auto"/>
            </w:tcBorders>
            <w:vAlign w:val="center"/>
          </w:tcPr>
          <w:p w14:paraId="6F5FB297"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M1 + eGFR</w:t>
            </w:r>
          </w:p>
        </w:tc>
        <w:tc>
          <w:tcPr>
            <w:tcW w:w="3744" w:type="dxa"/>
            <w:tcBorders>
              <w:top w:val="single" w:sz="4" w:space="0" w:color="auto"/>
            </w:tcBorders>
            <w:vAlign w:val="center"/>
          </w:tcPr>
          <w:p w14:paraId="45534D28"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CT-BHI &lt;155 HU</w:t>
            </w:r>
          </w:p>
        </w:tc>
        <w:tc>
          <w:tcPr>
            <w:tcW w:w="2160" w:type="dxa"/>
            <w:tcBorders>
              <w:top w:val="single" w:sz="4" w:space="0" w:color="auto"/>
            </w:tcBorders>
            <w:vAlign w:val="center"/>
          </w:tcPr>
          <w:p w14:paraId="27C3CC94"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2.44 (1.35–4.44)</w:t>
            </w:r>
          </w:p>
        </w:tc>
        <w:tc>
          <w:tcPr>
            <w:tcW w:w="1152" w:type="dxa"/>
            <w:tcBorders>
              <w:top w:val="single" w:sz="4" w:space="0" w:color="auto"/>
            </w:tcBorders>
            <w:vAlign w:val="center"/>
          </w:tcPr>
          <w:p w14:paraId="1D8C0376"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0.003</w:t>
            </w:r>
          </w:p>
        </w:tc>
      </w:tr>
      <w:tr w:rsidR="00D64659" w:rsidRPr="00D64659" w14:paraId="2D31701F" w14:textId="77777777" w:rsidTr="00136C5F">
        <w:trPr>
          <w:jc w:val="center"/>
        </w:trPr>
        <w:tc>
          <w:tcPr>
            <w:tcW w:w="2016" w:type="dxa"/>
            <w:vAlign w:val="center"/>
          </w:tcPr>
          <w:p w14:paraId="4ACB7D7A"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M1 + eGFR</w:t>
            </w:r>
          </w:p>
        </w:tc>
        <w:tc>
          <w:tcPr>
            <w:tcW w:w="3744" w:type="dxa"/>
            <w:vAlign w:val="center"/>
          </w:tcPr>
          <w:p w14:paraId="7B999EA3"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CACS ≥140</w:t>
            </w:r>
          </w:p>
        </w:tc>
        <w:tc>
          <w:tcPr>
            <w:tcW w:w="2160" w:type="dxa"/>
            <w:vAlign w:val="center"/>
          </w:tcPr>
          <w:p w14:paraId="4F67D3F1"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2.92 (1.72–4.96)</w:t>
            </w:r>
          </w:p>
        </w:tc>
        <w:tc>
          <w:tcPr>
            <w:tcW w:w="1152" w:type="dxa"/>
            <w:vAlign w:val="center"/>
          </w:tcPr>
          <w:p w14:paraId="5D3AA0A3"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&lt;0.001</w:t>
            </w:r>
          </w:p>
        </w:tc>
      </w:tr>
      <w:tr w:rsidR="00D64659" w:rsidRPr="00D64659" w14:paraId="4DA044A5" w14:textId="77777777" w:rsidTr="00136C5F">
        <w:trPr>
          <w:jc w:val="center"/>
        </w:trPr>
        <w:tc>
          <w:tcPr>
            <w:tcW w:w="2016" w:type="dxa"/>
            <w:vAlign w:val="center"/>
          </w:tcPr>
          <w:p w14:paraId="5CA7261C"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M1 + eGFR</w:t>
            </w:r>
          </w:p>
        </w:tc>
        <w:tc>
          <w:tcPr>
            <w:tcW w:w="3744" w:type="dxa"/>
            <w:vAlign w:val="center"/>
          </w:tcPr>
          <w:p w14:paraId="136DD9A4"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eGFR per 10 mL/min/1.73 m²</w:t>
            </w:r>
          </w:p>
        </w:tc>
        <w:tc>
          <w:tcPr>
            <w:tcW w:w="2160" w:type="dxa"/>
            <w:vAlign w:val="center"/>
          </w:tcPr>
          <w:p w14:paraId="78431768"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0.99 (0.88–1.11)</w:t>
            </w:r>
          </w:p>
        </w:tc>
        <w:tc>
          <w:tcPr>
            <w:tcW w:w="1152" w:type="dxa"/>
            <w:vAlign w:val="center"/>
          </w:tcPr>
          <w:p w14:paraId="40E5DEC7"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0.849</w:t>
            </w:r>
          </w:p>
        </w:tc>
      </w:tr>
      <w:tr w:rsidR="00D64659" w:rsidRPr="00D64659" w14:paraId="044DEB53" w14:textId="77777777" w:rsidTr="00136C5F">
        <w:trPr>
          <w:jc w:val="center"/>
        </w:trPr>
        <w:tc>
          <w:tcPr>
            <w:tcW w:w="2016" w:type="dxa"/>
            <w:vAlign w:val="center"/>
          </w:tcPr>
          <w:p w14:paraId="18764B4E"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M2 + eGFR</w:t>
            </w:r>
          </w:p>
        </w:tc>
        <w:tc>
          <w:tcPr>
            <w:tcW w:w="3744" w:type="dxa"/>
            <w:vAlign w:val="center"/>
          </w:tcPr>
          <w:p w14:paraId="0D33AF41"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CT-BHI &lt;155 HU</w:t>
            </w:r>
          </w:p>
        </w:tc>
        <w:tc>
          <w:tcPr>
            <w:tcW w:w="2160" w:type="dxa"/>
            <w:vAlign w:val="center"/>
          </w:tcPr>
          <w:p w14:paraId="12D701C5"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2.55 (1.41–4.64)</w:t>
            </w:r>
          </w:p>
        </w:tc>
        <w:tc>
          <w:tcPr>
            <w:tcW w:w="1152" w:type="dxa"/>
            <w:vAlign w:val="center"/>
          </w:tcPr>
          <w:p w14:paraId="5D6B9C09"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0.002</w:t>
            </w:r>
          </w:p>
        </w:tc>
      </w:tr>
      <w:tr w:rsidR="00D64659" w:rsidRPr="00D64659" w14:paraId="63738B8C" w14:textId="77777777" w:rsidTr="00136C5F">
        <w:trPr>
          <w:jc w:val="center"/>
        </w:trPr>
        <w:tc>
          <w:tcPr>
            <w:tcW w:w="2016" w:type="dxa"/>
            <w:vAlign w:val="center"/>
          </w:tcPr>
          <w:p w14:paraId="3C4991C4"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M2 + eGFR</w:t>
            </w:r>
          </w:p>
        </w:tc>
        <w:tc>
          <w:tcPr>
            <w:tcW w:w="3744" w:type="dxa"/>
            <w:vAlign w:val="center"/>
          </w:tcPr>
          <w:p w14:paraId="6D69D209"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Obstructive CAD</w:t>
            </w:r>
          </w:p>
        </w:tc>
        <w:tc>
          <w:tcPr>
            <w:tcW w:w="2160" w:type="dxa"/>
            <w:vAlign w:val="center"/>
          </w:tcPr>
          <w:p w14:paraId="0FAB8834"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1.70 (1.03–2.80)</w:t>
            </w:r>
          </w:p>
        </w:tc>
        <w:tc>
          <w:tcPr>
            <w:tcW w:w="1152" w:type="dxa"/>
            <w:vAlign w:val="center"/>
          </w:tcPr>
          <w:p w14:paraId="4294D9C7"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0.038</w:t>
            </w:r>
          </w:p>
        </w:tc>
      </w:tr>
      <w:tr w:rsidR="00D64659" w:rsidRPr="00D64659" w14:paraId="78C1CD79" w14:textId="77777777" w:rsidTr="00136C5F">
        <w:trPr>
          <w:jc w:val="center"/>
        </w:trPr>
        <w:tc>
          <w:tcPr>
            <w:tcW w:w="2016" w:type="dxa"/>
            <w:vAlign w:val="center"/>
          </w:tcPr>
          <w:p w14:paraId="62BD550C"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M2 + eGFR</w:t>
            </w:r>
          </w:p>
        </w:tc>
        <w:tc>
          <w:tcPr>
            <w:tcW w:w="3744" w:type="dxa"/>
            <w:vAlign w:val="center"/>
          </w:tcPr>
          <w:p w14:paraId="14748960"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eGFR per 10 mL/min/1.73 m²</w:t>
            </w:r>
          </w:p>
        </w:tc>
        <w:tc>
          <w:tcPr>
            <w:tcW w:w="2160" w:type="dxa"/>
            <w:vAlign w:val="center"/>
          </w:tcPr>
          <w:p w14:paraId="55C6DD73"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0.98 (0.87–1.10)</w:t>
            </w:r>
          </w:p>
        </w:tc>
        <w:tc>
          <w:tcPr>
            <w:tcW w:w="1152" w:type="dxa"/>
            <w:vAlign w:val="center"/>
          </w:tcPr>
          <w:p w14:paraId="492A59BF"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0.687</w:t>
            </w:r>
          </w:p>
        </w:tc>
      </w:tr>
      <w:tr w:rsidR="00D64659" w:rsidRPr="00D64659" w14:paraId="0DA7DBA4" w14:textId="77777777" w:rsidTr="00136C5F">
        <w:trPr>
          <w:jc w:val="center"/>
        </w:trPr>
        <w:tc>
          <w:tcPr>
            <w:tcW w:w="2016" w:type="dxa"/>
            <w:vAlign w:val="center"/>
          </w:tcPr>
          <w:p w14:paraId="3DF49A09"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M1 + Cr</w:t>
            </w:r>
          </w:p>
        </w:tc>
        <w:tc>
          <w:tcPr>
            <w:tcW w:w="3744" w:type="dxa"/>
            <w:vAlign w:val="center"/>
          </w:tcPr>
          <w:p w14:paraId="6BC62781"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CT-BHI &lt;155 HU</w:t>
            </w:r>
          </w:p>
        </w:tc>
        <w:tc>
          <w:tcPr>
            <w:tcW w:w="2160" w:type="dxa"/>
            <w:vAlign w:val="center"/>
          </w:tcPr>
          <w:p w14:paraId="2BE670B5"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2.43 (1.34–4.43)</w:t>
            </w:r>
          </w:p>
        </w:tc>
        <w:tc>
          <w:tcPr>
            <w:tcW w:w="1152" w:type="dxa"/>
            <w:vAlign w:val="center"/>
          </w:tcPr>
          <w:p w14:paraId="427E985C"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0.004</w:t>
            </w:r>
          </w:p>
        </w:tc>
      </w:tr>
      <w:tr w:rsidR="00D64659" w:rsidRPr="00D64659" w14:paraId="3B507491" w14:textId="77777777" w:rsidTr="00136C5F">
        <w:trPr>
          <w:jc w:val="center"/>
        </w:trPr>
        <w:tc>
          <w:tcPr>
            <w:tcW w:w="2016" w:type="dxa"/>
            <w:vAlign w:val="center"/>
          </w:tcPr>
          <w:p w14:paraId="7BA1CA5D"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M1 + Cr</w:t>
            </w:r>
          </w:p>
        </w:tc>
        <w:tc>
          <w:tcPr>
            <w:tcW w:w="3744" w:type="dxa"/>
            <w:vAlign w:val="center"/>
          </w:tcPr>
          <w:p w14:paraId="08DD3CF0"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CACS ≥140</w:t>
            </w:r>
          </w:p>
        </w:tc>
        <w:tc>
          <w:tcPr>
            <w:tcW w:w="2160" w:type="dxa"/>
            <w:vAlign w:val="center"/>
          </w:tcPr>
          <w:p w14:paraId="2A776CED"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2.97 (1.75–5.05)</w:t>
            </w:r>
          </w:p>
        </w:tc>
        <w:tc>
          <w:tcPr>
            <w:tcW w:w="1152" w:type="dxa"/>
            <w:vAlign w:val="center"/>
          </w:tcPr>
          <w:p w14:paraId="429A7A3E"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&lt;0.001</w:t>
            </w:r>
          </w:p>
        </w:tc>
      </w:tr>
      <w:tr w:rsidR="00D64659" w:rsidRPr="00D64659" w14:paraId="24658F6D" w14:textId="77777777" w:rsidTr="00136C5F">
        <w:trPr>
          <w:jc w:val="center"/>
        </w:trPr>
        <w:tc>
          <w:tcPr>
            <w:tcW w:w="2016" w:type="dxa"/>
            <w:vAlign w:val="center"/>
          </w:tcPr>
          <w:p w14:paraId="1894A290"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M1 + Cr</w:t>
            </w:r>
          </w:p>
        </w:tc>
        <w:tc>
          <w:tcPr>
            <w:tcW w:w="3744" w:type="dxa"/>
            <w:vAlign w:val="center"/>
          </w:tcPr>
          <w:p w14:paraId="192D3785"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Creatinine per 0.1 mg/dL</w:t>
            </w:r>
          </w:p>
        </w:tc>
        <w:tc>
          <w:tcPr>
            <w:tcW w:w="2160" w:type="dxa"/>
            <w:vAlign w:val="center"/>
          </w:tcPr>
          <w:p w14:paraId="76B7AE8C"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1.00 (0.98–1.01)</w:t>
            </w:r>
          </w:p>
        </w:tc>
        <w:tc>
          <w:tcPr>
            <w:tcW w:w="1152" w:type="dxa"/>
            <w:vAlign w:val="center"/>
          </w:tcPr>
          <w:p w14:paraId="7FB02AC4"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0.714</w:t>
            </w:r>
          </w:p>
        </w:tc>
      </w:tr>
      <w:tr w:rsidR="00D64659" w:rsidRPr="00D64659" w14:paraId="756CE01B" w14:textId="77777777" w:rsidTr="00136C5F">
        <w:trPr>
          <w:jc w:val="center"/>
        </w:trPr>
        <w:tc>
          <w:tcPr>
            <w:tcW w:w="2016" w:type="dxa"/>
            <w:vAlign w:val="center"/>
          </w:tcPr>
          <w:p w14:paraId="673C0390"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M2 + Cr</w:t>
            </w:r>
          </w:p>
        </w:tc>
        <w:tc>
          <w:tcPr>
            <w:tcW w:w="3744" w:type="dxa"/>
            <w:vAlign w:val="center"/>
          </w:tcPr>
          <w:p w14:paraId="0461A9A5"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CT-BHI &lt;155 HU</w:t>
            </w:r>
          </w:p>
        </w:tc>
        <w:tc>
          <w:tcPr>
            <w:tcW w:w="2160" w:type="dxa"/>
            <w:vAlign w:val="center"/>
          </w:tcPr>
          <w:p w14:paraId="31B5DBDC"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2.56 (1.41–4.65)</w:t>
            </w:r>
          </w:p>
        </w:tc>
        <w:tc>
          <w:tcPr>
            <w:tcW w:w="1152" w:type="dxa"/>
            <w:vAlign w:val="center"/>
          </w:tcPr>
          <w:p w14:paraId="28C05440"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0.002</w:t>
            </w:r>
          </w:p>
        </w:tc>
      </w:tr>
      <w:tr w:rsidR="00D64659" w:rsidRPr="00D64659" w14:paraId="4246FB63" w14:textId="77777777" w:rsidTr="00136C5F">
        <w:trPr>
          <w:jc w:val="center"/>
        </w:trPr>
        <w:tc>
          <w:tcPr>
            <w:tcW w:w="2016" w:type="dxa"/>
            <w:vAlign w:val="center"/>
          </w:tcPr>
          <w:p w14:paraId="6CDE693C"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M2 + Cr</w:t>
            </w:r>
          </w:p>
        </w:tc>
        <w:tc>
          <w:tcPr>
            <w:tcW w:w="3744" w:type="dxa"/>
            <w:vAlign w:val="center"/>
          </w:tcPr>
          <w:p w14:paraId="2B78258C"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Obstructive CAD</w:t>
            </w:r>
          </w:p>
        </w:tc>
        <w:tc>
          <w:tcPr>
            <w:tcW w:w="2160" w:type="dxa"/>
            <w:vAlign w:val="center"/>
          </w:tcPr>
          <w:p w14:paraId="3B45445A"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1.73 (1.05–2.85)</w:t>
            </w:r>
          </w:p>
        </w:tc>
        <w:tc>
          <w:tcPr>
            <w:tcW w:w="1152" w:type="dxa"/>
            <w:vAlign w:val="center"/>
          </w:tcPr>
          <w:p w14:paraId="6B5BF806"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0.031</w:t>
            </w:r>
          </w:p>
        </w:tc>
      </w:tr>
      <w:tr w:rsidR="00D64659" w:rsidRPr="00D64659" w14:paraId="5B27D0D7" w14:textId="77777777" w:rsidTr="00136C5F">
        <w:trPr>
          <w:jc w:val="center"/>
        </w:trPr>
        <w:tc>
          <w:tcPr>
            <w:tcW w:w="2016" w:type="dxa"/>
            <w:vAlign w:val="center"/>
          </w:tcPr>
          <w:p w14:paraId="3826CC86"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M2 + Cr</w:t>
            </w:r>
          </w:p>
        </w:tc>
        <w:tc>
          <w:tcPr>
            <w:tcW w:w="3744" w:type="dxa"/>
            <w:vAlign w:val="center"/>
          </w:tcPr>
          <w:p w14:paraId="4380F610"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Creatinine per 0.1 mg/dL</w:t>
            </w:r>
          </w:p>
        </w:tc>
        <w:tc>
          <w:tcPr>
            <w:tcW w:w="2160" w:type="dxa"/>
            <w:vAlign w:val="center"/>
          </w:tcPr>
          <w:p w14:paraId="456CA54B"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1.00 (0.99–1.01)</w:t>
            </w:r>
          </w:p>
        </w:tc>
        <w:tc>
          <w:tcPr>
            <w:tcW w:w="1152" w:type="dxa"/>
            <w:vAlign w:val="center"/>
          </w:tcPr>
          <w:p w14:paraId="740E1425" w14:textId="77777777" w:rsidR="00D64659" w:rsidRPr="00D64659" w:rsidRDefault="00D64659" w:rsidP="00136C5F">
            <w:pPr>
              <w:rPr>
                <w:rFonts w:ascii="Times New Roman" w:hAnsi="Times New Roman" w:cs="Times New Roman"/>
                <w:sz w:val="22"/>
              </w:rPr>
            </w:pPr>
            <w:r w:rsidRPr="00D64659">
              <w:rPr>
                <w:rFonts w:ascii="Times New Roman" w:hAnsi="Times New Roman" w:cs="Times New Roman"/>
                <w:sz w:val="22"/>
              </w:rPr>
              <w:t>0.876</w:t>
            </w:r>
          </w:p>
        </w:tc>
      </w:tr>
    </w:tbl>
    <w:p w14:paraId="2183BC9F" w14:textId="77777777" w:rsidR="00D64659" w:rsidRPr="00D64659" w:rsidRDefault="00D64659" w:rsidP="00D64659">
      <w:pPr>
        <w:spacing w:after="100"/>
        <w:rPr>
          <w:rFonts w:ascii="Times New Roman" w:hAnsi="Times New Roman" w:cs="Times New Roman"/>
          <w:sz w:val="24"/>
          <w:szCs w:val="24"/>
        </w:rPr>
      </w:pPr>
      <w:r w:rsidRPr="00D64659">
        <w:rPr>
          <w:rFonts w:ascii="Times New Roman" w:hAnsi="Times New Roman" w:cs="Times New Roman"/>
          <w:sz w:val="24"/>
          <w:szCs w:val="24"/>
        </w:rPr>
        <w:t>M1 includes CT-BHI &lt;155 HU and CACS ≥140; M2 includes CT-BHI &lt;155 HU and obstructive CAD. CACS, coronary artery calcium score; CAD, coronary artery disease; CI, confidence interval; CT-BHI, computed tomography-based bone health indicator; eGFR, estimated glomerular filtration rate; HR, hazard ratio.</w:t>
      </w:r>
    </w:p>
    <w:p w14:paraId="72515F82" w14:textId="77777777" w:rsidR="00D64659" w:rsidRPr="00D64659" w:rsidRDefault="00D64659" w:rsidP="00E221A9">
      <w:pPr>
        <w:spacing w:after="160" w:line="278" w:lineRule="auto"/>
        <w:rPr>
          <w:rFonts w:ascii="Times New Roman" w:hAnsi="Times New Roman" w:cs="Times New Roman"/>
          <w:b/>
          <w:sz w:val="24"/>
          <w:szCs w:val="24"/>
        </w:rPr>
      </w:pPr>
    </w:p>
    <w:sectPr w:rsidR="00D64659" w:rsidRPr="00D64659" w:rsidSect="00381E92">
      <w:pgSz w:w="12240" w:h="15840"/>
      <w:pgMar w:top="1080" w:right="1440" w:bottom="10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691"/>
    <w:rsid w:val="000E2809"/>
    <w:rsid w:val="000F3842"/>
    <w:rsid w:val="00130E24"/>
    <w:rsid w:val="001A452D"/>
    <w:rsid w:val="001B3F63"/>
    <w:rsid w:val="00237509"/>
    <w:rsid w:val="003707A8"/>
    <w:rsid w:val="00373D7E"/>
    <w:rsid w:val="00381E92"/>
    <w:rsid w:val="003C07DD"/>
    <w:rsid w:val="0059461E"/>
    <w:rsid w:val="00A15BC3"/>
    <w:rsid w:val="00A73220"/>
    <w:rsid w:val="00A82766"/>
    <w:rsid w:val="00AD06F1"/>
    <w:rsid w:val="00B17C0D"/>
    <w:rsid w:val="00B22917"/>
    <w:rsid w:val="00B8052E"/>
    <w:rsid w:val="00B91092"/>
    <w:rsid w:val="00D15E81"/>
    <w:rsid w:val="00D64659"/>
    <w:rsid w:val="00D95DD1"/>
    <w:rsid w:val="00E221A9"/>
    <w:rsid w:val="00E50691"/>
    <w:rsid w:val="00E91D54"/>
    <w:rsid w:val="00F4617A"/>
  </w:rsids>
  <m:mathPr>
    <m:mathFont m:val="Cambria Math"/>
    <m:brkBin m:val="before"/>
    <m:brkBinSub m:val="--"/>
    <m:smallFrac m:val="0"/>
    <m:dispDef/>
    <m:lMargin m:val="0"/>
    <m:rMargin m:val="0"/>
    <m:defJc m:val="centerGroup"/>
    <m:wrapIndent m:val="1440"/>
    <m:intLim m:val="subSup"/>
    <m:naryLim m:val="undOvr"/>
  </m:mathPr>
  <w:themeFontLang w:val="en-JP"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56E83EE"/>
  <w15:chartTrackingRefBased/>
  <w15:docId w15:val="{56FAA816-86EA-AC4D-B411-F00FD7D71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JP"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691"/>
    <w:pPr>
      <w:spacing w:after="200" w:line="276" w:lineRule="auto"/>
    </w:pPr>
    <w:rPr>
      <w:rFonts w:ascii="Arial" w:hAnsi="Arial"/>
      <w:kern w:val="0"/>
      <w:sz w:val="18"/>
      <w:szCs w:val="22"/>
      <w:lang w:val="en-US" w:eastAsia="en-US"/>
      <w14:ligatures w14:val="none"/>
    </w:rPr>
  </w:style>
  <w:style w:type="paragraph" w:styleId="Heading1">
    <w:name w:val="heading 1"/>
    <w:basedOn w:val="Normal"/>
    <w:next w:val="Normal"/>
    <w:link w:val="Heading1Char"/>
    <w:uiPriority w:val="9"/>
    <w:qFormat/>
    <w:rsid w:val="00E5069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JP" w:eastAsia="ja-JP"/>
      <w14:ligatures w14:val="standardContextual"/>
    </w:rPr>
  </w:style>
  <w:style w:type="paragraph" w:styleId="Heading2">
    <w:name w:val="heading 2"/>
    <w:basedOn w:val="Normal"/>
    <w:next w:val="Normal"/>
    <w:link w:val="Heading2Char"/>
    <w:uiPriority w:val="9"/>
    <w:semiHidden/>
    <w:unhideWhenUsed/>
    <w:qFormat/>
    <w:rsid w:val="00E5069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JP" w:eastAsia="ja-JP"/>
      <w14:ligatures w14:val="standardContextual"/>
    </w:rPr>
  </w:style>
  <w:style w:type="paragraph" w:styleId="Heading3">
    <w:name w:val="heading 3"/>
    <w:basedOn w:val="Normal"/>
    <w:next w:val="Normal"/>
    <w:link w:val="Heading3Char"/>
    <w:uiPriority w:val="9"/>
    <w:semiHidden/>
    <w:unhideWhenUsed/>
    <w:qFormat/>
    <w:rsid w:val="00E5069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JP" w:eastAsia="ja-JP"/>
      <w14:ligatures w14:val="standardContextual"/>
    </w:rPr>
  </w:style>
  <w:style w:type="paragraph" w:styleId="Heading4">
    <w:name w:val="heading 4"/>
    <w:basedOn w:val="Normal"/>
    <w:next w:val="Normal"/>
    <w:link w:val="Heading4Char"/>
    <w:uiPriority w:val="9"/>
    <w:semiHidden/>
    <w:unhideWhenUsed/>
    <w:qFormat/>
    <w:rsid w:val="00E5069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JP" w:eastAsia="ja-JP"/>
      <w14:ligatures w14:val="standardContextual"/>
    </w:rPr>
  </w:style>
  <w:style w:type="paragraph" w:styleId="Heading5">
    <w:name w:val="heading 5"/>
    <w:basedOn w:val="Normal"/>
    <w:next w:val="Normal"/>
    <w:link w:val="Heading5Char"/>
    <w:uiPriority w:val="9"/>
    <w:semiHidden/>
    <w:unhideWhenUsed/>
    <w:qFormat/>
    <w:rsid w:val="00E5069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JP" w:eastAsia="ja-JP"/>
      <w14:ligatures w14:val="standardContextual"/>
    </w:rPr>
  </w:style>
  <w:style w:type="paragraph" w:styleId="Heading6">
    <w:name w:val="heading 6"/>
    <w:basedOn w:val="Normal"/>
    <w:next w:val="Normal"/>
    <w:link w:val="Heading6Char"/>
    <w:uiPriority w:val="9"/>
    <w:semiHidden/>
    <w:unhideWhenUsed/>
    <w:qFormat/>
    <w:rsid w:val="00E5069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JP" w:eastAsia="ja-JP"/>
      <w14:ligatures w14:val="standardContextual"/>
    </w:rPr>
  </w:style>
  <w:style w:type="paragraph" w:styleId="Heading7">
    <w:name w:val="heading 7"/>
    <w:basedOn w:val="Normal"/>
    <w:next w:val="Normal"/>
    <w:link w:val="Heading7Char"/>
    <w:uiPriority w:val="9"/>
    <w:semiHidden/>
    <w:unhideWhenUsed/>
    <w:qFormat/>
    <w:rsid w:val="00E5069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JP" w:eastAsia="ja-JP"/>
      <w14:ligatures w14:val="standardContextual"/>
    </w:rPr>
  </w:style>
  <w:style w:type="paragraph" w:styleId="Heading8">
    <w:name w:val="heading 8"/>
    <w:basedOn w:val="Normal"/>
    <w:next w:val="Normal"/>
    <w:link w:val="Heading8Char"/>
    <w:uiPriority w:val="9"/>
    <w:semiHidden/>
    <w:unhideWhenUsed/>
    <w:qFormat/>
    <w:rsid w:val="00E5069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JP" w:eastAsia="ja-JP"/>
      <w14:ligatures w14:val="standardContextual"/>
    </w:rPr>
  </w:style>
  <w:style w:type="paragraph" w:styleId="Heading9">
    <w:name w:val="heading 9"/>
    <w:basedOn w:val="Normal"/>
    <w:next w:val="Normal"/>
    <w:link w:val="Heading9Char"/>
    <w:uiPriority w:val="9"/>
    <w:semiHidden/>
    <w:unhideWhenUsed/>
    <w:qFormat/>
    <w:rsid w:val="00E50691"/>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JP" w:eastAsia="ja-JP"/>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6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6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6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6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6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6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6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6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691"/>
    <w:rPr>
      <w:rFonts w:eastAsiaTheme="majorEastAsia" w:cstheme="majorBidi"/>
      <w:color w:val="272727" w:themeColor="text1" w:themeTint="D8"/>
    </w:rPr>
  </w:style>
  <w:style w:type="paragraph" w:styleId="Title">
    <w:name w:val="Title"/>
    <w:basedOn w:val="Normal"/>
    <w:next w:val="Normal"/>
    <w:link w:val="TitleChar"/>
    <w:uiPriority w:val="10"/>
    <w:qFormat/>
    <w:rsid w:val="00E50691"/>
    <w:pPr>
      <w:spacing w:after="80" w:line="240" w:lineRule="auto"/>
      <w:contextualSpacing/>
    </w:pPr>
    <w:rPr>
      <w:rFonts w:asciiTheme="majorHAnsi" w:eastAsiaTheme="majorEastAsia" w:hAnsiTheme="majorHAnsi" w:cstheme="majorBidi"/>
      <w:spacing w:val="-10"/>
      <w:kern w:val="28"/>
      <w:sz w:val="56"/>
      <w:szCs w:val="56"/>
      <w:lang w:val="en-JP" w:eastAsia="ja-JP"/>
      <w14:ligatures w14:val="standardContextual"/>
    </w:rPr>
  </w:style>
  <w:style w:type="character" w:customStyle="1" w:styleId="TitleChar">
    <w:name w:val="Title Char"/>
    <w:basedOn w:val="DefaultParagraphFont"/>
    <w:link w:val="Title"/>
    <w:uiPriority w:val="10"/>
    <w:rsid w:val="00E50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69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JP" w:eastAsia="ja-JP"/>
      <w14:ligatures w14:val="standardContextual"/>
    </w:rPr>
  </w:style>
  <w:style w:type="character" w:customStyle="1" w:styleId="SubtitleChar">
    <w:name w:val="Subtitle Char"/>
    <w:basedOn w:val="DefaultParagraphFont"/>
    <w:link w:val="Subtitle"/>
    <w:uiPriority w:val="11"/>
    <w:rsid w:val="00E506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691"/>
    <w:pPr>
      <w:spacing w:before="160" w:after="160" w:line="278" w:lineRule="auto"/>
      <w:jc w:val="center"/>
    </w:pPr>
    <w:rPr>
      <w:rFonts w:asciiTheme="minorHAnsi" w:hAnsiTheme="minorHAnsi"/>
      <w:i/>
      <w:iCs/>
      <w:color w:val="404040" w:themeColor="text1" w:themeTint="BF"/>
      <w:kern w:val="2"/>
      <w:sz w:val="24"/>
      <w:szCs w:val="24"/>
      <w:lang w:val="en-JP" w:eastAsia="ja-JP"/>
      <w14:ligatures w14:val="standardContextual"/>
    </w:rPr>
  </w:style>
  <w:style w:type="character" w:customStyle="1" w:styleId="QuoteChar">
    <w:name w:val="Quote Char"/>
    <w:basedOn w:val="DefaultParagraphFont"/>
    <w:link w:val="Quote"/>
    <w:uiPriority w:val="29"/>
    <w:rsid w:val="00E50691"/>
    <w:rPr>
      <w:i/>
      <w:iCs/>
      <w:color w:val="404040" w:themeColor="text1" w:themeTint="BF"/>
    </w:rPr>
  </w:style>
  <w:style w:type="paragraph" w:styleId="ListParagraph">
    <w:name w:val="List Paragraph"/>
    <w:basedOn w:val="Normal"/>
    <w:uiPriority w:val="34"/>
    <w:qFormat/>
    <w:rsid w:val="00E50691"/>
    <w:pPr>
      <w:spacing w:after="160" w:line="278" w:lineRule="auto"/>
      <w:ind w:left="720"/>
      <w:contextualSpacing/>
    </w:pPr>
    <w:rPr>
      <w:rFonts w:asciiTheme="minorHAnsi" w:hAnsiTheme="minorHAnsi"/>
      <w:kern w:val="2"/>
      <w:sz w:val="24"/>
      <w:szCs w:val="24"/>
      <w:lang w:val="en-JP" w:eastAsia="ja-JP"/>
      <w14:ligatures w14:val="standardContextual"/>
    </w:rPr>
  </w:style>
  <w:style w:type="character" w:styleId="IntenseEmphasis">
    <w:name w:val="Intense Emphasis"/>
    <w:basedOn w:val="DefaultParagraphFont"/>
    <w:uiPriority w:val="21"/>
    <w:qFormat/>
    <w:rsid w:val="00E50691"/>
    <w:rPr>
      <w:i/>
      <w:iCs/>
      <w:color w:val="0F4761" w:themeColor="accent1" w:themeShade="BF"/>
    </w:rPr>
  </w:style>
  <w:style w:type="paragraph" w:styleId="IntenseQuote">
    <w:name w:val="Intense Quote"/>
    <w:basedOn w:val="Normal"/>
    <w:next w:val="Normal"/>
    <w:link w:val="IntenseQuoteChar"/>
    <w:uiPriority w:val="30"/>
    <w:qFormat/>
    <w:rsid w:val="00E5069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lang w:val="en-JP" w:eastAsia="ja-JP"/>
      <w14:ligatures w14:val="standardContextual"/>
    </w:rPr>
  </w:style>
  <w:style w:type="character" w:customStyle="1" w:styleId="IntenseQuoteChar">
    <w:name w:val="Intense Quote Char"/>
    <w:basedOn w:val="DefaultParagraphFont"/>
    <w:link w:val="IntenseQuote"/>
    <w:uiPriority w:val="30"/>
    <w:rsid w:val="00E50691"/>
    <w:rPr>
      <w:i/>
      <w:iCs/>
      <w:color w:val="0F4761" w:themeColor="accent1" w:themeShade="BF"/>
    </w:rPr>
  </w:style>
  <w:style w:type="character" w:styleId="IntenseReference">
    <w:name w:val="Intense Reference"/>
    <w:basedOn w:val="DefaultParagraphFont"/>
    <w:uiPriority w:val="32"/>
    <w:qFormat/>
    <w:rsid w:val="00E50691"/>
    <w:rPr>
      <w:b/>
      <w:bCs/>
      <w:smallCaps/>
      <w:color w:val="0F4761" w:themeColor="accent1" w:themeShade="BF"/>
      <w:spacing w:val="5"/>
    </w:rPr>
  </w:style>
  <w:style w:type="table" w:styleId="TableGrid">
    <w:name w:val="Table Grid"/>
    <w:basedOn w:val="TableNormal"/>
    <w:uiPriority w:val="59"/>
    <w:rsid w:val="00E50691"/>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4</Pages>
  <Words>643</Words>
  <Characters>3544</Characters>
  <Application>Microsoft Office Word</Application>
  <DocSecurity>0</DocSecurity>
  <Lines>196</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2026-05-28T01:19:00Z</dcterms:created>
  <dcterms:modified xsi:type="dcterms:W3CDTF">2026-06-03T01:51:00Z</dcterms:modified>
</cp:coreProperties>
</file>