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265E8" w14:textId="2BBB39DC" w:rsidR="00706C6F" w:rsidRPr="0022638C" w:rsidRDefault="004753B3" w:rsidP="0022638C">
      <w:pPr>
        <w:jc w:val="center"/>
        <w:rPr>
          <w:rFonts w:ascii="Times New Roman" w:hAnsi="Times New Roman" w:cs="Times New Roman"/>
          <w:b/>
          <w:bCs/>
          <w:sz w:val="24"/>
        </w:rPr>
      </w:pPr>
      <w:bookmarkStart w:id="0" w:name="OLE_LINK3"/>
      <w:r>
        <w:rPr>
          <w:rFonts w:ascii="Times New Roman" w:hAnsi="Times New Roman" w:cs="Times New Roman"/>
          <w:b/>
          <w:bCs/>
          <w:sz w:val="24"/>
        </w:rPr>
        <w:t>Additional file</w:t>
      </w:r>
    </w:p>
    <w:p w14:paraId="65080045" w14:textId="77777777" w:rsidR="0022638C" w:rsidRDefault="0022638C" w:rsidP="00604183">
      <w:pPr>
        <w:rPr>
          <w:rFonts w:ascii="Times New Roman" w:hAnsi="Times New Roman" w:cs="Times New Roman"/>
          <w:sz w:val="24"/>
        </w:rPr>
      </w:pPr>
      <w:r w:rsidRPr="0022638C">
        <w:rPr>
          <w:rFonts w:ascii="Times New Roman" w:hAnsi="Times New Roman" w:cs="Times New Roman"/>
          <w:sz w:val="24"/>
        </w:rPr>
        <w:t>Validation of Vertebral Level Estimation Using the Lung-Liver Interface</w:t>
      </w:r>
    </w:p>
    <w:p w14:paraId="0DFC0051" w14:textId="43808B61" w:rsidR="00604183" w:rsidRDefault="00B32C64" w:rsidP="0022638C">
      <w:pPr>
        <w:ind w:firstLineChars="100" w:firstLine="240"/>
        <w:rPr>
          <w:rFonts w:ascii="Times New Roman" w:hAnsi="Times New Roman" w:cs="Times New Roman"/>
          <w:sz w:val="24"/>
        </w:rPr>
      </w:pPr>
      <w:r>
        <w:rPr>
          <w:rFonts w:ascii="Times New Roman" w:hAnsi="Times New Roman" w:cs="Times New Roman"/>
          <w:sz w:val="24"/>
        </w:rPr>
        <w:t>T</w:t>
      </w:r>
      <w:r w:rsidR="00604183" w:rsidRPr="00604183">
        <w:rPr>
          <w:rFonts w:ascii="Times New Roman" w:hAnsi="Times New Roman" w:cs="Times New Roman"/>
          <w:sz w:val="24"/>
        </w:rPr>
        <w:t xml:space="preserve">o assess the reliability of identifying the Th10 and Th11 vertebrae based on the right lung-liver interface, we performed a validation study </w:t>
      </w:r>
      <w:r>
        <w:rPr>
          <w:rFonts w:ascii="Times New Roman" w:hAnsi="Times New Roman" w:cs="Times New Roman"/>
          <w:sz w:val="24"/>
        </w:rPr>
        <w:t>in</w:t>
      </w:r>
      <w:r w:rsidR="00604183" w:rsidRPr="00604183">
        <w:rPr>
          <w:rFonts w:ascii="Times New Roman" w:hAnsi="Times New Roman" w:cs="Times New Roman"/>
          <w:sz w:val="24"/>
        </w:rPr>
        <w:t xml:space="preserve"> 99 consecutive patients </w:t>
      </w:r>
      <w:r w:rsidR="00D50823" w:rsidRPr="00D50823">
        <w:rPr>
          <w:rFonts w:ascii="Times New Roman" w:hAnsi="Times New Roman" w:cs="Times New Roman"/>
          <w:sz w:val="24"/>
        </w:rPr>
        <w:t>who underwent chest-to-pelvis CT</w:t>
      </w:r>
      <w:r w:rsidR="00604183" w:rsidRPr="00604183">
        <w:rPr>
          <w:rFonts w:ascii="Times New Roman" w:hAnsi="Times New Roman" w:cs="Times New Roman"/>
          <w:sz w:val="24"/>
        </w:rPr>
        <w:t xml:space="preserve">. </w:t>
      </w:r>
    </w:p>
    <w:p w14:paraId="34ADF96C" w14:textId="77777777" w:rsidR="0022638C" w:rsidRDefault="0022638C" w:rsidP="0022638C">
      <w:pPr>
        <w:ind w:firstLineChars="100" w:firstLine="240"/>
        <w:rPr>
          <w:rFonts w:ascii="Times New Roman" w:hAnsi="Times New Roman" w:cs="Times New Roman"/>
          <w:sz w:val="24"/>
        </w:rPr>
      </w:pPr>
    </w:p>
    <w:p w14:paraId="2C223221" w14:textId="008D4591" w:rsidR="0022638C" w:rsidRDefault="0022638C" w:rsidP="00604183">
      <w:pPr>
        <w:rPr>
          <w:rFonts w:ascii="Times New Roman" w:hAnsi="Times New Roman" w:cs="Times New Roman"/>
          <w:sz w:val="24"/>
        </w:rPr>
      </w:pPr>
      <w:r w:rsidRPr="0022638C">
        <w:rPr>
          <w:rFonts w:ascii="Times New Roman" w:hAnsi="Times New Roman" w:cs="Times New Roman"/>
          <w:sz w:val="24"/>
        </w:rPr>
        <w:t>Background:</w:t>
      </w:r>
      <w:r>
        <w:rPr>
          <w:rFonts w:ascii="Times New Roman" w:hAnsi="Times New Roman" w:cs="Times New Roman"/>
          <w:sz w:val="24"/>
        </w:rPr>
        <w:t xml:space="preserve"> </w:t>
      </w:r>
      <w:r w:rsidRPr="0022638C">
        <w:rPr>
          <w:rFonts w:ascii="Times New Roman" w:hAnsi="Times New Roman" w:cs="Times New Roman"/>
          <w:sz w:val="24"/>
        </w:rPr>
        <w:t xml:space="preserve">This </w:t>
      </w:r>
      <w:r>
        <w:rPr>
          <w:rFonts w:ascii="Times New Roman" w:hAnsi="Times New Roman" w:cs="Times New Roman"/>
          <w:sz w:val="24"/>
        </w:rPr>
        <w:t xml:space="preserve">supplementary </w:t>
      </w:r>
      <w:r w:rsidRPr="0022638C">
        <w:rPr>
          <w:rFonts w:ascii="Times New Roman" w:hAnsi="Times New Roman" w:cs="Times New Roman"/>
          <w:sz w:val="24"/>
        </w:rPr>
        <w:t xml:space="preserve">study aimed to assess the reliability of identifying the Th10 and Th11 vertebrae using the right lung-liver interface as an anatomical landmark. </w:t>
      </w:r>
    </w:p>
    <w:p w14:paraId="481B3479" w14:textId="77777777" w:rsidR="0022638C" w:rsidRDefault="0022638C" w:rsidP="00604183">
      <w:pPr>
        <w:rPr>
          <w:rFonts w:ascii="Times New Roman" w:hAnsi="Times New Roman" w:cs="Times New Roman"/>
          <w:sz w:val="24"/>
        </w:rPr>
      </w:pPr>
    </w:p>
    <w:p w14:paraId="46C54BFE" w14:textId="2A9A750A" w:rsidR="0022638C" w:rsidRDefault="0022638C" w:rsidP="00604183">
      <w:pPr>
        <w:rPr>
          <w:rFonts w:ascii="Times New Roman" w:hAnsi="Times New Roman" w:cs="Times New Roman"/>
          <w:sz w:val="24"/>
        </w:rPr>
      </w:pPr>
      <w:r w:rsidRPr="0022638C">
        <w:rPr>
          <w:rFonts w:ascii="Times New Roman" w:hAnsi="Times New Roman" w:cs="Times New Roman"/>
          <w:sz w:val="24"/>
        </w:rPr>
        <w:t>Methods:</w:t>
      </w:r>
      <w:r>
        <w:rPr>
          <w:rFonts w:ascii="Times New Roman" w:hAnsi="Times New Roman" w:cs="Times New Roman"/>
          <w:sz w:val="24"/>
        </w:rPr>
        <w:t xml:space="preserve"> </w:t>
      </w:r>
      <w:r w:rsidRPr="0022638C">
        <w:rPr>
          <w:rFonts w:ascii="Times New Roman" w:hAnsi="Times New Roman" w:cs="Times New Roman"/>
          <w:sz w:val="24"/>
        </w:rPr>
        <w:t xml:space="preserve">We analyzed 99 consecutive patients aged </w:t>
      </w:r>
      <w:r w:rsidRPr="00D50823">
        <w:rPr>
          <w:rFonts w:ascii="Times New Roman" w:hAnsi="Times New Roman" w:cs="Times New Roman"/>
          <w:sz w:val="24"/>
        </w:rPr>
        <w:t>≥</w:t>
      </w:r>
      <w:r w:rsidRPr="0022638C">
        <w:rPr>
          <w:rFonts w:ascii="Times New Roman" w:hAnsi="Times New Roman" w:cs="Times New Roman"/>
          <w:sz w:val="24"/>
        </w:rPr>
        <w:t>60 years who underwent chest-to-pelvis CT, which allows for definitive vertebral identification. In each scan, the intervertebral disc located closest to the axial plane containing the superior border of the right lung-liver interface was estimated to be the Th10/11 level. The actual vertebral levels were subsequently verified by tracing the spinal column from the cervical spine or sacrum using anatomical landmarks, including the ribs and pelvic bones, as the gold standard.</w:t>
      </w:r>
    </w:p>
    <w:p w14:paraId="51399545" w14:textId="77777777" w:rsidR="00B32C64" w:rsidRDefault="00B32C64" w:rsidP="00604183">
      <w:pPr>
        <w:rPr>
          <w:rFonts w:ascii="Times New Roman" w:hAnsi="Times New Roman" w:cs="Times New Roman"/>
          <w:sz w:val="24"/>
        </w:rPr>
      </w:pPr>
    </w:p>
    <w:p w14:paraId="38BB78E8" w14:textId="7A91A932" w:rsidR="0022638C" w:rsidRDefault="0022638C" w:rsidP="00604183">
      <w:pPr>
        <w:rPr>
          <w:rFonts w:ascii="Times New Roman" w:hAnsi="Times New Roman" w:cs="Times New Roman"/>
          <w:sz w:val="24"/>
        </w:rPr>
      </w:pPr>
      <w:r w:rsidRPr="0022638C">
        <w:rPr>
          <w:rFonts w:ascii="Times New Roman" w:hAnsi="Times New Roman" w:cs="Times New Roman"/>
          <w:sz w:val="24"/>
        </w:rPr>
        <w:t>Results:</w:t>
      </w:r>
      <w:r>
        <w:rPr>
          <w:rFonts w:ascii="Times New Roman" w:hAnsi="Times New Roman" w:cs="Times New Roman"/>
          <w:sz w:val="24"/>
        </w:rPr>
        <w:t xml:space="preserve"> </w:t>
      </w:r>
      <w:r w:rsidRPr="0022638C">
        <w:rPr>
          <w:rFonts w:ascii="Times New Roman" w:hAnsi="Times New Roman" w:cs="Times New Roman"/>
          <w:sz w:val="24"/>
        </w:rPr>
        <w:t>The estimated landmark correctly corresponded to the actual Th10/11 level in 68.7% (68/99) of patients. Discrepancies were observed as follows: the actual level was Th11/12 (one level caudal) in 22.2% (22/99) and Th9/10 (one level cranial) in 5.1% (5/99) of cases. Larger deviations (</w:t>
      </w:r>
      <w:r w:rsidR="00B32C64" w:rsidRPr="00D50823">
        <w:rPr>
          <w:rFonts w:ascii="Times New Roman" w:hAnsi="Times New Roman" w:cs="Times New Roman"/>
          <w:sz w:val="24"/>
        </w:rPr>
        <w:t>≥</w:t>
      </w:r>
      <w:r w:rsidRPr="0022638C">
        <w:rPr>
          <w:rFonts w:ascii="Times New Roman" w:hAnsi="Times New Roman" w:cs="Times New Roman"/>
          <w:sz w:val="24"/>
        </w:rPr>
        <w:t xml:space="preserve">2 levels) were rare, occurring in only 4.0% of the cohort. Consequently, the estimated vertebral level was within one vertebral level of the actual Th10/11 in 96.0% (95/99) of the cohort. The detailed distribution is shown in </w:t>
      </w:r>
      <w:r w:rsidR="00B32C64">
        <w:rPr>
          <w:rFonts w:ascii="Times New Roman" w:hAnsi="Times New Roman" w:cs="Times New Roman"/>
          <w:sz w:val="24"/>
        </w:rPr>
        <w:t>the</w:t>
      </w:r>
      <w:r w:rsidRPr="0022638C">
        <w:rPr>
          <w:rFonts w:ascii="Times New Roman" w:hAnsi="Times New Roman" w:cs="Times New Roman"/>
          <w:sz w:val="24"/>
        </w:rPr>
        <w:t xml:space="preserve"> </w:t>
      </w:r>
      <w:r w:rsidR="00B32C64">
        <w:rPr>
          <w:rFonts w:ascii="Times New Roman" w:hAnsi="Times New Roman" w:cs="Times New Roman"/>
          <w:sz w:val="24"/>
        </w:rPr>
        <w:t>t</w:t>
      </w:r>
      <w:r w:rsidRPr="0022638C">
        <w:rPr>
          <w:rFonts w:ascii="Times New Roman" w:hAnsi="Times New Roman" w:cs="Times New Roman"/>
          <w:sz w:val="24"/>
        </w:rPr>
        <w:t>able</w:t>
      </w:r>
      <w:r w:rsidR="00B32C64">
        <w:rPr>
          <w:rFonts w:ascii="Times New Roman" w:hAnsi="Times New Roman" w:cs="Times New Roman"/>
          <w:sz w:val="24"/>
        </w:rPr>
        <w:t xml:space="preserve"> below</w:t>
      </w:r>
      <w:r w:rsidRPr="0022638C">
        <w:rPr>
          <w:rFonts w:ascii="Times New Roman" w:hAnsi="Times New Roman" w:cs="Times New Roman"/>
          <w:sz w:val="24"/>
        </w:rPr>
        <w:t>.</w:t>
      </w:r>
    </w:p>
    <w:p w14:paraId="588B5C19" w14:textId="77777777" w:rsidR="00B32C64" w:rsidRDefault="00B32C64" w:rsidP="00604183">
      <w:pPr>
        <w:rPr>
          <w:rFonts w:ascii="Times New Roman" w:hAnsi="Times New Roman" w:cs="Times New Roman"/>
          <w:sz w:val="24"/>
        </w:rPr>
      </w:pPr>
    </w:p>
    <w:p w14:paraId="6EA72BA2" w14:textId="1EC9FC21" w:rsidR="0022638C" w:rsidRDefault="0022638C" w:rsidP="00604183">
      <w:pPr>
        <w:rPr>
          <w:rFonts w:ascii="Times New Roman" w:hAnsi="Times New Roman" w:cs="Times New Roman"/>
          <w:sz w:val="24"/>
        </w:rPr>
      </w:pPr>
      <w:r w:rsidRPr="0022638C">
        <w:rPr>
          <w:rFonts w:ascii="Times New Roman" w:hAnsi="Times New Roman" w:cs="Times New Roman"/>
          <w:sz w:val="24"/>
        </w:rPr>
        <w:t>Conclusion:</w:t>
      </w:r>
      <w:r>
        <w:rPr>
          <w:rFonts w:ascii="Times New Roman" w:hAnsi="Times New Roman" w:cs="Times New Roman"/>
          <w:sz w:val="24"/>
        </w:rPr>
        <w:t xml:space="preserve"> </w:t>
      </w:r>
      <w:r w:rsidRPr="0022638C">
        <w:rPr>
          <w:rFonts w:ascii="Times New Roman" w:hAnsi="Times New Roman" w:cs="Times New Roman"/>
          <w:sz w:val="24"/>
        </w:rPr>
        <w:t>The right lung-liver interface serves as a reliable anatomical landmark for estimating the lower thoracic vertebral level. Given that 96% of estimations fell within one vertebral level of the true anatomy, this method is considered sufficiently accurate for the opportunistic screening of bone density in cardiac CT scans.</w:t>
      </w:r>
    </w:p>
    <w:p w14:paraId="59C54038" w14:textId="77777777" w:rsidR="00604183" w:rsidRDefault="00604183" w:rsidP="00604183">
      <w:pPr>
        <w:rPr>
          <w:rFonts w:ascii="Times New Roman" w:hAnsi="Times New Roman" w:cs="Times New Roman"/>
          <w:sz w:val="24"/>
        </w:rPr>
      </w:pPr>
    </w:p>
    <w:tbl>
      <w:tblPr>
        <w:tblStyle w:val="aa"/>
        <w:tblW w:w="0" w:type="auto"/>
        <w:jc w:val="center"/>
        <w:tblLook w:val="04A0" w:firstRow="1" w:lastRow="0" w:firstColumn="1" w:lastColumn="0" w:noHBand="0" w:noVBand="1"/>
      </w:tblPr>
      <w:tblGrid>
        <w:gridCol w:w="2830"/>
        <w:gridCol w:w="2127"/>
        <w:gridCol w:w="3537"/>
      </w:tblGrid>
      <w:tr w:rsidR="00604183" w:rsidRPr="00604183" w14:paraId="1D7084C7" w14:textId="77777777" w:rsidTr="0022638C">
        <w:trPr>
          <w:jc w:val="center"/>
        </w:trPr>
        <w:tc>
          <w:tcPr>
            <w:tcW w:w="2830" w:type="dxa"/>
          </w:tcPr>
          <w:p w14:paraId="1ABDCA1E"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Actual Vertebral Level</w:t>
            </w:r>
          </w:p>
        </w:tc>
        <w:tc>
          <w:tcPr>
            <w:tcW w:w="2127" w:type="dxa"/>
          </w:tcPr>
          <w:p w14:paraId="7DFF8FF3"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n (%)</w:t>
            </w:r>
          </w:p>
        </w:tc>
        <w:tc>
          <w:tcPr>
            <w:tcW w:w="3537" w:type="dxa"/>
          </w:tcPr>
          <w:p w14:paraId="5042602D"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Deviation from Estimated Level</w:t>
            </w:r>
          </w:p>
        </w:tc>
      </w:tr>
      <w:tr w:rsidR="00604183" w:rsidRPr="00604183" w14:paraId="610F1F6A" w14:textId="77777777" w:rsidTr="0022638C">
        <w:trPr>
          <w:jc w:val="center"/>
        </w:trPr>
        <w:tc>
          <w:tcPr>
            <w:tcW w:w="2830" w:type="dxa"/>
          </w:tcPr>
          <w:p w14:paraId="00A28563"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Th10-11</w:t>
            </w:r>
          </w:p>
        </w:tc>
        <w:tc>
          <w:tcPr>
            <w:tcW w:w="2127" w:type="dxa"/>
          </w:tcPr>
          <w:p w14:paraId="75E3D831"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68 (69)</w:t>
            </w:r>
          </w:p>
        </w:tc>
        <w:tc>
          <w:tcPr>
            <w:tcW w:w="3537" w:type="dxa"/>
          </w:tcPr>
          <w:p w14:paraId="40E9B69B" w14:textId="07EA07B8"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0 (Correct)</w:t>
            </w:r>
          </w:p>
        </w:tc>
      </w:tr>
      <w:tr w:rsidR="00604183" w:rsidRPr="00604183" w14:paraId="69973778" w14:textId="77777777" w:rsidTr="0022638C">
        <w:trPr>
          <w:jc w:val="center"/>
        </w:trPr>
        <w:tc>
          <w:tcPr>
            <w:tcW w:w="2830" w:type="dxa"/>
          </w:tcPr>
          <w:p w14:paraId="1C350DCF"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Th11-12</w:t>
            </w:r>
          </w:p>
        </w:tc>
        <w:tc>
          <w:tcPr>
            <w:tcW w:w="2127" w:type="dxa"/>
          </w:tcPr>
          <w:p w14:paraId="3A5F920B"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22 (22)</w:t>
            </w:r>
          </w:p>
        </w:tc>
        <w:tc>
          <w:tcPr>
            <w:tcW w:w="3537" w:type="dxa"/>
          </w:tcPr>
          <w:p w14:paraId="7F7293A6"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-1 (Caudal)</w:t>
            </w:r>
          </w:p>
        </w:tc>
      </w:tr>
      <w:tr w:rsidR="00604183" w:rsidRPr="00604183" w14:paraId="0CB34512" w14:textId="77777777" w:rsidTr="0022638C">
        <w:trPr>
          <w:jc w:val="center"/>
        </w:trPr>
        <w:tc>
          <w:tcPr>
            <w:tcW w:w="2830" w:type="dxa"/>
          </w:tcPr>
          <w:p w14:paraId="6937F3A6"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Th9-10</w:t>
            </w:r>
          </w:p>
        </w:tc>
        <w:tc>
          <w:tcPr>
            <w:tcW w:w="2127" w:type="dxa"/>
          </w:tcPr>
          <w:p w14:paraId="228B0737"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5 (5)</w:t>
            </w:r>
          </w:p>
        </w:tc>
        <w:tc>
          <w:tcPr>
            <w:tcW w:w="3537" w:type="dxa"/>
          </w:tcPr>
          <w:p w14:paraId="4AA08FA3" w14:textId="624BCA00" w:rsidR="00604183" w:rsidRPr="0022638C" w:rsidRDefault="0022638C" w:rsidP="00D50823">
            <w:pPr>
              <w:jc w:val="center"/>
              <w:rPr>
                <w:rFonts w:ascii="Times New Roman" w:hAnsi="Times New Roman" w:cs="Times New Roman"/>
                <w:sz w:val="24"/>
              </w:rPr>
            </w:pPr>
            <w:r w:rsidRPr="0022638C">
              <w:rPr>
                <w:rFonts w:ascii="Times New Roman" w:hAnsi="Times New Roman" w:cs="Times New Roman"/>
                <w:sz w:val="24"/>
              </w:rPr>
              <w:t>+</w:t>
            </w:r>
            <w:r w:rsidR="00604183" w:rsidRPr="0022638C">
              <w:rPr>
                <w:rFonts w:ascii="Times New Roman" w:hAnsi="Times New Roman" w:cs="Times New Roman"/>
                <w:sz w:val="24"/>
              </w:rPr>
              <w:t>1 (Cranial)</w:t>
            </w:r>
          </w:p>
        </w:tc>
      </w:tr>
      <w:tr w:rsidR="00604183" w:rsidRPr="00604183" w14:paraId="021E0160" w14:textId="77777777" w:rsidTr="0022638C">
        <w:trPr>
          <w:jc w:val="center"/>
        </w:trPr>
        <w:tc>
          <w:tcPr>
            <w:tcW w:w="2830" w:type="dxa"/>
          </w:tcPr>
          <w:p w14:paraId="546D89BF"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Th12-L1</w:t>
            </w:r>
          </w:p>
        </w:tc>
        <w:tc>
          <w:tcPr>
            <w:tcW w:w="2127" w:type="dxa"/>
          </w:tcPr>
          <w:p w14:paraId="094A45CC"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2 (2)</w:t>
            </w:r>
          </w:p>
        </w:tc>
        <w:tc>
          <w:tcPr>
            <w:tcW w:w="3537" w:type="dxa"/>
          </w:tcPr>
          <w:p w14:paraId="01645BAF"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-2 (Caudal)</w:t>
            </w:r>
          </w:p>
        </w:tc>
      </w:tr>
      <w:tr w:rsidR="00604183" w:rsidRPr="00604183" w14:paraId="1DBB815E" w14:textId="77777777" w:rsidTr="0022638C">
        <w:trPr>
          <w:jc w:val="center"/>
        </w:trPr>
        <w:tc>
          <w:tcPr>
            <w:tcW w:w="2830" w:type="dxa"/>
          </w:tcPr>
          <w:p w14:paraId="54276736"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Th8-9</w:t>
            </w:r>
          </w:p>
        </w:tc>
        <w:tc>
          <w:tcPr>
            <w:tcW w:w="2127" w:type="dxa"/>
          </w:tcPr>
          <w:p w14:paraId="06AF75D2"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2 (2)</w:t>
            </w:r>
          </w:p>
        </w:tc>
        <w:tc>
          <w:tcPr>
            <w:tcW w:w="3537" w:type="dxa"/>
          </w:tcPr>
          <w:p w14:paraId="1447B370"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+2 (Cranial)</w:t>
            </w:r>
          </w:p>
        </w:tc>
      </w:tr>
      <w:tr w:rsidR="00604183" w:rsidRPr="00604183" w14:paraId="235C1922" w14:textId="77777777" w:rsidTr="0022638C">
        <w:trPr>
          <w:jc w:val="center"/>
        </w:trPr>
        <w:tc>
          <w:tcPr>
            <w:tcW w:w="2830" w:type="dxa"/>
          </w:tcPr>
          <w:p w14:paraId="3D5EB709"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Total</w:t>
            </w:r>
          </w:p>
        </w:tc>
        <w:tc>
          <w:tcPr>
            <w:tcW w:w="2127" w:type="dxa"/>
          </w:tcPr>
          <w:p w14:paraId="75A09D79" w14:textId="77777777" w:rsidR="00604183" w:rsidRPr="0022638C" w:rsidRDefault="00604183" w:rsidP="00D50823">
            <w:pPr>
              <w:jc w:val="center"/>
              <w:rPr>
                <w:rFonts w:ascii="Times New Roman" w:hAnsi="Times New Roman" w:cs="Times New Roman"/>
                <w:sz w:val="24"/>
              </w:rPr>
            </w:pPr>
            <w:r w:rsidRPr="0022638C">
              <w:rPr>
                <w:rFonts w:ascii="Times New Roman" w:hAnsi="Times New Roman" w:cs="Times New Roman"/>
                <w:sz w:val="24"/>
              </w:rPr>
              <w:t>99 (100)</w:t>
            </w:r>
          </w:p>
        </w:tc>
        <w:tc>
          <w:tcPr>
            <w:tcW w:w="3537" w:type="dxa"/>
          </w:tcPr>
          <w:p w14:paraId="2DC6168E" w14:textId="77777777" w:rsidR="00604183" w:rsidRPr="0022638C" w:rsidRDefault="00604183" w:rsidP="00D50823">
            <w:pPr>
              <w:jc w:val="center"/>
              <w:rPr>
                <w:rFonts w:ascii="Times New Roman" w:hAnsi="Times New Roman" w:cs="Times New Roman"/>
                <w:sz w:val="24"/>
              </w:rPr>
            </w:pPr>
          </w:p>
        </w:tc>
      </w:tr>
      <w:bookmarkEnd w:id="0"/>
    </w:tbl>
    <w:p w14:paraId="77188BFB" w14:textId="31796FAB" w:rsidR="00604183" w:rsidRPr="00604183" w:rsidRDefault="00604183" w:rsidP="00604183">
      <w:pPr>
        <w:rPr>
          <w:rFonts w:ascii="Times New Roman" w:hAnsi="Times New Roman" w:cs="Times New Roman"/>
          <w:sz w:val="24"/>
        </w:rPr>
      </w:pPr>
    </w:p>
    <w:sectPr w:rsidR="00604183" w:rsidRPr="00604183" w:rsidSect="00060629">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83"/>
    <w:rsid w:val="00003AED"/>
    <w:rsid w:val="00060629"/>
    <w:rsid w:val="00217DAE"/>
    <w:rsid w:val="0022638C"/>
    <w:rsid w:val="00283B88"/>
    <w:rsid w:val="004753B3"/>
    <w:rsid w:val="005728CC"/>
    <w:rsid w:val="00587DF3"/>
    <w:rsid w:val="00604183"/>
    <w:rsid w:val="00706C6F"/>
    <w:rsid w:val="00B32C64"/>
    <w:rsid w:val="00B77805"/>
    <w:rsid w:val="00C54DD6"/>
    <w:rsid w:val="00D50823"/>
    <w:rsid w:val="00F40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2CBE6E9"/>
  <w15:chartTrackingRefBased/>
  <w15:docId w15:val="{6646B752-F0B6-A64D-9C1A-68466CFB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0418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418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418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0418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0418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0418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0418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0418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0418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418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418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418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0418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418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418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418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418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418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418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41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41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41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4183"/>
    <w:pPr>
      <w:spacing w:before="160" w:after="160"/>
      <w:jc w:val="center"/>
    </w:pPr>
    <w:rPr>
      <w:i/>
      <w:iCs/>
      <w:color w:val="404040" w:themeColor="text1" w:themeTint="BF"/>
    </w:rPr>
  </w:style>
  <w:style w:type="character" w:customStyle="1" w:styleId="a8">
    <w:name w:val="引用文 (文字)"/>
    <w:basedOn w:val="a0"/>
    <w:link w:val="a7"/>
    <w:uiPriority w:val="29"/>
    <w:rsid w:val="00604183"/>
    <w:rPr>
      <w:i/>
      <w:iCs/>
      <w:color w:val="404040" w:themeColor="text1" w:themeTint="BF"/>
    </w:rPr>
  </w:style>
  <w:style w:type="paragraph" w:styleId="a9">
    <w:name w:val="List Paragraph"/>
    <w:basedOn w:val="a"/>
    <w:uiPriority w:val="34"/>
    <w:qFormat/>
    <w:rsid w:val="00604183"/>
    <w:pPr>
      <w:ind w:left="720"/>
      <w:contextualSpacing/>
    </w:pPr>
  </w:style>
  <w:style w:type="character" w:styleId="21">
    <w:name w:val="Intense Emphasis"/>
    <w:basedOn w:val="a0"/>
    <w:uiPriority w:val="21"/>
    <w:qFormat/>
    <w:rsid w:val="00604183"/>
    <w:rPr>
      <w:i/>
      <w:iCs/>
      <w:color w:val="0F4761" w:themeColor="accent1" w:themeShade="BF"/>
    </w:rPr>
  </w:style>
  <w:style w:type="paragraph" w:styleId="22">
    <w:name w:val="Intense Quote"/>
    <w:basedOn w:val="a"/>
    <w:next w:val="a"/>
    <w:link w:val="23"/>
    <w:uiPriority w:val="30"/>
    <w:qFormat/>
    <w:rsid w:val="00604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04183"/>
    <w:rPr>
      <w:i/>
      <w:iCs/>
      <w:color w:val="0F4761" w:themeColor="accent1" w:themeShade="BF"/>
    </w:rPr>
  </w:style>
  <w:style w:type="character" w:styleId="24">
    <w:name w:val="Intense Reference"/>
    <w:basedOn w:val="a0"/>
    <w:uiPriority w:val="32"/>
    <w:qFormat/>
    <w:rsid w:val="00604183"/>
    <w:rPr>
      <w:b/>
      <w:bCs/>
      <w:smallCaps/>
      <w:color w:val="0F4761" w:themeColor="accent1" w:themeShade="BF"/>
      <w:spacing w:val="5"/>
    </w:rPr>
  </w:style>
  <w:style w:type="table" w:styleId="aa">
    <w:name w:val="Table Grid"/>
    <w:basedOn w:val="a1"/>
    <w:uiPriority w:val="39"/>
    <w:rsid w:val="00604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315</Words>
  <Characters>1778</Characters>
  <Application>Microsoft Office Word</Application>
  <DocSecurity>0</DocSecurity>
  <Lines>49</Lines>
  <Paragraphs>31</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2025-12-05T19:28:00Z</dcterms:created>
  <dcterms:modified xsi:type="dcterms:W3CDTF">2026-02-15T02:39:00Z</dcterms:modified>
</cp:coreProperties>
</file>