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90E7" w14:textId="7A8D0C96" w:rsidR="002E123B" w:rsidRPr="002B6420" w:rsidRDefault="00000000">
      <w:pPr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</w:pP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>Table S</w:t>
      </w:r>
      <w:r w:rsidRPr="002B6420">
        <w:rPr>
          <w:rFonts w:ascii="Times New Roman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  <w:t>1</w:t>
      </w: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 xml:space="preserve">. </w:t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 xml:space="preserve">Clinical endpoint at 12 months </w:t>
      </w:r>
      <w:r w:rsidR="005E08D4" w:rsidRPr="005E08D4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>in the PSM cohort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978"/>
        <w:gridCol w:w="2360"/>
        <w:gridCol w:w="2445"/>
        <w:gridCol w:w="857"/>
      </w:tblGrid>
      <w:tr w:rsidR="002E123B" w:rsidRPr="002B6420" w14:paraId="1079F891" w14:textId="77777777">
        <w:trPr>
          <w:trHeight w:val="276"/>
          <w:jc w:val="center"/>
        </w:trPr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CCDEFB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34723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Vericiguat 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CB83F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Control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51B02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P</w:t>
            </w:r>
          </w:p>
        </w:tc>
      </w:tr>
      <w:tr w:rsidR="002E123B" w:rsidRPr="002B6420" w14:paraId="38233C80" w14:textId="77777777">
        <w:trPr>
          <w:trHeight w:val="212"/>
          <w:jc w:val="center"/>
        </w:trPr>
        <w:tc>
          <w:tcPr>
            <w:tcW w:w="1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241882D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Composite </w:t>
            </w:r>
            <w:bookmarkStart w:id="0" w:name="OLE_LINK5"/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clinical </w:t>
            </w:r>
            <w:bookmarkEnd w:id="0"/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endpoint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1F45A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8 (5.56%)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7D78B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13 (9.03%)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4C7D6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0.365</w:t>
            </w:r>
          </w:p>
        </w:tc>
      </w:tr>
      <w:tr w:rsidR="002E123B" w:rsidRPr="002B6420" w14:paraId="77DF8EB4" w14:textId="77777777">
        <w:trPr>
          <w:jc w:val="center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D4D996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Cardiovascular death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</w:tcPr>
          <w:p w14:paraId="12AC163A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3 (2.08%)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</w:tcPr>
          <w:p w14:paraId="6EDD7487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3 (2.08%)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</w:tcPr>
          <w:p w14:paraId="40CC477E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1.000</w:t>
            </w:r>
          </w:p>
        </w:tc>
      </w:tr>
      <w:tr w:rsidR="002E123B" w:rsidRPr="002B6420" w14:paraId="6B99C626" w14:textId="77777777">
        <w:trPr>
          <w:jc w:val="center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7278BD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First hospitalization for HF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</w:tcPr>
          <w:p w14:paraId="008ED37D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6 (4.17%)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</w:tcPr>
          <w:p w14:paraId="02541A50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11 (7.64%)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</w:tcPr>
          <w:p w14:paraId="6F820F81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0.317</w:t>
            </w:r>
          </w:p>
        </w:tc>
      </w:tr>
      <w:tr w:rsidR="002E123B" w:rsidRPr="002B6420" w14:paraId="1A604B9B" w14:textId="77777777">
        <w:trPr>
          <w:jc w:val="center"/>
        </w:trPr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53A242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All-cause mortality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47A97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7 (4.86%)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FF10A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6 (4.17%)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EBB9E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1.000</w:t>
            </w:r>
          </w:p>
        </w:tc>
      </w:tr>
    </w:tbl>
    <w:p w14:paraId="7B413D6A" w14:textId="77777777" w:rsidR="002E123B" w:rsidRPr="002B6420" w:rsidRDefault="00000000">
      <w:pPr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</w:pP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>Table S</w:t>
      </w:r>
      <w:r w:rsidRPr="002B6420">
        <w:rPr>
          <w:rFonts w:ascii="Times New Roman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  <w:t>2</w:t>
      </w: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 xml:space="preserve">. </w:t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>NYHA functional classification at 12 months before PSM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73"/>
        <w:gridCol w:w="2139"/>
        <w:gridCol w:w="2224"/>
        <w:gridCol w:w="1104"/>
      </w:tblGrid>
      <w:tr w:rsidR="002E123B" w:rsidRPr="002B6420" w14:paraId="17E20C52" w14:textId="77777777">
        <w:trPr>
          <w:trHeight w:val="276"/>
          <w:jc w:val="center"/>
        </w:trPr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DE0FFC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7EF6B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Vericiguat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8B08A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Control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981B7" w14:textId="77777777" w:rsidR="002E123B" w:rsidRPr="002B6420" w:rsidRDefault="00000000">
            <w:pPr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P</w:t>
            </w:r>
          </w:p>
        </w:tc>
      </w:tr>
      <w:tr w:rsidR="002E123B" w:rsidRPr="002B6420" w14:paraId="0CC0A3A5" w14:textId="77777777">
        <w:trPr>
          <w:trHeight w:val="212"/>
          <w:jc w:val="center"/>
        </w:trPr>
        <w:tc>
          <w:tcPr>
            <w:tcW w:w="183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5FF5A2A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NYHA functional class, n%</w:t>
            </w:r>
          </w:p>
        </w:tc>
        <w:tc>
          <w:tcPr>
            <w:tcW w:w="12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2D5D3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1CDF3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6DC5C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0.036</w:t>
            </w:r>
          </w:p>
        </w:tc>
      </w:tr>
      <w:tr w:rsidR="002E123B" w:rsidRPr="002B6420" w14:paraId="6AA7B7F3" w14:textId="77777777">
        <w:trPr>
          <w:jc w:val="center"/>
        </w:trPr>
        <w:tc>
          <w:tcPr>
            <w:tcW w:w="183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52ABE9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Ⅰ</w:t>
            </w:r>
          </w:p>
        </w:tc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</w:tcPr>
          <w:p w14:paraId="5F99E19C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145 (75.13%)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</w:tcPr>
          <w:p w14:paraId="2D7100F4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159 (65.70%)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</w:tcPr>
          <w:p w14:paraId="633E5DF7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</w:tr>
      <w:tr w:rsidR="002E123B" w:rsidRPr="002B6420" w14:paraId="1ECD0477" w14:textId="77777777">
        <w:trPr>
          <w:jc w:val="center"/>
        </w:trPr>
        <w:tc>
          <w:tcPr>
            <w:tcW w:w="183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48E2B5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Ⅱ</w:t>
            </w:r>
          </w:p>
        </w:tc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</w:tcPr>
          <w:p w14:paraId="6A2E1623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43 (22.28%)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</w:tcPr>
          <w:p w14:paraId="05143B7F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76 (31.41%)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</w:tcPr>
          <w:p w14:paraId="743B377F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</w:tr>
      <w:tr w:rsidR="002E123B" w:rsidRPr="002B6420" w14:paraId="16FD8AE3" w14:textId="77777777">
        <w:trPr>
          <w:jc w:val="center"/>
        </w:trPr>
        <w:tc>
          <w:tcPr>
            <w:tcW w:w="183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31107D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Ⅲ</w:t>
            </w:r>
          </w:p>
        </w:tc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</w:tcPr>
          <w:p w14:paraId="07525B4A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5 (2.59%)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</w:tcPr>
          <w:p w14:paraId="7D84CB1E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6 (2.48%)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</w:tcPr>
          <w:p w14:paraId="6A7148AA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</w:tr>
      <w:tr w:rsidR="002E123B" w:rsidRPr="002B6420" w14:paraId="59470EA3" w14:textId="77777777">
        <w:trPr>
          <w:jc w:val="center"/>
        </w:trPr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C5D3E0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Ⅳ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DEEB3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B16F3" w14:textId="77777777" w:rsidR="002E123B" w:rsidRPr="002B6420" w:rsidRDefault="00000000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1 (0.41%)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C64E2" w14:textId="77777777" w:rsidR="002E123B" w:rsidRPr="002B6420" w:rsidRDefault="002E123B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</w:tr>
    </w:tbl>
    <w:p w14:paraId="16096992" w14:textId="5B4D225E" w:rsidR="002E123B" w:rsidRPr="002B6420" w:rsidRDefault="00000000">
      <w:pPr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</w:pPr>
      <w:r w:rsidRPr="002B6420">
        <w:rPr>
          <w:rFonts w:ascii="Times New Roman" w:eastAsia="Times New Roman" w:hAnsi="Times New Roman"/>
          <w:noProof/>
          <w:snapToGrid w:val="0"/>
          <w:color w:val="000000"/>
          <w:kern w:val="0"/>
          <w:sz w:val="20"/>
          <w:szCs w:val="22"/>
          <w:lang w:eastAsia="de-DE" w:bidi="en-US"/>
        </w:rPr>
        <w:drawing>
          <wp:inline distT="0" distB="0" distL="0" distR="0" wp14:anchorId="0223BE2A" wp14:editId="3043069C">
            <wp:extent cx="5613400" cy="450850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45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 xml:space="preserve"> </w:t>
      </w: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 xml:space="preserve">Figure S1. </w:t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 xml:space="preserve">Evolution of NYHA functional classification </w:t>
      </w:r>
      <w:r w:rsidR="005E08D4" w:rsidRPr="005E08D4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>at 12 months in the PSM cohort</w:t>
      </w:r>
    </w:p>
    <w:p w14:paraId="5CFDD270" w14:textId="77777777" w:rsidR="00664EF1" w:rsidRPr="002B6420" w:rsidRDefault="00664EF1" w:rsidP="00B32B25">
      <w:pPr>
        <w:rPr>
          <w:rFonts w:ascii="Times New Roman" w:eastAsiaTheme="minorEastAsia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</w:pPr>
    </w:p>
    <w:p w14:paraId="14890BB8" w14:textId="77777777" w:rsidR="00664EF1" w:rsidRPr="002B6420" w:rsidRDefault="00664EF1" w:rsidP="00B32B25">
      <w:pPr>
        <w:rPr>
          <w:rFonts w:ascii="Times New Roman" w:eastAsiaTheme="minorEastAsia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</w:pPr>
    </w:p>
    <w:p w14:paraId="72F1B119" w14:textId="77777777" w:rsidR="00664EF1" w:rsidRPr="002B6420" w:rsidRDefault="00664EF1" w:rsidP="00B32B25">
      <w:pPr>
        <w:rPr>
          <w:rFonts w:ascii="Times New Roman" w:eastAsiaTheme="minorEastAsia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</w:pPr>
    </w:p>
    <w:p w14:paraId="7C397CB1" w14:textId="77777777" w:rsidR="00664EF1" w:rsidRPr="002B6420" w:rsidRDefault="00664EF1" w:rsidP="00B32B25">
      <w:pPr>
        <w:rPr>
          <w:rFonts w:ascii="Times New Roman" w:eastAsiaTheme="minorEastAsia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</w:pPr>
    </w:p>
    <w:p w14:paraId="3E1F70D8" w14:textId="4BDF9CC2" w:rsidR="00B32B25" w:rsidRPr="002B6420" w:rsidRDefault="00B32B25" w:rsidP="00B32B25">
      <w:pPr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</w:pP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lastRenderedPageBreak/>
        <w:t>Table S</w:t>
      </w:r>
      <w:r w:rsidRPr="002B6420">
        <w:rPr>
          <w:rFonts w:ascii="Times New Roman" w:hAnsi="Times New Roman"/>
          <w:b/>
          <w:bCs/>
          <w:snapToGrid w:val="0"/>
          <w:color w:val="000000"/>
          <w:kern w:val="0"/>
          <w:sz w:val="20"/>
          <w:szCs w:val="22"/>
          <w:lang w:bidi="en-US"/>
        </w:rPr>
        <w:t>3</w:t>
      </w: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 xml:space="preserve">. </w:t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 xml:space="preserve">KCCQ-12 </w:t>
      </w:r>
      <w:r w:rsidRPr="002B6420"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  <w:t>scores</w:t>
      </w:r>
      <w:r w:rsidRPr="002B6420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 xml:space="preserve"> at 12 months </w:t>
      </w:r>
      <w:r w:rsidR="005E08D4" w:rsidRPr="005E08D4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>in the PSM cohort</w:t>
      </w:r>
    </w:p>
    <w:p w14:paraId="3CDAEB80" w14:textId="77777777" w:rsidR="00B32B25" w:rsidRPr="002B6420" w:rsidRDefault="00B32B25">
      <w:pPr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</w:pPr>
    </w:p>
    <w:tbl>
      <w:tblPr>
        <w:tblW w:w="87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9"/>
        <w:gridCol w:w="30"/>
        <w:gridCol w:w="2287"/>
        <w:gridCol w:w="1701"/>
        <w:gridCol w:w="992"/>
      </w:tblGrid>
      <w:tr w:rsidR="000D1097" w:rsidRPr="002B6420" w14:paraId="46AEF30F" w14:textId="77777777" w:rsidTr="00B32B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BC9108" w14:textId="2909B766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14A78A" w14:textId="0ED8EFBF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Vericiguat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6C257C" w14:textId="3E59D2F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Control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E6E368" w14:textId="7A5576D0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P</w:t>
            </w:r>
          </w:p>
        </w:tc>
      </w:tr>
      <w:tr w:rsidR="000D1097" w:rsidRPr="002B6420" w14:paraId="50059CAC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40AF5DF7" w14:textId="3B85F9F0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KCCQ-12 Physical Limitation</w:t>
            </w:r>
          </w:p>
        </w:tc>
        <w:tc>
          <w:tcPr>
            <w:tcW w:w="1104" w:type="dxa"/>
            <w:vAlign w:val="center"/>
          </w:tcPr>
          <w:p w14:paraId="22B4AC91" w14:textId="3065231F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91.97 ± 10.90 </w:t>
            </w:r>
          </w:p>
        </w:tc>
        <w:tc>
          <w:tcPr>
            <w:tcW w:w="1671" w:type="dxa"/>
            <w:vAlign w:val="center"/>
          </w:tcPr>
          <w:p w14:paraId="084CF65E" w14:textId="4506C8B4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89.01 ± 13.62 </w:t>
            </w:r>
          </w:p>
        </w:tc>
        <w:tc>
          <w:tcPr>
            <w:tcW w:w="947" w:type="dxa"/>
            <w:vAlign w:val="center"/>
            <w:hideMark/>
          </w:tcPr>
          <w:p w14:paraId="0B9436C3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0.048</w:t>
            </w:r>
          </w:p>
        </w:tc>
      </w:tr>
      <w:tr w:rsidR="000D1097" w:rsidRPr="002B6420" w14:paraId="656EFE5E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0258576B" w14:textId="1DD22FC6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KCCQ-12 Symptom Frequency</w:t>
            </w:r>
          </w:p>
        </w:tc>
        <w:tc>
          <w:tcPr>
            <w:tcW w:w="1104" w:type="dxa"/>
            <w:vAlign w:val="center"/>
          </w:tcPr>
          <w:p w14:paraId="121E4AB0" w14:textId="330126F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94.48 ± 11.45 </w:t>
            </w:r>
          </w:p>
        </w:tc>
        <w:tc>
          <w:tcPr>
            <w:tcW w:w="1671" w:type="dxa"/>
            <w:vAlign w:val="center"/>
          </w:tcPr>
          <w:p w14:paraId="2F23F8DD" w14:textId="304E6F2B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94.25 ± 9.71 </w:t>
            </w:r>
          </w:p>
        </w:tc>
        <w:tc>
          <w:tcPr>
            <w:tcW w:w="947" w:type="dxa"/>
            <w:vAlign w:val="center"/>
            <w:hideMark/>
          </w:tcPr>
          <w:p w14:paraId="120F063D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0.857</w:t>
            </w:r>
          </w:p>
        </w:tc>
      </w:tr>
      <w:tr w:rsidR="000D1097" w:rsidRPr="002B6420" w14:paraId="165286FC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6E213C6E" w14:textId="237F92A0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KCCQ-12 Quality of Life</w:t>
            </w:r>
          </w:p>
        </w:tc>
        <w:tc>
          <w:tcPr>
            <w:tcW w:w="1104" w:type="dxa"/>
            <w:vAlign w:val="center"/>
          </w:tcPr>
          <w:p w14:paraId="0C183177" w14:textId="39ECB2A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86.25 ± 14.97 </w:t>
            </w:r>
          </w:p>
        </w:tc>
        <w:tc>
          <w:tcPr>
            <w:tcW w:w="1671" w:type="dxa"/>
            <w:vAlign w:val="center"/>
          </w:tcPr>
          <w:p w14:paraId="172E4C1E" w14:textId="3831580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77.72 ± 19.52 </w:t>
            </w:r>
          </w:p>
        </w:tc>
        <w:tc>
          <w:tcPr>
            <w:tcW w:w="947" w:type="dxa"/>
            <w:vAlign w:val="center"/>
            <w:hideMark/>
          </w:tcPr>
          <w:p w14:paraId="662AE2FA" w14:textId="08712294" w:rsidR="000D1097" w:rsidRPr="002B6420" w:rsidRDefault="00BA3DBF" w:rsidP="000D1097">
            <w:pPr>
              <w:rPr>
                <w:rFonts w:ascii="Times New Roman" w:eastAsiaTheme="minorEastAsia" w:hAnsi="Times New Roman"/>
                <w:snapToGrid w:val="0"/>
                <w:color w:val="000000"/>
                <w:kern w:val="0"/>
                <w:sz w:val="20"/>
                <w:szCs w:val="22"/>
                <w:lang w:bidi="en-US"/>
              </w:rPr>
            </w:pPr>
            <w:r w:rsidRPr="002B6420">
              <w:rPr>
                <w:rFonts w:ascii="Times New Roman" w:eastAsiaTheme="minorEastAsia" w:hAnsi="Times New Roman"/>
                <w:snapToGrid w:val="0"/>
                <w:color w:val="000000"/>
                <w:kern w:val="0"/>
                <w:sz w:val="20"/>
                <w:szCs w:val="22"/>
                <w:lang w:bidi="en-US"/>
              </w:rPr>
              <w:t>&lt;</w:t>
            </w:r>
            <w:r w:rsidR="000D1097"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0.00</w:t>
            </w:r>
            <w:r w:rsidRPr="002B6420">
              <w:rPr>
                <w:rFonts w:ascii="Times New Roman" w:eastAsiaTheme="minorEastAsia" w:hAnsi="Times New Roman"/>
                <w:snapToGrid w:val="0"/>
                <w:color w:val="000000"/>
                <w:kern w:val="0"/>
                <w:sz w:val="20"/>
                <w:szCs w:val="22"/>
                <w:lang w:bidi="en-US"/>
              </w:rPr>
              <w:t>1</w:t>
            </w:r>
          </w:p>
        </w:tc>
      </w:tr>
      <w:tr w:rsidR="000D1097" w:rsidRPr="002B6420" w14:paraId="4B2003FD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7711362E" w14:textId="7028D9D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KCCQ-12 Social Limitation</w:t>
            </w:r>
          </w:p>
        </w:tc>
        <w:tc>
          <w:tcPr>
            <w:tcW w:w="1104" w:type="dxa"/>
            <w:vAlign w:val="center"/>
          </w:tcPr>
          <w:p w14:paraId="6A586B3C" w14:textId="488F5D35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93.92 ± 11.68 </w:t>
            </w:r>
          </w:p>
        </w:tc>
        <w:tc>
          <w:tcPr>
            <w:tcW w:w="1671" w:type="dxa"/>
            <w:vAlign w:val="center"/>
          </w:tcPr>
          <w:p w14:paraId="5D16C59F" w14:textId="580BB174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90.70 ± 14.42 </w:t>
            </w:r>
          </w:p>
        </w:tc>
        <w:tc>
          <w:tcPr>
            <w:tcW w:w="947" w:type="dxa"/>
            <w:vAlign w:val="center"/>
            <w:hideMark/>
          </w:tcPr>
          <w:p w14:paraId="4DA84305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0.043</w:t>
            </w:r>
          </w:p>
        </w:tc>
      </w:tr>
      <w:tr w:rsidR="000D1097" w:rsidRPr="002B6420" w14:paraId="0FE88E67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2645CD57" w14:textId="6A3A0583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KCCQ-12 Total Score</w:t>
            </w:r>
          </w:p>
        </w:tc>
        <w:tc>
          <w:tcPr>
            <w:tcW w:w="1104" w:type="dxa"/>
            <w:vAlign w:val="center"/>
          </w:tcPr>
          <w:p w14:paraId="5EE34092" w14:textId="3EF79A3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91.66 ± 9.80 </w:t>
            </w:r>
          </w:p>
        </w:tc>
        <w:tc>
          <w:tcPr>
            <w:tcW w:w="1671" w:type="dxa"/>
            <w:vAlign w:val="center"/>
          </w:tcPr>
          <w:p w14:paraId="4F310332" w14:textId="53A39AF6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87.92 ± 11.49 </w:t>
            </w:r>
          </w:p>
        </w:tc>
        <w:tc>
          <w:tcPr>
            <w:tcW w:w="947" w:type="dxa"/>
            <w:vAlign w:val="center"/>
            <w:hideMark/>
          </w:tcPr>
          <w:p w14:paraId="26546D0F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0.004</w:t>
            </w:r>
          </w:p>
        </w:tc>
      </w:tr>
      <w:tr w:rsidR="000D1097" w:rsidRPr="002B6420" w14:paraId="7BAC2B53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67ABB080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Change in KCCQ-12 Physical Limitation</w:t>
            </w:r>
          </w:p>
        </w:tc>
        <w:tc>
          <w:tcPr>
            <w:tcW w:w="1104" w:type="dxa"/>
            <w:vAlign w:val="center"/>
          </w:tcPr>
          <w:p w14:paraId="409F0959" w14:textId="3BE4E3C9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21.28 ± 17.28 </w:t>
            </w:r>
          </w:p>
        </w:tc>
        <w:tc>
          <w:tcPr>
            <w:tcW w:w="1671" w:type="dxa"/>
            <w:vAlign w:val="center"/>
          </w:tcPr>
          <w:p w14:paraId="303675EC" w14:textId="467CB7D1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21.10 ± 21.40 </w:t>
            </w:r>
          </w:p>
        </w:tc>
        <w:tc>
          <w:tcPr>
            <w:tcW w:w="947" w:type="dxa"/>
            <w:vAlign w:val="center"/>
            <w:hideMark/>
          </w:tcPr>
          <w:p w14:paraId="3456A95D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0.938</w:t>
            </w:r>
          </w:p>
        </w:tc>
      </w:tr>
      <w:tr w:rsidR="000D1097" w:rsidRPr="002B6420" w14:paraId="33C5BFA7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1707077D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Change in KCCQ-12 Symptom Frequency</w:t>
            </w:r>
          </w:p>
        </w:tc>
        <w:tc>
          <w:tcPr>
            <w:tcW w:w="1104" w:type="dxa"/>
            <w:vAlign w:val="center"/>
          </w:tcPr>
          <w:p w14:paraId="03B71577" w14:textId="570376C0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15.19 ± 18.65 </w:t>
            </w:r>
          </w:p>
        </w:tc>
        <w:tc>
          <w:tcPr>
            <w:tcW w:w="1671" w:type="dxa"/>
            <w:vAlign w:val="center"/>
          </w:tcPr>
          <w:p w14:paraId="21BF1B8C" w14:textId="39A4AEB5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12.09 ± 15.58 </w:t>
            </w:r>
          </w:p>
        </w:tc>
        <w:tc>
          <w:tcPr>
            <w:tcW w:w="947" w:type="dxa"/>
            <w:vAlign w:val="center"/>
            <w:hideMark/>
          </w:tcPr>
          <w:p w14:paraId="3B908EDE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0.136</w:t>
            </w:r>
          </w:p>
        </w:tc>
      </w:tr>
      <w:tr w:rsidR="000D1097" w:rsidRPr="002B6420" w14:paraId="096AC9CA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44563DD0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Change in KCCQ-12 Quality of Life</w:t>
            </w:r>
          </w:p>
        </w:tc>
        <w:tc>
          <w:tcPr>
            <w:tcW w:w="1104" w:type="dxa"/>
            <w:vAlign w:val="center"/>
          </w:tcPr>
          <w:p w14:paraId="3B8E2DBA" w14:textId="3AEF90B2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29.68 ± 23.38 </w:t>
            </w:r>
          </w:p>
        </w:tc>
        <w:tc>
          <w:tcPr>
            <w:tcW w:w="1671" w:type="dxa"/>
            <w:vAlign w:val="center"/>
          </w:tcPr>
          <w:p w14:paraId="587D1841" w14:textId="7DCF312A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23.94 ± 29.45 </w:t>
            </w:r>
          </w:p>
        </w:tc>
        <w:tc>
          <w:tcPr>
            <w:tcW w:w="947" w:type="dxa"/>
            <w:vAlign w:val="center"/>
            <w:hideMark/>
          </w:tcPr>
          <w:p w14:paraId="52184DBA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0.075</w:t>
            </w:r>
          </w:p>
        </w:tc>
      </w:tr>
      <w:tr w:rsidR="000D1097" w:rsidRPr="002B6420" w14:paraId="1927C706" w14:textId="77777777" w:rsidTr="00B32B25">
        <w:trPr>
          <w:tblCellSpacing w:w="15" w:type="dxa"/>
        </w:trPr>
        <w:tc>
          <w:tcPr>
            <w:tcW w:w="4917" w:type="dxa"/>
            <w:gridSpan w:val="2"/>
            <w:vAlign w:val="center"/>
            <w:hideMark/>
          </w:tcPr>
          <w:p w14:paraId="60CC0F77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Change in KCCQ-12 Social Limitation</w:t>
            </w:r>
          </w:p>
        </w:tc>
        <w:tc>
          <w:tcPr>
            <w:tcW w:w="1104" w:type="dxa"/>
            <w:vAlign w:val="center"/>
          </w:tcPr>
          <w:p w14:paraId="0F7A3435" w14:textId="138EDA8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29.30 ± 25.47 </w:t>
            </w:r>
          </w:p>
        </w:tc>
        <w:tc>
          <w:tcPr>
            <w:tcW w:w="1671" w:type="dxa"/>
            <w:vAlign w:val="center"/>
          </w:tcPr>
          <w:p w14:paraId="5E317EEA" w14:textId="109E092E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27.38 ± 28.42 </w:t>
            </w:r>
          </w:p>
        </w:tc>
        <w:tc>
          <w:tcPr>
            <w:tcW w:w="947" w:type="dxa"/>
            <w:vAlign w:val="center"/>
            <w:hideMark/>
          </w:tcPr>
          <w:p w14:paraId="2BDEB08C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0.556</w:t>
            </w:r>
          </w:p>
        </w:tc>
      </w:tr>
      <w:tr w:rsidR="000D1097" w:rsidRPr="002B6420" w14:paraId="44AC9CD2" w14:textId="77777777" w:rsidTr="00BA3DBF">
        <w:trPr>
          <w:tblCellSpacing w:w="15" w:type="dxa"/>
        </w:trPr>
        <w:tc>
          <w:tcPr>
            <w:tcW w:w="491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260AF4B1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Change in KCCQ-12 Total Score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0D59F708" w14:textId="6A631D8D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23.86 ± 14.94 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4F66A162" w14:textId="19D2D300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 xml:space="preserve">21.13 ± 18.80 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  <w:hideMark/>
          </w:tcPr>
          <w:p w14:paraId="2F49FE46" w14:textId="77777777" w:rsidR="000D1097" w:rsidRPr="002B6420" w:rsidRDefault="000D1097" w:rsidP="000D1097">
            <w:pPr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</w:pPr>
            <w:r w:rsidRPr="002B6420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0"/>
                <w:szCs w:val="22"/>
                <w:lang w:eastAsia="de-DE" w:bidi="en-US"/>
              </w:rPr>
              <w:t>0.183</w:t>
            </w:r>
          </w:p>
        </w:tc>
      </w:tr>
    </w:tbl>
    <w:p w14:paraId="1B47D85F" w14:textId="10C1ABAD" w:rsidR="000D1097" w:rsidRDefault="001E6E93" w:rsidP="001E6E93">
      <w:pPr>
        <w:jc w:val="center"/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</w:pPr>
      <w:r>
        <w:rPr>
          <w:rFonts w:ascii="Times New Roman" w:eastAsiaTheme="minorEastAsia" w:hAnsi="Times New Roman"/>
          <w:noProof/>
          <w:snapToGrid w:val="0"/>
          <w:color w:val="000000"/>
          <w:kern w:val="0"/>
          <w:sz w:val="20"/>
          <w:szCs w:val="22"/>
          <w:lang w:bidi="en-US"/>
        </w:rPr>
        <w:drawing>
          <wp:inline distT="0" distB="0" distL="0" distR="0" wp14:anchorId="5C9CFFF9" wp14:editId="1D2DBFB8">
            <wp:extent cx="4640580" cy="4221480"/>
            <wp:effectExtent l="0" t="0" r="7620" b="7620"/>
            <wp:docPr id="14962553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7F242" w14:textId="17394024" w:rsidR="001E6E93" w:rsidRDefault="001E6E93" w:rsidP="001E6E93">
      <w:pPr>
        <w:jc w:val="center"/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</w:pP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>Figure S</w:t>
      </w:r>
      <w:r w:rsidR="00725FE3">
        <w:rPr>
          <w:rFonts w:ascii="Times New Roman" w:eastAsiaTheme="minorEastAsia" w:hAnsi="Times New Roman" w:hint="eastAsia"/>
          <w:b/>
          <w:bCs/>
          <w:snapToGrid w:val="0"/>
          <w:color w:val="000000"/>
          <w:kern w:val="0"/>
          <w:sz w:val="20"/>
          <w:szCs w:val="22"/>
          <w:lang w:bidi="en-US"/>
        </w:rPr>
        <w:t>2</w:t>
      </w:r>
      <w:r w:rsidRPr="002B6420">
        <w:rPr>
          <w:rFonts w:ascii="Times New Roman" w:eastAsia="Times New Roman" w:hAnsi="Times New Roman"/>
          <w:b/>
          <w:bCs/>
          <w:snapToGrid w:val="0"/>
          <w:color w:val="000000"/>
          <w:kern w:val="0"/>
          <w:sz w:val="20"/>
          <w:szCs w:val="22"/>
          <w:lang w:eastAsia="de-DE" w:bidi="en-US"/>
        </w:rPr>
        <w:t xml:space="preserve">. </w:t>
      </w:r>
      <w:r w:rsidRPr="001E6E93">
        <w:rPr>
          <w:rFonts w:ascii="Times New Roman" w:eastAsiaTheme="minorEastAsia" w:hAnsi="Times New Roman"/>
          <w:snapToGrid w:val="0"/>
          <w:color w:val="000000"/>
          <w:kern w:val="0"/>
          <w:sz w:val="20"/>
          <w:szCs w:val="22"/>
          <w:lang w:bidi="en-US"/>
        </w:rPr>
        <w:t>Drug-related adverse events</w:t>
      </w:r>
      <w:r>
        <w:rPr>
          <w:rFonts w:ascii="Times New Roman" w:eastAsiaTheme="minorEastAsia" w:hAnsi="Times New Roman" w:hint="eastAsia"/>
          <w:snapToGrid w:val="0"/>
          <w:color w:val="000000"/>
          <w:kern w:val="0"/>
          <w:sz w:val="20"/>
          <w:szCs w:val="22"/>
          <w:lang w:bidi="en-US"/>
        </w:rPr>
        <w:t xml:space="preserve"> </w:t>
      </w:r>
      <w:r w:rsidR="005E08D4" w:rsidRPr="005E08D4">
        <w:rPr>
          <w:rFonts w:ascii="Times New Roman" w:eastAsia="Times New Roman" w:hAnsi="Times New Roman"/>
          <w:snapToGrid w:val="0"/>
          <w:color w:val="000000"/>
          <w:kern w:val="0"/>
          <w:sz w:val="20"/>
          <w:szCs w:val="22"/>
          <w:lang w:eastAsia="de-DE" w:bidi="en-US"/>
        </w:rPr>
        <w:t>in the PSM cohort</w:t>
      </w:r>
    </w:p>
    <w:p w14:paraId="0C7A0DD3" w14:textId="07083922" w:rsidR="00424285" w:rsidRPr="00424285" w:rsidRDefault="00424285" w:rsidP="001E6E93">
      <w:pPr>
        <w:jc w:val="center"/>
        <w:rPr>
          <w:rFonts w:ascii="Times New Roman" w:eastAsiaTheme="minorEastAsia" w:hAnsi="Times New Roman" w:hint="eastAsia"/>
          <w:snapToGrid w:val="0"/>
          <w:color w:val="000000"/>
          <w:kern w:val="0"/>
          <w:sz w:val="20"/>
          <w:szCs w:val="22"/>
          <w:lang w:bidi="en-US"/>
        </w:rPr>
      </w:pPr>
      <w:r w:rsidRPr="00D24D87"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 w:hint="eastAsia"/>
          <w:sz w:val="24"/>
        </w:rPr>
        <w:t>U</w:t>
      </w:r>
      <w:r w:rsidRPr="00D24D87">
        <w:rPr>
          <w:rFonts w:ascii="Times New Roman" w:hAnsi="Times New Roman"/>
          <w:sz w:val="24"/>
        </w:rPr>
        <w:t>sing the McNemar test</w:t>
      </w:r>
      <w:r w:rsidRPr="00D24D87">
        <w:rPr>
          <w:rFonts w:ascii="Times New Roman" w:hAnsi="Times New Roman" w:hint="eastAsia"/>
          <w:sz w:val="24"/>
        </w:rPr>
        <w:t>)</w:t>
      </w:r>
    </w:p>
    <w:sectPr w:rsidR="00424285" w:rsidRPr="00424285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lnNumType w:countBy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7B12" w14:textId="77777777" w:rsidR="008D6DE2" w:rsidRDefault="008D6DE2">
      <w:r>
        <w:separator/>
      </w:r>
    </w:p>
  </w:endnote>
  <w:endnote w:type="continuationSeparator" w:id="0">
    <w:p w14:paraId="047F01C8" w14:textId="77777777" w:rsidR="008D6DE2" w:rsidRDefault="008D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6F56" w14:textId="77777777" w:rsidR="002E123B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8CDB5" wp14:editId="221844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541299217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6528F" w14:textId="77777777" w:rsidR="002E123B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98CDB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" filled="f" stroked="f">
              <v:textbox style="mso-fit-shape-to-text:t" inset="0,0,0,0">
                <w:txbxContent>
                  <w:p w14:paraId="1806528F" w14:textId="77777777" w:rsidR="002E123B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E7383" w14:textId="77777777" w:rsidR="008D6DE2" w:rsidRDefault="008D6DE2">
      <w:r>
        <w:separator/>
      </w:r>
    </w:p>
  </w:footnote>
  <w:footnote w:type="continuationSeparator" w:id="0">
    <w:p w14:paraId="62559CB2" w14:textId="77777777" w:rsidR="008D6DE2" w:rsidRDefault="008D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A3C6" w14:textId="77777777" w:rsidR="002E123B" w:rsidRDefault="002E12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6A"/>
    <w:rsid w:val="000D1097"/>
    <w:rsid w:val="00121401"/>
    <w:rsid w:val="00142E18"/>
    <w:rsid w:val="001E6E93"/>
    <w:rsid w:val="002169FE"/>
    <w:rsid w:val="00254023"/>
    <w:rsid w:val="002B6420"/>
    <w:rsid w:val="002E123B"/>
    <w:rsid w:val="002F77BF"/>
    <w:rsid w:val="00351C21"/>
    <w:rsid w:val="00424285"/>
    <w:rsid w:val="00430E4D"/>
    <w:rsid w:val="00482730"/>
    <w:rsid w:val="005E08D4"/>
    <w:rsid w:val="005E38E2"/>
    <w:rsid w:val="0063248F"/>
    <w:rsid w:val="00664EF1"/>
    <w:rsid w:val="00671E8A"/>
    <w:rsid w:val="0068326A"/>
    <w:rsid w:val="006C3335"/>
    <w:rsid w:val="0071563E"/>
    <w:rsid w:val="00720D15"/>
    <w:rsid w:val="00725FE3"/>
    <w:rsid w:val="00840CE8"/>
    <w:rsid w:val="008A461C"/>
    <w:rsid w:val="008D6DE2"/>
    <w:rsid w:val="0099012C"/>
    <w:rsid w:val="00A57947"/>
    <w:rsid w:val="00B32B25"/>
    <w:rsid w:val="00B83437"/>
    <w:rsid w:val="00B85B67"/>
    <w:rsid w:val="00BA3DBF"/>
    <w:rsid w:val="00CF5263"/>
    <w:rsid w:val="03F60FF6"/>
    <w:rsid w:val="242B457B"/>
    <w:rsid w:val="246A0F18"/>
    <w:rsid w:val="2AB531E4"/>
    <w:rsid w:val="31E56E4F"/>
    <w:rsid w:val="3C9212D0"/>
    <w:rsid w:val="3FF23BF3"/>
    <w:rsid w:val="637A1900"/>
    <w:rsid w:val="662A1F26"/>
    <w:rsid w:val="7316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4AD5C"/>
  <w15:docId w15:val="{D69E5455-FA86-4264-A936-5A888F42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line number"/>
    <w:basedOn w:val="a0"/>
    <w:qFormat/>
  </w:style>
  <w:style w:type="paragraph" w:customStyle="1" w:styleId="1">
    <w:name w:val="修订1"/>
    <w:hidden/>
    <w:uiPriority w:val="99"/>
    <w:unhideWhenUsed/>
    <w:qFormat/>
    <w:rPr>
      <w:rFonts w:ascii="Calibri" w:eastAsia="宋体" w:hAnsi="Calibri" w:cs="Times New Roman"/>
      <w:kern w:val="2"/>
      <w:sz w:val="21"/>
      <w:szCs w:val="24"/>
    </w:rPr>
  </w:style>
  <w:style w:type="paragraph" w:customStyle="1" w:styleId="MDPI31text">
    <w:name w:val="MDPI_3.1_text"/>
    <w:qFormat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LieutanentH</dc:creator>
  <cp:lastModifiedBy>鹏 韩</cp:lastModifiedBy>
  <cp:revision>12</cp:revision>
  <dcterms:created xsi:type="dcterms:W3CDTF">2026-03-01T22:26:00Z</dcterms:created>
  <dcterms:modified xsi:type="dcterms:W3CDTF">2026-07-10T16:58:00Z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eyJoZGlkIjoiOGE2YjY1MGVhMTc1Mjc2Y2I4NDEzZWZhZDhhNGZjM2MiLCJ1c2VySWQiOiI0NTA2NTM5MDQifQ==</vt:lpwstr>
  </property>
  <property fmtid="{D5CDD505-2E9C-101B-9397-08002B2CF9AE}" pid="4" name="ICV">
    <vt:lpwstr>779AEE1FB7F747478F4225BA5DF5D9C5_12</vt:lpwstr>
  </property>
</Properties>
</file>