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290620" w14:textId="77777777" w:rsidR="006212E9" w:rsidRDefault="00000000">
      <w:pPr>
        <w:spacing w:after="120"/>
        <w:jc w:val="left"/>
        <w:rPr>
          <w:rFonts w:ascii="Times New Roman" w:eastAsia="Times New Roman" w:hAnsi="Times New Roman"/>
          <w:b/>
          <w:sz w:val="22"/>
        </w:rPr>
      </w:pPr>
      <w:r>
        <w:rPr>
          <w:rFonts w:ascii="Times New Roman" w:eastAsia="Times New Roman" w:hAnsi="Times New Roman"/>
          <w:b/>
          <w:sz w:val="22"/>
        </w:rPr>
        <w:t xml:space="preserve">Table S1. Sensitivity analyses for the associations between RCII and clinical outcomes </w:t>
      </w:r>
    </w:p>
    <w:tbl>
      <w:tblPr>
        <w:tblStyle w:val="a6"/>
        <w:tblpPr w:leftFromText="180" w:rightFromText="180" w:vertAnchor="page" w:horzAnchor="page" w:tblpX="1569" w:tblpY="2526"/>
        <w:tblOverlap w:val="never"/>
        <w:tblW w:w="8629"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9"/>
        <w:gridCol w:w="1384"/>
        <w:gridCol w:w="1384"/>
        <w:gridCol w:w="1384"/>
        <w:gridCol w:w="1384"/>
        <w:gridCol w:w="1384"/>
      </w:tblGrid>
      <w:tr w:rsidR="006212E9" w14:paraId="09DE565A" w14:textId="77777777">
        <w:trPr>
          <w:tblHeader/>
        </w:trPr>
        <w:tc>
          <w:tcPr>
            <w:tcW w:w="1709" w:type="dxa"/>
            <w:tcBorders>
              <w:bottom w:val="single" w:sz="4" w:space="0" w:color="auto"/>
            </w:tcBorders>
            <w:tcMar>
              <w:top w:w="60" w:type="dxa"/>
              <w:left w:w="60" w:type="dxa"/>
              <w:bottom w:w="60" w:type="dxa"/>
              <w:right w:w="60" w:type="dxa"/>
            </w:tcMar>
            <w:vAlign w:val="center"/>
          </w:tcPr>
          <w:p w14:paraId="1CDCB51F" w14:textId="77777777" w:rsidR="006212E9" w:rsidRDefault="00000000">
            <w:pPr>
              <w:jc w:val="center"/>
              <w:rPr>
                <w:rFonts w:ascii="Times New Roman" w:hAnsi="Times New Roman" w:cs="Times New Roman"/>
                <w:szCs w:val="21"/>
              </w:rPr>
            </w:pPr>
            <w:r>
              <w:rPr>
                <w:rFonts w:ascii="Times New Roman" w:eastAsia="Times New Roman" w:hAnsi="Times New Roman" w:cs="Times New Roman"/>
                <w:b/>
                <w:szCs w:val="21"/>
              </w:rPr>
              <w:t>Cohort and outcome</w:t>
            </w:r>
          </w:p>
        </w:tc>
        <w:tc>
          <w:tcPr>
            <w:tcW w:w="1384" w:type="dxa"/>
            <w:tcBorders>
              <w:bottom w:val="single" w:sz="4" w:space="0" w:color="auto"/>
            </w:tcBorders>
            <w:tcMar>
              <w:top w:w="60" w:type="dxa"/>
              <w:left w:w="60" w:type="dxa"/>
              <w:bottom w:w="60" w:type="dxa"/>
              <w:right w:w="60" w:type="dxa"/>
            </w:tcMar>
            <w:vAlign w:val="center"/>
          </w:tcPr>
          <w:p w14:paraId="5A1D2DC8" w14:textId="77777777" w:rsidR="006212E9" w:rsidRDefault="00000000">
            <w:pPr>
              <w:jc w:val="center"/>
              <w:rPr>
                <w:rFonts w:ascii="Times New Roman" w:hAnsi="Times New Roman" w:cs="Times New Roman"/>
                <w:szCs w:val="21"/>
              </w:rPr>
            </w:pPr>
            <w:r>
              <w:rPr>
                <w:rFonts w:ascii="Times New Roman" w:eastAsia="Times New Roman" w:hAnsi="Times New Roman" w:cs="Times New Roman"/>
                <w:b/>
                <w:szCs w:val="21"/>
              </w:rPr>
              <w:t>Sensitivity scenario</w:t>
            </w:r>
          </w:p>
        </w:tc>
        <w:tc>
          <w:tcPr>
            <w:tcW w:w="1384" w:type="dxa"/>
            <w:tcBorders>
              <w:bottom w:val="single" w:sz="4" w:space="0" w:color="auto"/>
            </w:tcBorders>
            <w:tcMar>
              <w:top w:w="60" w:type="dxa"/>
              <w:left w:w="60" w:type="dxa"/>
              <w:bottom w:w="60" w:type="dxa"/>
              <w:right w:w="60" w:type="dxa"/>
            </w:tcMar>
            <w:vAlign w:val="center"/>
          </w:tcPr>
          <w:p w14:paraId="2C7226BD" w14:textId="77777777" w:rsidR="006212E9" w:rsidRDefault="00000000">
            <w:pPr>
              <w:jc w:val="center"/>
              <w:rPr>
                <w:rFonts w:ascii="Times New Roman" w:hAnsi="Times New Roman" w:cs="Times New Roman"/>
                <w:szCs w:val="21"/>
              </w:rPr>
            </w:pPr>
            <w:r>
              <w:rPr>
                <w:rFonts w:ascii="Times New Roman" w:eastAsia="Times New Roman" w:hAnsi="Times New Roman" w:cs="Times New Roman"/>
                <w:b/>
                <w:szCs w:val="21"/>
              </w:rPr>
              <w:t>N</w:t>
            </w:r>
          </w:p>
        </w:tc>
        <w:tc>
          <w:tcPr>
            <w:tcW w:w="1384" w:type="dxa"/>
            <w:tcBorders>
              <w:bottom w:val="single" w:sz="4" w:space="0" w:color="auto"/>
            </w:tcBorders>
            <w:tcMar>
              <w:top w:w="60" w:type="dxa"/>
              <w:left w:w="60" w:type="dxa"/>
              <w:bottom w:w="60" w:type="dxa"/>
              <w:right w:w="60" w:type="dxa"/>
            </w:tcMar>
            <w:vAlign w:val="center"/>
          </w:tcPr>
          <w:p w14:paraId="3244F0FC" w14:textId="77777777" w:rsidR="006212E9" w:rsidRDefault="00000000">
            <w:pPr>
              <w:jc w:val="center"/>
              <w:rPr>
                <w:rFonts w:ascii="Times New Roman" w:hAnsi="Times New Roman" w:cs="Times New Roman"/>
                <w:szCs w:val="21"/>
              </w:rPr>
            </w:pPr>
            <w:r>
              <w:rPr>
                <w:rFonts w:ascii="Times New Roman" w:eastAsia="Times New Roman" w:hAnsi="Times New Roman" w:cs="Times New Roman"/>
                <w:b/>
                <w:szCs w:val="21"/>
              </w:rPr>
              <w:t>Events</w:t>
            </w:r>
          </w:p>
        </w:tc>
        <w:tc>
          <w:tcPr>
            <w:tcW w:w="1384" w:type="dxa"/>
            <w:tcBorders>
              <w:bottom w:val="single" w:sz="4" w:space="0" w:color="auto"/>
            </w:tcBorders>
            <w:tcMar>
              <w:top w:w="60" w:type="dxa"/>
              <w:left w:w="60" w:type="dxa"/>
              <w:bottom w:w="60" w:type="dxa"/>
              <w:right w:w="60" w:type="dxa"/>
            </w:tcMar>
            <w:vAlign w:val="center"/>
          </w:tcPr>
          <w:p w14:paraId="19DDC299" w14:textId="77777777" w:rsidR="006212E9" w:rsidRDefault="00000000">
            <w:pPr>
              <w:jc w:val="center"/>
              <w:rPr>
                <w:rFonts w:ascii="Times New Roman" w:hAnsi="Times New Roman" w:cs="Times New Roman"/>
                <w:szCs w:val="21"/>
              </w:rPr>
            </w:pPr>
            <w:r>
              <w:rPr>
                <w:rFonts w:ascii="Times New Roman" w:eastAsia="Times New Roman" w:hAnsi="Times New Roman" w:cs="Times New Roman"/>
                <w:b/>
                <w:szCs w:val="21"/>
              </w:rPr>
              <w:t>Effect estimate (95% CI)</w:t>
            </w:r>
          </w:p>
        </w:tc>
        <w:tc>
          <w:tcPr>
            <w:tcW w:w="1384" w:type="dxa"/>
            <w:tcBorders>
              <w:bottom w:val="single" w:sz="4" w:space="0" w:color="auto"/>
            </w:tcBorders>
            <w:tcMar>
              <w:top w:w="60" w:type="dxa"/>
              <w:left w:w="60" w:type="dxa"/>
              <w:bottom w:w="60" w:type="dxa"/>
              <w:right w:w="60" w:type="dxa"/>
            </w:tcMar>
            <w:vAlign w:val="center"/>
          </w:tcPr>
          <w:p w14:paraId="6B7F3342" w14:textId="77777777" w:rsidR="006212E9" w:rsidRDefault="00000000">
            <w:pPr>
              <w:jc w:val="center"/>
              <w:rPr>
                <w:rFonts w:ascii="Times New Roman" w:hAnsi="Times New Roman" w:cs="Times New Roman"/>
                <w:szCs w:val="21"/>
              </w:rPr>
            </w:pPr>
            <w:r>
              <w:rPr>
                <w:rFonts w:ascii="Times New Roman" w:eastAsia="Times New Roman" w:hAnsi="Times New Roman" w:cs="Times New Roman"/>
                <w:b/>
                <w:szCs w:val="21"/>
              </w:rPr>
              <w:t>P value</w:t>
            </w:r>
          </w:p>
        </w:tc>
      </w:tr>
      <w:tr w:rsidR="006212E9" w14:paraId="67758C41" w14:textId="77777777">
        <w:tc>
          <w:tcPr>
            <w:tcW w:w="8629" w:type="dxa"/>
            <w:gridSpan w:val="6"/>
            <w:tcBorders>
              <w:top w:val="single" w:sz="4" w:space="0" w:color="auto"/>
            </w:tcBorders>
            <w:tcMar>
              <w:top w:w="60" w:type="dxa"/>
              <w:left w:w="60" w:type="dxa"/>
              <w:bottom w:w="60" w:type="dxa"/>
              <w:right w:w="60" w:type="dxa"/>
            </w:tcMar>
            <w:vAlign w:val="center"/>
          </w:tcPr>
          <w:p w14:paraId="31A37969" w14:textId="77777777" w:rsidR="006212E9" w:rsidRDefault="00000000">
            <w:pPr>
              <w:jc w:val="left"/>
              <w:rPr>
                <w:rFonts w:ascii="Times New Roman" w:hAnsi="Times New Roman" w:cs="Times New Roman"/>
                <w:szCs w:val="21"/>
              </w:rPr>
            </w:pPr>
            <w:r>
              <w:rPr>
                <w:rFonts w:ascii="Times New Roman" w:eastAsia="Times New Roman" w:hAnsi="Times New Roman" w:cs="Times New Roman"/>
                <w:b/>
                <w:szCs w:val="21"/>
              </w:rPr>
              <w:t>Panel A. CHARLS incident hypertension</w:t>
            </w:r>
          </w:p>
        </w:tc>
      </w:tr>
      <w:tr w:rsidR="006212E9" w14:paraId="7282D3C5" w14:textId="77777777">
        <w:tc>
          <w:tcPr>
            <w:tcW w:w="1709" w:type="dxa"/>
            <w:tcMar>
              <w:top w:w="60" w:type="dxa"/>
              <w:left w:w="60" w:type="dxa"/>
              <w:bottom w:w="60" w:type="dxa"/>
              <w:right w:w="60" w:type="dxa"/>
            </w:tcMar>
            <w:vAlign w:val="center"/>
          </w:tcPr>
          <w:p w14:paraId="23929506" w14:textId="77777777" w:rsidR="006212E9" w:rsidRDefault="00000000">
            <w:pPr>
              <w:jc w:val="left"/>
              <w:rPr>
                <w:rFonts w:ascii="Times New Roman" w:hAnsi="Times New Roman" w:cs="Times New Roman"/>
                <w:szCs w:val="21"/>
              </w:rPr>
            </w:pPr>
            <w:r>
              <w:rPr>
                <w:rFonts w:ascii="Times New Roman" w:eastAsia="Times New Roman" w:hAnsi="Times New Roman" w:cs="Times New Roman"/>
                <w:szCs w:val="21"/>
              </w:rPr>
              <w:t>CHARLS incident hypertension</w:t>
            </w:r>
          </w:p>
        </w:tc>
        <w:tc>
          <w:tcPr>
            <w:tcW w:w="1384" w:type="dxa"/>
            <w:tcMar>
              <w:top w:w="60" w:type="dxa"/>
              <w:left w:w="60" w:type="dxa"/>
              <w:bottom w:w="60" w:type="dxa"/>
              <w:right w:w="60" w:type="dxa"/>
            </w:tcMar>
            <w:vAlign w:val="center"/>
          </w:tcPr>
          <w:p w14:paraId="496BC0E0" w14:textId="77777777" w:rsidR="006212E9" w:rsidRDefault="00000000">
            <w:pPr>
              <w:jc w:val="left"/>
              <w:rPr>
                <w:rFonts w:ascii="Times New Roman" w:hAnsi="Times New Roman" w:cs="Times New Roman"/>
                <w:szCs w:val="21"/>
              </w:rPr>
            </w:pPr>
            <w:r>
              <w:rPr>
                <w:rFonts w:ascii="Times New Roman" w:eastAsia="Times New Roman" w:hAnsi="Times New Roman" w:cs="Times New Roman"/>
                <w:szCs w:val="21"/>
              </w:rPr>
              <w:t>Main analysis</w:t>
            </w:r>
          </w:p>
        </w:tc>
        <w:tc>
          <w:tcPr>
            <w:tcW w:w="1384" w:type="dxa"/>
            <w:tcMar>
              <w:top w:w="60" w:type="dxa"/>
              <w:left w:w="60" w:type="dxa"/>
              <w:bottom w:w="60" w:type="dxa"/>
              <w:right w:w="60" w:type="dxa"/>
            </w:tcMar>
            <w:vAlign w:val="center"/>
          </w:tcPr>
          <w:p w14:paraId="45D325F8" w14:textId="77777777" w:rsidR="006212E9" w:rsidRDefault="00000000">
            <w:pPr>
              <w:jc w:val="center"/>
              <w:rPr>
                <w:rFonts w:ascii="Times New Roman" w:hAnsi="Times New Roman" w:cs="Times New Roman"/>
                <w:szCs w:val="21"/>
              </w:rPr>
            </w:pPr>
            <w:r>
              <w:rPr>
                <w:rFonts w:ascii="Times New Roman" w:eastAsia="Times New Roman" w:hAnsi="Times New Roman" w:cs="Times New Roman"/>
                <w:szCs w:val="21"/>
              </w:rPr>
              <w:t>4,972</w:t>
            </w:r>
          </w:p>
        </w:tc>
        <w:tc>
          <w:tcPr>
            <w:tcW w:w="1384" w:type="dxa"/>
            <w:tcMar>
              <w:top w:w="60" w:type="dxa"/>
              <w:left w:w="60" w:type="dxa"/>
              <w:bottom w:w="60" w:type="dxa"/>
              <w:right w:w="60" w:type="dxa"/>
            </w:tcMar>
            <w:vAlign w:val="center"/>
          </w:tcPr>
          <w:p w14:paraId="506477B4" w14:textId="77777777" w:rsidR="006212E9" w:rsidRDefault="00000000">
            <w:pPr>
              <w:jc w:val="center"/>
              <w:rPr>
                <w:rFonts w:ascii="Times New Roman" w:hAnsi="Times New Roman" w:cs="Times New Roman"/>
                <w:szCs w:val="21"/>
              </w:rPr>
            </w:pPr>
            <w:r>
              <w:rPr>
                <w:rFonts w:ascii="Times New Roman" w:eastAsia="Times New Roman" w:hAnsi="Times New Roman" w:cs="Times New Roman"/>
                <w:szCs w:val="21"/>
              </w:rPr>
              <w:t>1,622</w:t>
            </w:r>
          </w:p>
        </w:tc>
        <w:tc>
          <w:tcPr>
            <w:tcW w:w="1384" w:type="dxa"/>
            <w:tcMar>
              <w:top w:w="60" w:type="dxa"/>
              <w:left w:w="60" w:type="dxa"/>
              <w:bottom w:w="60" w:type="dxa"/>
              <w:right w:w="60" w:type="dxa"/>
            </w:tcMar>
            <w:vAlign w:val="center"/>
          </w:tcPr>
          <w:p w14:paraId="395121B6" w14:textId="77777777" w:rsidR="006212E9" w:rsidRDefault="00000000">
            <w:pPr>
              <w:jc w:val="center"/>
              <w:rPr>
                <w:rFonts w:ascii="Times New Roman" w:hAnsi="Times New Roman" w:cs="Times New Roman"/>
                <w:szCs w:val="21"/>
              </w:rPr>
            </w:pPr>
            <w:r>
              <w:rPr>
                <w:rFonts w:ascii="Times New Roman" w:eastAsia="Times New Roman" w:hAnsi="Times New Roman" w:cs="Times New Roman"/>
                <w:szCs w:val="21"/>
              </w:rPr>
              <w:t>OR 1.346 (1.192–1.519)</w:t>
            </w:r>
          </w:p>
        </w:tc>
        <w:tc>
          <w:tcPr>
            <w:tcW w:w="1384" w:type="dxa"/>
            <w:tcMar>
              <w:top w:w="60" w:type="dxa"/>
              <w:left w:w="60" w:type="dxa"/>
              <w:bottom w:w="60" w:type="dxa"/>
              <w:right w:w="60" w:type="dxa"/>
            </w:tcMar>
            <w:vAlign w:val="center"/>
          </w:tcPr>
          <w:p w14:paraId="78871D7A" w14:textId="77777777" w:rsidR="006212E9" w:rsidRDefault="00000000">
            <w:pPr>
              <w:jc w:val="center"/>
              <w:rPr>
                <w:rFonts w:ascii="Times New Roman" w:hAnsi="Times New Roman" w:cs="Times New Roman"/>
                <w:szCs w:val="21"/>
              </w:rPr>
            </w:pPr>
            <w:r>
              <w:rPr>
                <w:rFonts w:ascii="Times New Roman" w:eastAsia="Times New Roman" w:hAnsi="Times New Roman" w:cs="Times New Roman"/>
                <w:szCs w:val="21"/>
              </w:rPr>
              <w:t>&lt;0.001</w:t>
            </w:r>
          </w:p>
        </w:tc>
      </w:tr>
      <w:tr w:rsidR="006212E9" w14:paraId="65AABDE4" w14:textId="77777777">
        <w:tc>
          <w:tcPr>
            <w:tcW w:w="1709" w:type="dxa"/>
            <w:tcMar>
              <w:top w:w="60" w:type="dxa"/>
              <w:left w:w="60" w:type="dxa"/>
              <w:bottom w:w="60" w:type="dxa"/>
              <w:right w:w="60" w:type="dxa"/>
            </w:tcMar>
            <w:vAlign w:val="center"/>
          </w:tcPr>
          <w:p w14:paraId="20030F8D" w14:textId="77777777" w:rsidR="006212E9" w:rsidRDefault="00000000">
            <w:pPr>
              <w:jc w:val="left"/>
              <w:rPr>
                <w:rFonts w:ascii="Times New Roman" w:hAnsi="Times New Roman" w:cs="Times New Roman"/>
                <w:szCs w:val="21"/>
              </w:rPr>
            </w:pPr>
            <w:r>
              <w:rPr>
                <w:rFonts w:ascii="Times New Roman" w:eastAsia="Times New Roman" w:hAnsi="Times New Roman" w:cs="Times New Roman"/>
                <w:szCs w:val="21"/>
              </w:rPr>
              <w:t>CHARLS incident hypertension</w:t>
            </w:r>
          </w:p>
        </w:tc>
        <w:tc>
          <w:tcPr>
            <w:tcW w:w="1384" w:type="dxa"/>
            <w:tcMar>
              <w:top w:w="60" w:type="dxa"/>
              <w:left w:w="60" w:type="dxa"/>
              <w:bottom w:w="60" w:type="dxa"/>
              <w:right w:w="60" w:type="dxa"/>
            </w:tcMar>
            <w:vAlign w:val="center"/>
          </w:tcPr>
          <w:p w14:paraId="307845C0" w14:textId="77777777" w:rsidR="006212E9" w:rsidRDefault="00000000">
            <w:pPr>
              <w:jc w:val="left"/>
              <w:rPr>
                <w:rFonts w:ascii="Times New Roman" w:hAnsi="Times New Roman" w:cs="Times New Roman"/>
                <w:szCs w:val="21"/>
              </w:rPr>
            </w:pPr>
            <w:r>
              <w:rPr>
                <w:rFonts w:ascii="Times New Roman" w:eastAsia="Times New Roman" w:hAnsi="Times New Roman" w:cs="Times New Roman"/>
                <w:szCs w:val="21"/>
              </w:rPr>
              <w:t>Excluding participants with CVD history</w:t>
            </w:r>
          </w:p>
        </w:tc>
        <w:tc>
          <w:tcPr>
            <w:tcW w:w="1384" w:type="dxa"/>
            <w:tcMar>
              <w:top w:w="60" w:type="dxa"/>
              <w:left w:w="60" w:type="dxa"/>
              <w:bottom w:w="60" w:type="dxa"/>
              <w:right w:w="60" w:type="dxa"/>
            </w:tcMar>
            <w:vAlign w:val="center"/>
          </w:tcPr>
          <w:p w14:paraId="1118B311" w14:textId="77777777" w:rsidR="006212E9" w:rsidRDefault="00000000">
            <w:pPr>
              <w:jc w:val="center"/>
              <w:rPr>
                <w:rFonts w:ascii="Times New Roman" w:hAnsi="Times New Roman" w:cs="Times New Roman"/>
                <w:szCs w:val="21"/>
              </w:rPr>
            </w:pPr>
            <w:r>
              <w:rPr>
                <w:rFonts w:ascii="Times New Roman" w:eastAsia="Times New Roman" w:hAnsi="Times New Roman" w:cs="Times New Roman"/>
                <w:szCs w:val="21"/>
              </w:rPr>
              <w:t>4,533</w:t>
            </w:r>
          </w:p>
        </w:tc>
        <w:tc>
          <w:tcPr>
            <w:tcW w:w="1384" w:type="dxa"/>
            <w:tcMar>
              <w:top w:w="60" w:type="dxa"/>
              <w:left w:w="60" w:type="dxa"/>
              <w:bottom w:w="60" w:type="dxa"/>
              <w:right w:w="60" w:type="dxa"/>
            </w:tcMar>
            <w:vAlign w:val="center"/>
          </w:tcPr>
          <w:p w14:paraId="7B9A3E42" w14:textId="77777777" w:rsidR="006212E9" w:rsidRDefault="00000000">
            <w:pPr>
              <w:jc w:val="center"/>
              <w:rPr>
                <w:rFonts w:ascii="Times New Roman" w:hAnsi="Times New Roman" w:cs="Times New Roman"/>
                <w:szCs w:val="21"/>
              </w:rPr>
            </w:pPr>
            <w:r>
              <w:rPr>
                <w:rFonts w:ascii="Times New Roman" w:eastAsia="Times New Roman" w:hAnsi="Times New Roman" w:cs="Times New Roman"/>
                <w:szCs w:val="21"/>
              </w:rPr>
              <w:t>1,457</w:t>
            </w:r>
          </w:p>
        </w:tc>
        <w:tc>
          <w:tcPr>
            <w:tcW w:w="1384" w:type="dxa"/>
            <w:tcMar>
              <w:top w:w="60" w:type="dxa"/>
              <w:left w:w="60" w:type="dxa"/>
              <w:bottom w:w="60" w:type="dxa"/>
              <w:right w:w="60" w:type="dxa"/>
            </w:tcMar>
            <w:vAlign w:val="center"/>
          </w:tcPr>
          <w:p w14:paraId="675354D2" w14:textId="77777777" w:rsidR="006212E9" w:rsidRDefault="00000000">
            <w:pPr>
              <w:jc w:val="center"/>
              <w:rPr>
                <w:rFonts w:ascii="Times New Roman" w:hAnsi="Times New Roman" w:cs="Times New Roman"/>
                <w:szCs w:val="21"/>
              </w:rPr>
            </w:pPr>
            <w:r>
              <w:rPr>
                <w:rFonts w:ascii="Times New Roman" w:eastAsia="Times New Roman" w:hAnsi="Times New Roman" w:cs="Times New Roman"/>
                <w:szCs w:val="21"/>
              </w:rPr>
              <w:t>OR 1.322 (1.165–1.502)</w:t>
            </w:r>
          </w:p>
        </w:tc>
        <w:tc>
          <w:tcPr>
            <w:tcW w:w="1384" w:type="dxa"/>
            <w:tcMar>
              <w:top w:w="60" w:type="dxa"/>
              <w:left w:w="60" w:type="dxa"/>
              <w:bottom w:w="60" w:type="dxa"/>
              <w:right w:w="60" w:type="dxa"/>
            </w:tcMar>
            <w:vAlign w:val="center"/>
          </w:tcPr>
          <w:p w14:paraId="02E9FD65" w14:textId="77777777" w:rsidR="006212E9" w:rsidRDefault="00000000">
            <w:pPr>
              <w:jc w:val="center"/>
              <w:rPr>
                <w:rFonts w:ascii="Times New Roman" w:hAnsi="Times New Roman" w:cs="Times New Roman"/>
                <w:szCs w:val="21"/>
              </w:rPr>
            </w:pPr>
            <w:r>
              <w:rPr>
                <w:rFonts w:ascii="Times New Roman" w:eastAsia="Times New Roman" w:hAnsi="Times New Roman" w:cs="Times New Roman"/>
                <w:szCs w:val="21"/>
              </w:rPr>
              <w:t>&lt;0.001</w:t>
            </w:r>
          </w:p>
        </w:tc>
      </w:tr>
      <w:tr w:rsidR="006212E9" w14:paraId="3107E185" w14:textId="77777777">
        <w:tc>
          <w:tcPr>
            <w:tcW w:w="1709" w:type="dxa"/>
            <w:tcMar>
              <w:top w:w="60" w:type="dxa"/>
              <w:left w:w="60" w:type="dxa"/>
              <w:bottom w:w="60" w:type="dxa"/>
              <w:right w:w="60" w:type="dxa"/>
            </w:tcMar>
            <w:vAlign w:val="center"/>
          </w:tcPr>
          <w:p w14:paraId="6243C87E" w14:textId="77777777" w:rsidR="006212E9" w:rsidRDefault="00000000">
            <w:pPr>
              <w:jc w:val="left"/>
              <w:rPr>
                <w:rFonts w:ascii="Times New Roman" w:hAnsi="Times New Roman" w:cs="Times New Roman"/>
                <w:szCs w:val="21"/>
              </w:rPr>
            </w:pPr>
            <w:r>
              <w:rPr>
                <w:rFonts w:ascii="Times New Roman" w:eastAsia="Times New Roman" w:hAnsi="Times New Roman" w:cs="Times New Roman"/>
                <w:szCs w:val="21"/>
              </w:rPr>
              <w:t>CHARLS incident hypertension</w:t>
            </w:r>
          </w:p>
        </w:tc>
        <w:tc>
          <w:tcPr>
            <w:tcW w:w="1384" w:type="dxa"/>
            <w:tcMar>
              <w:top w:w="60" w:type="dxa"/>
              <w:left w:w="60" w:type="dxa"/>
              <w:bottom w:w="60" w:type="dxa"/>
              <w:right w:w="60" w:type="dxa"/>
            </w:tcMar>
            <w:vAlign w:val="center"/>
          </w:tcPr>
          <w:p w14:paraId="5D6F737F" w14:textId="77777777" w:rsidR="006212E9" w:rsidRDefault="00000000">
            <w:pPr>
              <w:jc w:val="left"/>
              <w:rPr>
                <w:rFonts w:ascii="Times New Roman" w:hAnsi="Times New Roman" w:cs="Times New Roman"/>
                <w:szCs w:val="21"/>
              </w:rPr>
            </w:pPr>
            <w:r>
              <w:rPr>
                <w:rFonts w:ascii="Times New Roman" w:eastAsia="Times New Roman" w:hAnsi="Times New Roman" w:cs="Times New Roman"/>
                <w:szCs w:val="21"/>
              </w:rPr>
              <w:t>Excluding participants with diabetes</w:t>
            </w:r>
          </w:p>
        </w:tc>
        <w:tc>
          <w:tcPr>
            <w:tcW w:w="1384" w:type="dxa"/>
            <w:tcMar>
              <w:top w:w="60" w:type="dxa"/>
              <w:left w:w="60" w:type="dxa"/>
              <w:bottom w:w="60" w:type="dxa"/>
              <w:right w:w="60" w:type="dxa"/>
            </w:tcMar>
            <w:vAlign w:val="center"/>
          </w:tcPr>
          <w:p w14:paraId="17AEB44B" w14:textId="77777777" w:rsidR="006212E9" w:rsidRDefault="00000000">
            <w:pPr>
              <w:jc w:val="center"/>
              <w:rPr>
                <w:rFonts w:ascii="Times New Roman" w:hAnsi="Times New Roman" w:cs="Times New Roman"/>
                <w:szCs w:val="21"/>
              </w:rPr>
            </w:pPr>
            <w:r>
              <w:rPr>
                <w:rFonts w:ascii="Times New Roman" w:eastAsia="Times New Roman" w:hAnsi="Times New Roman" w:cs="Times New Roman"/>
                <w:szCs w:val="21"/>
              </w:rPr>
              <w:t>4,794</w:t>
            </w:r>
          </w:p>
        </w:tc>
        <w:tc>
          <w:tcPr>
            <w:tcW w:w="1384" w:type="dxa"/>
            <w:tcMar>
              <w:top w:w="60" w:type="dxa"/>
              <w:left w:w="60" w:type="dxa"/>
              <w:bottom w:w="60" w:type="dxa"/>
              <w:right w:w="60" w:type="dxa"/>
            </w:tcMar>
            <w:vAlign w:val="center"/>
          </w:tcPr>
          <w:p w14:paraId="24475CF7" w14:textId="77777777" w:rsidR="006212E9" w:rsidRDefault="00000000">
            <w:pPr>
              <w:jc w:val="center"/>
              <w:rPr>
                <w:rFonts w:ascii="Times New Roman" w:hAnsi="Times New Roman" w:cs="Times New Roman"/>
                <w:szCs w:val="21"/>
              </w:rPr>
            </w:pPr>
            <w:r>
              <w:rPr>
                <w:rFonts w:ascii="Times New Roman" w:eastAsia="Times New Roman" w:hAnsi="Times New Roman" w:cs="Times New Roman"/>
                <w:szCs w:val="21"/>
              </w:rPr>
              <w:t>1,548</w:t>
            </w:r>
          </w:p>
        </w:tc>
        <w:tc>
          <w:tcPr>
            <w:tcW w:w="1384" w:type="dxa"/>
            <w:tcMar>
              <w:top w:w="60" w:type="dxa"/>
              <w:left w:w="60" w:type="dxa"/>
              <w:bottom w:w="60" w:type="dxa"/>
              <w:right w:w="60" w:type="dxa"/>
            </w:tcMar>
            <w:vAlign w:val="center"/>
          </w:tcPr>
          <w:p w14:paraId="60C640A7" w14:textId="77777777" w:rsidR="006212E9" w:rsidRDefault="00000000">
            <w:pPr>
              <w:jc w:val="center"/>
              <w:rPr>
                <w:rFonts w:ascii="Times New Roman" w:hAnsi="Times New Roman" w:cs="Times New Roman"/>
                <w:szCs w:val="21"/>
              </w:rPr>
            </w:pPr>
            <w:r>
              <w:rPr>
                <w:rFonts w:ascii="Times New Roman" w:eastAsia="Times New Roman" w:hAnsi="Times New Roman" w:cs="Times New Roman"/>
                <w:szCs w:val="21"/>
              </w:rPr>
              <w:t>OR 1.349 (1.192–1.527)</w:t>
            </w:r>
          </w:p>
        </w:tc>
        <w:tc>
          <w:tcPr>
            <w:tcW w:w="1384" w:type="dxa"/>
            <w:tcMar>
              <w:top w:w="60" w:type="dxa"/>
              <w:left w:w="60" w:type="dxa"/>
              <w:bottom w:w="60" w:type="dxa"/>
              <w:right w:w="60" w:type="dxa"/>
            </w:tcMar>
            <w:vAlign w:val="center"/>
          </w:tcPr>
          <w:p w14:paraId="30AB271A" w14:textId="77777777" w:rsidR="006212E9" w:rsidRDefault="00000000">
            <w:pPr>
              <w:jc w:val="center"/>
              <w:rPr>
                <w:rFonts w:ascii="Times New Roman" w:hAnsi="Times New Roman" w:cs="Times New Roman"/>
                <w:szCs w:val="21"/>
              </w:rPr>
            </w:pPr>
            <w:r>
              <w:rPr>
                <w:rFonts w:ascii="Times New Roman" w:eastAsia="Times New Roman" w:hAnsi="Times New Roman" w:cs="Times New Roman"/>
                <w:szCs w:val="21"/>
              </w:rPr>
              <w:t>&lt;0.001</w:t>
            </w:r>
          </w:p>
        </w:tc>
      </w:tr>
      <w:tr w:rsidR="006212E9" w14:paraId="0D084F67" w14:textId="77777777">
        <w:tc>
          <w:tcPr>
            <w:tcW w:w="1709" w:type="dxa"/>
            <w:tcMar>
              <w:top w:w="60" w:type="dxa"/>
              <w:left w:w="60" w:type="dxa"/>
              <w:bottom w:w="60" w:type="dxa"/>
              <w:right w:w="60" w:type="dxa"/>
            </w:tcMar>
            <w:vAlign w:val="center"/>
          </w:tcPr>
          <w:p w14:paraId="16637353" w14:textId="77777777" w:rsidR="006212E9" w:rsidRDefault="00000000">
            <w:pPr>
              <w:jc w:val="left"/>
              <w:rPr>
                <w:rFonts w:ascii="Times New Roman" w:hAnsi="Times New Roman" w:cs="Times New Roman"/>
                <w:szCs w:val="21"/>
              </w:rPr>
            </w:pPr>
            <w:r>
              <w:rPr>
                <w:rFonts w:ascii="Times New Roman" w:eastAsia="Times New Roman" w:hAnsi="Times New Roman" w:cs="Times New Roman"/>
                <w:szCs w:val="21"/>
              </w:rPr>
              <w:t>CHARLS incident hypertension</w:t>
            </w:r>
          </w:p>
        </w:tc>
        <w:tc>
          <w:tcPr>
            <w:tcW w:w="1384" w:type="dxa"/>
            <w:tcMar>
              <w:top w:w="60" w:type="dxa"/>
              <w:left w:w="60" w:type="dxa"/>
              <w:bottom w:w="60" w:type="dxa"/>
              <w:right w:w="60" w:type="dxa"/>
            </w:tcMar>
            <w:vAlign w:val="center"/>
          </w:tcPr>
          <w:p w14:paraId="004BFFFD" w14:textId="77777777" w:rsidR="006212E9" w:rsidRDefault="00000000">
            <w:pPr>
              <w:jc w:val="left"/>
              <w:rPr>
                <w:rFonts w:ascii="Times New Roman" w:hAnsi="Times New Roman" w:cs="Times New Roman"/>
                <w:szCs w:val="21"/>
              </w:rPr>
            </w:pPr>
            <w:r>
              <w:rPr>
                <w:rFonts w:ascii="Times New Roman" w:eastAsia="Times New Roman" w:hAnsi="Times New Roman" w:cs="Times New Roman"/>
                <w:szCs w:val="21"/>
              </w:rPr>
              <w:t>Excluding participants with obesity</w:t>
            </w:r>
          </w:p>
        </w:tc>
        <w:tc>
          <w:tcPr>
            <w:tcW w:w="1384" w:type="dxa"/>
            <w:tcMar>
              <w:top w:w="60" w:type="dxa"/>
              <w:left w:w="60" w:type="dxa"/>
              <w:bottom w:w="60" w:type="dxa"/>
              <w:right w:w="60" w:type="dxa"/>
            </w:tcMar>
            <w:vAlign w:val="center"/>
          </w:tcPr>
          <w:p w14:paraId="7EA82F4C" w14:textId="77777777" w:rsidR="006212E9" w:rsidRDefault="00000000">
            <w:pPr>
              <w:jc w:val="center"/>
              <w:rPr>
                <w:rFonts w:ascii="Times New Roman" w:hAnsi="Times New Roman" w:cs="Times New Roman"/>
                <w:szCs w:val="21"/>
              </w:rPr>
            </w:pPr>
            <w:r>
              <w:rPr>
                <w:rFonts w:ascii="Times New Roman" w:eastAsia="Times New Roman" w:hAnsi="Times New Roman" w:cs="Times New Roman"/>
                <w:szCs w:val="21"/>
              </w:rPr>
              <w:t>4,622</w:t>
            </w:r>
          </w:p>
        </w:tc>
        <w:tc>
          <w:tcPr>
            <w:tcW w:w="1384" w:type="dxa"/>
            <w:tcMar>
              <w:top w:w="60" w:type="dxa"/>
              <w:left w:w="60" w:type="dxa"/>
              <w:bottom w:w="60" w:type="dxa"/>
              <w:right w:w="60" w:type="dxa"/>
            </w:tcMar>
            <w:vAlign w:val="center"/>
          </w:tcPr>
          <w:p w14:paraId="152B8521" w14:textId="77777777" w:rsidR="006212E9" w:rsidRDefault="00000000">
            <w:pPr>
              <w:jc w:val="center"/>
              <w:rPr>
                <w:rFonts w:ascii="Times New Roman" w:hAnsi="Times New Roman" w:cs="Times New Roman"/>
                <w:szCs w:val="21"/>
              </w:rPr>
            </w:pPr>
            <w:r>
              <w:rPr>
                <w:rFonts w:ascii="Times New Roman" w:eastAsia="Times New Roman" w:hAnsi="Times New Roman" w:cs="Times New Roman"/>
                <w:szCs w:val="21"/>
              </w:rPr>
              <w:t>1,460</w:t>
            </w:r>
          </w:p>
        </w:tc>
        <w:tc>
          <w:tcPr>
            <w:tcW w:w="1384" w:type="dxa"/>
            <w:tcMar>
              <w:top w:w="60" w:type="dxa"/>
              <w:left w:w="60" w:type="dxa"/>
              <w:bottom w:w="60" w:type="dxa"/>
              <w:right w:w="60" w:type="dxa"/>
            </w:tcMar>
            <w:vAlign w:val="center"/>
          </w:tcPr>
          <w:p w14:paraId="419EF0EB" w14:textId="77777777" w:rsidR="006212E9" w:rsidRDefault="00000000">
            <w:pPr>
              <w:jc w:val="center"/>
              <w:rPr>
                <w:rFonts w:ascii="Times New Roman" w:hAnsi="Times New Roman" w:cs="Times New Roman"/>
                <w:szCs w:val="21"/>
              </w:rPr>
            </w:pPr>
            <w:r>
              <w:rPr>
                <w:rFonts w:ascii="Times New Roman" w:eastAsia="Times New Roman" w:hAnsi="Times New Roman" w:cs="Times New Roman"/>
                <w:szCs w:val="21"/>
              </w:rPr>
              <w:t>OR 1.179 (1.036–1.342)</w:t>
            </w:r>
          </w:p>
        </w:tc>
        <w:tc>
          <w:tcPr>
            <w:tcW w:w="1384" w:type="dxa"/>
            <w:tcMar>
              <w:top w:w="60" w:type="dxa"/>
              <w:left w:w="60" w:type="dxa"/>
              <w:bottom w:w="60" w:type="dxa"/>
              <w:right w:w="60" w:type="dxa"/>
            </w:tcMar>
            <w:vAlign w:val="center"/>
          </w:tcPr>
          <w:p w14:paraId="098D4E7A" w14:textId="77777777" w:rsidR="006212E9" w:rsidRDefault="00000000">
            <w:pPr>
              <w:jc w:val="center"/>
              <w:rPr>
                <w:rFonts w:ascii="Times New Roman" w:hAnsi="Times New Roman" w:cs="Times New Roman"/>
                <w:szCs w:val="21"/>
              </w:rPr>
            </w:pPr>
            <w:r>
              <w:rPr>
                <w:rFonts w:ascii="Times New Roman" w:eastAsia="Times New Roman" w:hAnsi="Times New Roman" w:cs="Times New Roman"/>
                <w:szCs w:val="21"/>
              </w:rPr>
              <w:t>0.013</w:t>
            </w:r>
          </w:p>
        </w:tc>
      </w:tr>
      <w:tr w:rsidR="006212E9" w14:paraId="7027258B" w14:textId="77777777">
        <w:tc>
          <w:tcPr>
            <w:tcW w:w="8629" w:type="dxa"/>
            <w:gridSpan w:val="6"/>
            <w:tcMar>
              <w:top w:w="60" w:type="dxa"/>
              <w:left w:w="60" w:type="dxa"/>
              <w:bottom w:w="60" w:type="dxa"/>
              <w:right w:w="60" w:type="dxa"/>
            </w:tcMar>
            <w:vAlign w:val="center"/>
          </w:tcPr>
          <w:p w14:paraId="12DAD4EC" w14:textId="77777777" w:rsidR="006212E9" w:rsidRDefault="00000000">
            <w:pPr>
              <w:jc w:val="left"/>
              <w:rPr>
                <w:rFonts w:ascii="Times New Roman" w:hAnsi="Times New Roman" w:cs="Times New Roman"/>
                <w:szCs w:val="21"/>
              </w:rPr>
            </w:pPr>
            <w:r>
              <w:rPr>
                <w:rFonts w:ascii="Times New Roman" w:eastAsia="Times New Roman" w:hAnsi="Times New Roman" w:cs="Times New Roman"/>
                <w:b/>
                <w:szCs w:val="21"/>
              </w:rPr>
              <w:t>Panel B. UK Biobank prognostic outcomes</w:t>
            </w:r>
          </w:p>
        </w:tc>
      </w:tr>
      <w:tr w:rsidR="006212E9" w14:paraId="4909D612" w14:textId="77777777">
        <w:tc>
          <w:tcPr>
            <w:tcW w:w="1709" w:type="dxa"/>
            <w:tcMar>
              <w:top w:w="60" w:type="dxa"/>
              <w:left w:w="60" w:type="dxa"/>
              <w:bottom w:w="60" w:type="dxa"/>
              <w:right w:w="60" w:type="dxa"/>
            </w:tcMar>
            <w:vAlign w:val="center"/>
          </w:tcPr>
          <w:p w14:paraId="28D82E19" w14:textId="77777777" w:rsidR="006212E9" w:rsidRDefault="00000000">
            <w:pPr>
              <w:jc w:val="left"/>
              <w:rPr>
                <w:rFonts w:ascii="Times New Roman" w:hAnsi="Times New Roman" w:cs="Times New Roman"/>
                <w:szCs w:val="21"/>
              </w:rPr>
            </w:pPr>
            <w:r>
              <w:rPr>
                <w:rFonts w:ascii="Times New Roman" w:eastAsia="Times New Roman" w:hAnsi="Times New Roman" w:cs="Times New Roman"/>
                <w:szCs w:val="21"/>
              </w:rPr>
              <w:t>UK Biobank MACE</w:t>
            </w:r>
          </w:p>
        </w:tc>
        <w:tc>
          <w:tcPr>
            <w:tcW w:w="1384" w:type="dxa"/>
            <w:tcMar>
              <w:top w:w="60" w:type="dxa"/>
              <w:left w:w="60" w:type="dxa"/>
              <w:bottom w:w="60" w:type="dxa"/>
              <w:right w:w="60" w:type="dxa"/>
            </w:tcMar>
            <w:vAlign w:val="center"/>
          </w:tcPr>
          <w:p w14:paraId="086D3E71" w14:textId="77777777" w:rsidR="006212E9" w:rsidRDefault="00000000">
            <w:pPr>
              <w:jc w:val="left"/>
              <w:rPr>
                <w:rFonts w:ascii="Times New Roman" w:hAnsi="Times New Roman" w:cs="Times New Roman"/>
                <w:szCs w:val="21"/>
              </w:rPr>
            </w:pPr>
            <w:r>
              <w:rPr>
                <w:rFonts w:ascii="Times New Roman" w:eastAsia="Times New Roman" w:hAnsi="Times New Roman" w:cs="Times New Roman"/>
                <w:szCs w:val="21"/>
              </w:rPr>
              <w:t>Main analysis</w:t>
            </w:r>
          </w:p>
        </w:tc>
        <w:tc>
          <w:tcPr>
            <w:tcW w:w="1384" w:type="dxa"/>
            <w:tcMar>
              <w:top w:w="60" w:type="dxa"/>
              <w:left w:w="60" w:type="dxa"/>
              <w:bottom w:w="60" w:type="dxa"/>
              <w:right w:w="60" w:type="dxa"/>
            </w:tcMar>
            <w:vAlign w:val="center"/>
          </w:tcPr>
          <w:p w14:paraId="620121DB" w14:textId="77777777" w:rsidR="006212E9" w:rsidRDefault="00000000">
            <w:pPr>
              <w:jc w:val="center"/>
              <w:rPr>
                <w:rFonts w:ascii="Times New Roman" w:hAnsi="Times New Roman" w:cs="Times New Roman"/>
                <w:szCs w:val="21"/>
              </w:rPr>
            </w:pPr>
            <w:r>
              <w:rPr>
                <w:rFonts w:ascii="Times New Roman" w:eastAsia="Times New Roman" w:hAnsi="Times New Roman" w:cs="Times New Roman"/>
                <w:szCs w:val="21"/>
              </w:rPr>
              <w:t>270,861</w:t>
            </w:r>
          </w:p>
        </w:tc>
        <w:tc>
          <w:tcPr>
            <w:tcW w:w="1384" w:type="dxa"/>
            <w:tcMar>
              <w:top w:w="60" w:type="dxa"/>
              <w:left w:w="60" w:type="dxa"/>
              <w:bottom w:w="60" w:type="dxa"/>
              <w:right w:w="60" w:type="dxa"/>
            </w:tcMar>
            <w:vAlign w:val="center"/>
          </w:tcPr>
          <w:p w14:paraId="607CC039" w14:textId="77777777" w:rsidR="006212E9" w:rsidRDefault="00000000">
            <w:pPr>
              <w:jc w:val="center"/>
              <w:rPr>
                <w:rFonts w:ascii="Times New Roman" w:hAnsi="Times New Roman" w:cs="Times New Roman"/>
                <w:szCs w:val="21"/>
              </w:rPr>
            </w:pPr>
            <w:r>
              <w:rPr>
                <w:rFonts w:ascii="Times New Roman" w:eastAsia="Times New Roman" w:hAnsi="Times New Roman" w:cs="Times New Roman"/>
                <w:szCs w:val="21"/>
              </w:rPr>
              <w:t>34,875</w:t>
            </w:r>
          </w:p>
        </w:tc>
        <w:tc>
          <w:tcPr>
            <w:tcW w:w="1384" w:type="dxa"/>
            <w:tcMar>
              <w:top w:w="60" w:type="dxa"/>
              <w:left w:w="60" w:type="dxa"/>
              <w:bottom w:w="60" w:type="dxa"/>
              <w:right w:w="60" w:type="dxa"/>
            </w:tcMar>
            <w:vAlign w:val="center"/>
          </w:tcPr>
          <w:p w14:paraId="2CE7399A" w14:textId="77777777" w:rsidR="006212E9" w:rsidRDefault="00000000">
            <w:pPr>
              <w:jc w:val="center"/>
              <w:rPr>
                <w:rFonts w:ascii="Times New Roman" w:hAnsi="Times New Roman" w:cs="Times New Roman"/>
                <w:szCs w:val="21"/>
              </w:rPr>
            </w:pPr>
            <w:r>
              <w:rPr>
                <w:rFonts w:ascii="Times New Roman" w:eastAsia="Times New Roman" w:hAnsi="Times New Roman" w:cs="Times New Roman"/>
                <w:szCs w:val="21"/>
              </w:rPr>
              <w:t>HR 1.273 (1.232–1.315)</w:t>
            </w:r>
          </w:p>
        </w:tc>
        <w:tc>
          <w:tcPr>
            <w:tcW w:w="1384" w:type="dxa"/>
            <w:tcMar>
              <w:top w:w="60" w:type="dxa"/>
              <w:left w:w="60" w:type="dxa"/>
              <w:bottom w:w="60" w:type="dxa"/>
              <w:right w:w="60" w:type="dxa"/>
            </w:tcMar>
            <w:vAlign w:val="center"/>
          </w:tcPr>
          <w:p w14:paraId="3D999C31" w14:textId="77777777" w:rsidR="006212E9" w:rsidRDefault="00000000">
            <w:pPr>
              <w:jc w:val="center"/>
              <w:rPr>
                <w:rFonts w:ascii="Times New Roman" w:hAnsi="Times New Roman" w:cs="Times New Roman"/>
                <w:szCs w:val="21"/>
              </w:rPr>
            </w:pPr>
            <w:r>
              <w:rPr>
                <w:rFonts w:ascii="Times New Roman" w:eastAsia="Times New Roman" w:hAnsi="Times New Roman" w:cs="Times New Roman"/>
                <w:szCs w:val="21"/>
              </w:rPr>
              <w:t>&lt;0.001</w:t>
            </w:r>
          </w:p>
        </w:tc>
      </w:tr>
      <w:tr w:rsidR="006212E9" w14:paraId="5BF5D5B4" w14:textId="77777777">
        <w:tc>
          <w:tcPr>
            <w:tcW w:w="1709" w:type="dxa"/>
            <w:tcMar>
              <w:top w:w="60" w:type="dxa"/>
              <w:left w:w="60" w:type="dxa"/>
              <w:bottom w:w="60" w:type="dxa"/>
              <w:right w:w="60" w:type="dxa"/>
            </w:tcMar>
            <w:vAlign w:val="center"/>
          </w:tcPr>
          <w:p w14:paraId="19665B51" w14:textId="77777777" w:rsidR="006212E9" w:rsidRDefault="00000000">
            <w:pPr>
              <w:jc w:val="left"/>
              <w:rPr>
                <w:rFonts w:ascii="Times New Roman" w:hAnsi="Times New Roman" w:cs="Times New Roman"/>
                <w:szCs w:val="21"/>
              </w:rPr>
            </w:pPr>
            <w:r>
              <w:rPr>
                <w:rFonts w:ascii="Times New Roman" w:eastAsia="Times New Roman" w:hAnsi="Times New Roman" w:cs="Times New Roman"/>
                <w:szCs w:val="21"/>
              </w:rPr>
              <w:t>UK Biobank MACE</w:t>
            </w:r>
          </w:p>
        </w:tc>
        <w:tc>
          <w:tcPr>
            <w:tcW w:w="1384" w:type="dxa"/>
            <w:tcMar>
              <w:top w:w="60" w:type="dxa"/>
              <w:left w:w="60" w:type="dxa"/>
              <w:bottom w:w="60" w:type="dxa"/>
              <w:right w:w="60" w:type="dxa"/>
            </w:tcMar>
            <w:vAlign w:val="center"/>
          </w:tcPr>
          <w:p w14:paraId="06C9DFB0" w14:textId="77777777" w:rsidR="006212E9" w:rsidRDefault="00000000">
            <w:pPr>
              <w:jc w:val="left"/>
              <w:rPr>
                <w:rFonts w:ascii="Times New Roman" w:hAnsi="Times New Roman" w:cs="Times New Roman"/>
                <w:szCs w:val="21"/>
              </w:rPr>
            </w:pPr>
            <w:r>
              <w:rPr>
                <w:rFonts w:ascii="Times New Roman" w:eastAsia="Times New Roman" w:hAnsi="Times New Roman" w:cs="Times New Roman"/>
                <w:szCs w:val="21"/>
              </w:rPr>
              <w:t>Excluding events within the first 2 years</w:t>
            </w:r>
          </w:p>
        </w:tc>
        <w:tc>
          <w:tcPr>
            <w:tcW w:w="1384" w:type="dxa"/>
            <w:tcMar>
              <w:top w:w="60" w:type="dxa"/>
              <w:left w:w="60" w:type="dxa"/>
              <w:bottom w:w="60" w:type="dxa"/>
              <w:right w:w="60" w:type="dxa"/>
            </w:tcMar>
            <w:vAlign w:val="center"/>
          </w:tcPr>
          <w:p w14:paraId="09970B54" w14:textId="77777777" w:rsidR="006212E9" w:rsidRDefault="00000000">
            <w:pPr>
              <w:jc w:val="center"/>
              <w:rPr>
                <w:rFonts w:ascii="Times New Roman" w:hAnsi="Times New Roman" w:cs="Times New Roman"/>
                <w:szCs w:val="21"/>
              </w:rPr>
            </w:pPr>
            <w:r>
              <w:rPr>
                <w:rFonts w:ascii="Times New Roman" w:eastAsia="Times New Roman" w:hAnsi="Times New Roman" w:cs="Times New Roman"/>
                <w:szCs w:val="21"/>
              </w:rPr>
              <w:t>267,447</w:t>
            </w:r>
          </w:p>
        </w:tc>
        <w:tc>
          <w:tcPr>
            <w:tcW w:w="1384" w:type="dxa"/>
            <w:tcMar>
              <w:top w:w="60" w:type="dxa"/>
              <w:left w:w="60" w:type="dxa"/>
              <w:bottom w:w="60" w:type="dxa"/>
              <w:right w:w="60" w:type="dxa"/>
            </w:tcMar>
            <w:vAlign w:val="center"/>
          </w:tcPr>
          <w:p w14:paraId="029A4553" w14:textId="77777777" w:rsidR="006212E9" w:rsidRDefault="00000000">
            <w:pPr>
              <w:jc w:val="center"/>
              <w:rPr>
                <w:rFonts w:ascii="Times New Roman" w:hAnsi="Times New Roman" w:cs="Times New Roman"/>
                <w:szCs w:val="21"/>
              </w:rPr>
            </w:pPr>
            <w:r>
              <w:rPr>
                <w:rFonts w:ascii="Times New Roman" w:eastAsia="Times New Roman" w:hAnsi="Times New Roman" w:cs="Times New Roman"/>
                <w:szCs w:val="21"/>
              </w:rPr>
              <w:t>31,461</w:t>
            </w:r>
          </w:p>
        </w:tc>
        <w:tc>
          <w:tcPr>
            <w:tcW w:w="1384" w:type="dxa"/>
            <w:tcMar>
              <w:top w:w="60" w:type="dxa"/>
              <w:left w:w="60" w:type="dxa"/>
              <w:bottom w:w="60" w:type="dxa"/>
              <w:right w:w="60" w:type="dxa"/>
            </w:tcMar>
            <w:vAlign w:val="center"/>
          </w:tcPr>
          <w:p w14:paraId="73623048" w14:textId="77777777" w:rsidR="006212E9" w:rsidRDefault="00000000">
            <w:pPr>
              <w:jc w:val="center"/>
              <w:rPr>
                <w:rFonts w:ascii="Times New Roman" w:hAnsi="Times New Roman" w:cs="Times New Roman"/>
                <w:szCs w:val="21"/>
              </w:rPr>
            </w:pPr>
            <w:r>
              <w:rPr>
                <w:rFonts w:ascii="Times New Roman" w:eastAsia="Times New Roman" w:hAnsi="Times New Roman" w:cs="Times New Roman"/>
                <w:szCs w:val="21"/>
              </w:rPr>
              <w:t>HR 1.268 (1.225–1.312)</w:t>
            </w:r>
          </w:p>
        </w:tc>
        <w:tc>
          <w:tcPr>
            <w:tcW w:w="1384" w:type="dxa"/>
            <w:tcMar>
              <w:top w:w="60" w:type="dxa"/>
              <w:left w:w="60" w:type="dxa"/>
              <w:bottom w:w="60" w:type="dxa"/>
              <w:right w:w="60" w:type="dxa"/>
            </w:tcMar>
            <w:vAlign w:val="center"/>
          </w:tcPr>
          <w:p w14:paraId="18E31DAB" w14:textId="77777777" w:rsidR="006212E9" w:rsidRDefault="00000000">
            <w:pPr>
              <w:jc w:val="center"/>
              <w:rPr>
                <w:rFonts w:ascii="Times New Roman" w:hAnsi="Times New Roman" w:cs="Times New Roman"/>
                <w:szCs w:val="21"/>
              </w:rPr>
            </w:pPr>
            <w:r>
              <w:rPr>
                <w:rFonts w:ascii="Times New Roman" w:eastAsia="Times New Roman" w:hAnsi="Times New Roman" w:cs="Times New Roman"/>
                <w:szCs w:val="21"/>
              </w:rPr>
              <w:t>&lt;0.001</w:t>
            </w:r>
          </w:p>
        </w:tc>
      </w:tr>
      <w:tr w:rsidR="006212E9" w14:paraId="13F49743" w14:textId="77777777">
        <w:tc>
          <w:tcPr>
            <w:tcW w:w="1709" w:type="dxa"/>
            <w:tcMar>
              <w:top w:w="60" w:type="dxa"/>
              <w:left w:w="60" w:type="dxa"/>
              <w:bottom w:w="60" w:type="dxa"/>
              <w:right w:w="60" w:type="dxa"/>
            </w:tcMar>
            <w:vAlign w:val="center"/>
          </w:tcPr>
          <w:p w14:paraId="01143728" w14:textId="77777777" w:rsidR="006212E9" w:rsidRDefault="00000000">
            <w:pPr>
              <w:jc w:val="left"/>
              <w:rPr>
                <w:rFonts w:ascii="Times New Roman" w:hAnsi="Times New Roman" w:cs="Times New Roman"/>
                <w:szCs w:val="21"/>
              </w:rPr>
            </w:pPr>
            <w:r>
              <w:rPr>
                <w:rFonts w:ascii="Times New Roman" w:eastAsia="Times New Roman" w:hAnsi="Times New Roman" w:cs="Times New Roman"/>
                <w:szCs w:val="21"/>
              </w:rPr>
              <w:t>UK Biobank all-cause mortality</w:t>
            </w:r>
          </w:p>
        </w:tc>
        <w:tc>
          <w:tcPr>
            <w:tcW w:w="1384" w:type="dxa"/>
            <w:tcMar>
              <w:top w:w="60" w:type="dxa"/>
              <w:left w:w="60" w:type="dxa"/>
              <w:bottom w:w="60" w:type="dxa"/>
              <w:right w:w="60" w:type="dxa"/>
            </w:tcMar>
            <w:vAlign w:val="center"/>
          </w:tcPr>
          <w:p w14:paraId="7F94A80F" w14:textId="77777777" w:rsidR="006212E9" w:rsidRDefault="00000000">
            <w:pPr>
              <w:jc w:val="left"/>
              <w:rPr>
                <w:rFonts w:ascii="Times New Roman" w:hAnsi="Times New Roman" w:cs="Times New Roman"/>
                <w:szCs w:val="21"/>
              </w:rPr>
            </w:pPr>
            <w:r>
              <w:rPr>
                <w:rFonts w:ascii="Times New Roman" w:eastAsia="Times New Roman" w:hAnsi="Times New Roman" w:cs="Times New Roman"/>
                <w:szCs w:val="21"/>
              </w:rPr>
              <w:t>Main analysis</w:t>
            </w:r>
          </w:p>
        </w:tc>
        <w:tc>
          <w:tcPr>
            <w:tcW w:w="1384" w:type="dxa"/>
            <w:tcMar>
              <w:top w:w="60" w:type="dxa"/>
              <w:left w:w="60" w:type="dxa"/>
              <w:bottom w:w="60" w:type="dxa"/>
              <w:right w:w="60" w:type="dxa"/>
            </w:tcMar>
            <w:vAlign w:val="center"/>
          </w:tcPr>
          <w:p w14:paraId="05003FF0" w14:textId="77777777" w:rsidR="006212E9" w:rsidRDefault="00000000">
            <w:pPr>
              <w:jc w:val="center"/>
              <w:rPr>
                <w:rFonts w:ascii="Times New Roman" w:hAnsi="Times New Roman" w:cs="Times New Roman"/>
                <w:szCs w:val="21"/>
              </w:rPr>
            </w:pPr>
            <w:r>
              <w:rPr>
                <w:rFonts w:ascii="Times New Roman" w:eastAsia="Times New Roman" w:hAnsi="Times New Roman" w:cs="Times New Roman"/>
                <w:szCs w:val="21"/>
              </w:rPr>
              <w:t>270,861</w:t>
            </w:r>
          </w:p>
        </w:tc>
        <w:tc>
          <w:tcPr>
            <w:tcW w:w="1384" w:type="dxa"/>
            <w:tcMar>
              <w:top w:w="60" w:type="dxa"/>
              <w:left w:w="60" w:type="dxa"/>
              <w:bottom w:w="60" w:type="dxa"/>
              <w:right w:w="60" w:type="dxa"/>
            </w:tcMar>
            <w:vAlign w:val="center"/>
          </w:tcPr>
          <w:p w14:paraId="75A19C32" w14:textId="77777777" w:rsidR="006212E9" w:rsidRDefault="00000000">
            <w:pPr>
              <w:jc w:val="center"/>
              <w:rPr>
                <w:rFonts w:ascii="Times New Roman" w:hAnsi="Times New Roman" w:cs="Times New Roman"/>
                <w:szCs w:val="21"/>
              </w:rPr>
            </w:pPr>
            <w:r>
              <w:rPr>
                <w:rFonts w:ascii="Times New Roman" w:eastAsia="Times New Roman" w:hAnsi="Times New Roman" w:cs="Times New Roman"/>
                <w:szCs w:val="21"/>
              </w:rPr>
              <w:t>26,247</w:t>
            </w:r>
          </w:p>
        </w:tc>
        <w:tc>
          <w:tcPr>
            <w:tcW w:w="1384" w:type="dxa"/>
            <w:tcMar>
              <w:top w:w="60" w:type="dxa"/>
              <w:left w:w="60" w:type="dxa"/>
              <w:bottom w:w="60" w:type="dxa"/>
              <w:right w:w="60" w:type="dxa"/>
            </w:tcMar>
            <w:vAlign w:val="center"/>
          </w:tcPr>
          <w:p w14:paraId="53F22B57" w14:textId="77777777" w:rsidR="006212E9" w:rsidRDefault="00000000">
            <w:pPr>
              <w:jc w:val="center"/>
              <w:rPr>
                <w:rFonts w:ascii="Times New Roman" w:hAnsi="Times New Roman" w:cs="Times New Roman"/>
                <w:szCs w:val="21"/>
              </w:rPr>
            </w:pPr>
            <w:r>
              <w:rPr>
                <w:rFonts w:ascii="Times New Roman" w:eastAsia="Times New Roman" w:hAnsi="Times New Roman" w:cs="Times New Roman"/>
                <w:szCs w:val="21"/>
              </w:rPr>
              <w:t>HR 1.214 (1.169–1.261)</w:t>
            </w:r>
          </w:p>
        </w:tc>
        <w:tc>
          <w:tcPr>
            <w:tcW w:w="1384" w:type="dxa"/>
            <w:tcMar>
              <w:top w:w="60" w:type="dxa"/>
              <w:left w:w="60" w:type="dxa"/>
              <w:bottom w:w="60" w:type="dxa"/>
              <w:right w:w="60" w:type="dxa"/>
            </w:tcMar>
            <w:vAlign w:val="center"/>
          </w:tcPr>
          <w:p w14:paraId="0C758824" w14:textId="77777777" w:rsidR="006212E9" w:rsidRDefault="00000000">
            <w:pPr>
              <w:jc w:val="center"/>
              <w:rPr>
                <w:rFonts w:ascii="Times New Roman" w:hAnsi="Times New Roman" w:cs="Times New Roman"/>
                <w:szCs w:val="21"/>
              </w:rPr>
            </w:pPr>
            <w:r>
              <w:rPr>
                <w:rFonts w:ascii="Times New Roman" w:eastAsia="Times New Roman" w:hAnsi="Times New Roman" w:cs="Times New Roman"/>
                <w:szCs w:val="21"/>
              </w:rPr>
              <w:t>&lt;0.001</w:t>
            </w:r>
          </w:p>
        </w:tc>
      </w:tr>
      <w:tr w:rsidR="006212E9" w14:paraId="4D3836C1" w14:textId="77777777">
        <w:tc>
          <w:tcPr>
            <w:tcW w:w="1709" w:type="dxa"/>
            <w:tcMar>
              <w:top w:w="60" w:type="dxa"/>
              <w:left w:w="60" w:type="dxa"/>
              <w:bottom w:w="60" w:type="dxa"/>
              <w:right w:w="60" w:type="dxa"/>
            </w:tcMar>
            <w:vAlign w:val="center"/>
          </w:tcPr>
          <w:p w14:paraId="295B9213" w14:textId="77777777" w:rsidR="006212E9" w:rsidRDefault="00000000">
            <w:pPr>
              <w:jc w:val="left"/>
              <w:rPr>
                <w:rFonts w:ascii="Times New Roman" w:hAnsi="Times New Roman" w:cs="Times New Roman"/>
                <w:szCs w:val="21"/>
              </w:rPr>
            </w:pPr>
            <w:r>
              <w:rPr>
                <w:rFonts w:ascii="Times New Roman" w:eastAsia="Times New Roman" w:hAnsi="Times New Roman" w:cs="Times New Roman"/>
                <w:szCs w:val="21"/>
              </w:rPr>
              <w:t>UK Biobank all-cause mortality</w:t>
            </w:r>
          </w:p>
        </w:tc>
        <w:tc>
          <w:tcPr>
            <w:tcW w:w="1384" w:type="dxa"/>
            <w:tcMar>
              <w:top w:w="60" w:type="dxa"/>
              <w:left w:w="60" w:type="dxa"/>
              <w:bottom w:w="60" w:type="dxa"/>
              <w:right w:w="60" w:type="dxa"/>
            </w:tcMar>
            <w:vAlign w:val="center"/>
          </w:tcPr>
          <w:p w14:paraId="38FFA73D" w14:textId="77777777" w:rsidR="006212E9" w:rsidRDefault="00000000">
            <w:pPr>
              <w:jc w:val="left"/>
              <w:rPr>
                <w:rFonts w:ascii="Times New Roman" w:hAnsi="Times New Roman" w:cs="Times New Roman"/>
                <w:szCs w:val="21"/>
              </w:rPr>
            </w:pPr>
            <w:r>
              <w:rPr>
                <w:rFonts w:ascii="Times New Roman" w:eastAsia="Times New Roman" w:hAnsi="Times New Roman" w:cs="Times New Roman"/>
                <w:szCs w:val="21"/>
              </w:rPr>
              <w:t>Excluding events within the first 2 years</w:t>
            </w:r>
          </w:p>
        </w:tc>
        <w:tc>
          <w:tcPr>
            <w:tcW w:w="1384" w:type="dxa"/>
            <w:tcMar>
              <w:top w:w="60" w:type="dxa"/>
              <w:left w:w="60" w:type="dxa"/>
              <w:bottom w:w="60" w:type="dxa"/>
              <w:right w:w="60" w:type="dxa"/>
            </w:tcMar>
            <w:vAlign w:val="center"/>
          </w:tcPr>
          <w:p w14:paraId="42BF9BD0" w14:textId="77777777" w:rsidR="006212E9" w:rsidRDefault="00000000">
            <w:pPr>
              <w:jc w:val="center"/>
              <w:rPr>
                <w:rFonts w:ascii="Times New Roman" w:hAnsi="Times New Roman" w:cs="Times New Roman"/>
                <w:szCs w:val="21"/>
              </w:rPr>
            </w:pPr>
            <w:r>
              <w:rPr>
                <w:rFonts w:ascii="Times New Roman" w:eastAsia="Times New Roman" w:hAnsi="Times New Roman" w:cs="Times New Roman"/>
                <w:szCs w:val="21"/>
              </w:rPr>
              <w:t>269,589</w:t>
            </w:r>
          </w:p>
        </w:tc>
        <w:tc>
          <w:tcPr>
            <w:tcW w:w="1384" w:type="dxa"/>
            <w:tcMar>
              <w:top w:w="60" w:type="dxa"/>
              <w:left w:w="60" w:type="dxa"/>
              <w:bottom w:w="60" w:type="dxa"/>
              <w:right w:w="60" w:type="dxa"/>
            </w:tcMar>
            <w:vAlign w:val="center"/>
          </w:tcPr>
          <w:p w14:paraId="4BC94D6F" w14:textId="77777777" w:rsidR="006212E9" w:rsidRDefault="00000000">
            <w:pPr>
              <w:jc w:val="center"/>
              <w:rPr>
                <w:rFonts w:ascii="Times New Roman" w:hAnsi="Times New Roman" w:cs="Times New Roman"/>
                <w:szCs w:val="21"/>
              </w:rPr>
            </w:pPr>
            <w:r>
              <w:rPr>
                <w:rFonts w:ascii="Times New Roman" w:eastAsia="Times New Roman" w:hAnsi="Times New Roman" w:cs="Times New Roman"/>
                <w:szCs w:val="21"/>
              </w:rPr>
              <w:t>24,975</w:t>
            </w:r>
          </w:p>
        </w:tc>
        <w:tc>
          <w:tcPr>
            <w:tcW w:w="1384" w:type="dxa"/>
            <w:tcMar>
              <w:top w:w="60" w:type="dxa"/>
              <w:left w:w="60" w:type="dxa"/>
              <w:bottom w:w="60" w:type="dxa"/>
              <w:right w:w="60" w:type="dxa"/>
            </w:tcMar>
            <w:vAlign w:val="center"/>
          </w:tcPr>
          <w:p w14:paraId="04AC711F" w14:textId="77777777" w:rsidR="006212E9" w:rsidRDefault="00000000">
            <w:pPr>
              <w:jc w:val="center"/>
              <w:rPr>
                <w:rFonts w:ascii="Times New Roman" w:hAnsi="Times New Roman" w:cs="Times New Roman"/>
                <w:szCs w:val="21"/>
              </w:rPr>
            </w:pPr>
            <w:r>
              <w:rPr>
                <w:rFonts w:ascii="Times New Roman" w:eastAsia="Times New Roman" w:hAnsi="Times New Roman" w:cs="Times New Roman"/>
                <w:szCs w:val="21"/>
              </w:rPr>
              <w:t>HR 1.183 (1.138–1.229)</w:t>
            </w:r>
          </w:p>
        </w:tc>
        <w:tc>
          <w:tcPr>
            <w:tcW w:w="1384" w:type="dxa"/>
            <w:tcMar>
              <w:top w:w="60" w:type="dxa"/>
              <w:left w:w="60" w:type="dxa"/>
              <w:bottom w:w="60" w:type="dxa"/>
              <w:right w:w="60" w:type="dxa"/>
            </w:tcMar>
            <w:vAlign w:val="center"/>
          </w:tcPr>
          <w:p w14:paraId="667C64E9" w14:textId="77777777" w:rsidR="006212E9" w:rsidRDefault="00000000">
            <w:pPr>
              <w:jc w:val="center"/>
              <w:rPr>
                <w:rFonts w:ascii="Times New Roman" w:hAnsi="Times New Roman" w:cs="Times New Roman"/>
                <w:szCs w:val="21"/>
              </w:rPr>
            </w:pPr>
            <w:r>
              <w:rPr>
                <w:rFonts w:ascii="Times New Roman" w:eastAsia="Times New Roman" w:hAnsi="Times New Roman" w:cs="Times New Roman"/>
                <w:szCs w:val="21"/>
              </w:rPr>
              <w:t>&lt;0.001</w:t>
            </w:r>
          </w:p>
        </w:tc>
      </w:tr>
      <w:tr w:rsidR="006212E9" w14:paraId="7F3AA4A7" w14:textId="77777777">
        <w:tc>
          <w:tcPr>
            <w:tcW w:w="1709" w:type="dxa"/>
            <w:tcMar>
              <w:top w:w="60" w:type="dxa"/>
              <w:left w:w="60" w:type="dxa"/>
              <w:bottom w:w="60" w:type="dxa"/>
              <w:right w:w="60" w:type="dxa"/>
            </w:tcMar>
            <w:vAlign w:val="center"/>
          </w:tcPr>
          <w:p w14:paraId="00996A7A" w14:textId="77777777" w:rsidR="006212E9" w:rsidRDefault="00000000">
            <w:pPr>
              <w:jc w:val="left"/>
              <w:rPr>
                <w:rFonts w:ascii="Times New Roman" w:hAnsi="Times New Roman" w:cs="Times New Roman"/>
                <w:szCs w:val="21"/>
              </w:rPr>
            </w:pPr>
            <w:r>
              <w:rPr>
                <w:rFonts w:ascii="Times New Roman" w:eastAsia="Times New Roman" w:hAnsi="Times New Roman" w:cs="Times New Roman"/>
                <w:szCs w:val="21"/>
              </w:rPr>
              <w:t>UK Biobank cardiovascular death</w:t>
            </w:r>
          </w:p>
        </w:tc>
        <w:tc>
          <w:tcPr>
            <w:tcW w:w="1384" w:type="dxa"/>
            <w:tcMar>
              <w:top w:w="60" w:type="dxa"/>
              <w:left w:w="60" w:type="dxa"/>
              <w:bottom w:w="60" w:type="dxa"/>
              <w:right w:w="60" w:type="dxa"/>
            </w:tcMar>
            <w:vAlign w:val="center"/>
          </w:tcPr>
          <w:p w14:paraId="18966E10" w14:textId="77777777" w:rsidR="006212E9" w:rsidRDefault="00000000">
            <w:pPr>
              <w:jc w:val="left"/>
              <w:rPr>
                <w:rFonts w:ascii="Times New Roman" w:hAnsi="Times New Roman" w:cs="Times New Roman"/>
                <w:szCs w:val="21"/>
              </w:rPr>
            </w:pPr>
            <w:r>
              <w:rPr>
                <w:rFonts w:ascii="Times New Roman" w:eastAsia="Times New Roman" w:hAnsi="Times New Roman" w:cs="Times New Roman"/>
                <w:szCs w:val="21"/>
              </w:rPr>
              <w:t>Main analysis</w:t>
            </w:r>
          </w:p>
        </w:tc>
        <w:tc>
          <w:tcPr>
            <w:tcW w:w="1384" w:type="dxa"/>
            <w:tcMar>
              <w:top w:w="60" w:type="dxa"/>
              <w:left w:w="60" w:type="dxa"/>
              <w:bottom w:w="60" w:type="dxa"/>
              <w:right w:w="60" w:type="dxa"/>
            </w:tcMar>
            <w:vAlign w:val="center"/>
          </w:tcPr>
          <w:p w14:paraId="5E0927F0" w14:textId="77777777" w:rsidR="006212E9" w:rsidRDefault="00000000">
            <w:pPr>
              <w:jc w:val="center"/>
              <w:rPr>
                <w:rFonts w:ascii="Times New Roman" w:hAnsi="Times New Roman" w:cs="Times New Roman"/>
                <w:szCs w:val="21"/>
              </w:rPr>
            </w:pPr>
            <w:r>
              <w:rPr>
                <w:rFonts w:ascii="Times New Roman" w:eastAsia="Times New Roman" w:hAnsi="Times New Roman" w:cs="Times New Roman"/>
                <w:szCs w:val="21"/>
              </w:rPr>
              <w:t>270,861</w:t>
            </w:r>
          </w:p>
        </w:tc>
        <w:tc>
          <w:tcPr>
            <w:tcW w:w="1384" w:type="dxa"/>
            <w:tcMar>
              <w:top w:w="60" w:type="dxa"/>
              <w:left w:w="60" w:type="dxa"/>
              <w:bottom w:w="60" w:type="dxa"/>
              <w:right w:w="60" w:type="dxa"/>
            </w:tcMar>
            <w:vAlign w:val="center"/>
          </w:tcPr>
          <w:p w14:paraId="204E1C83" w14:textId="77777777" w:rsidR="006212E9" w:rsidRDefault="00000000">
            <w:pPr>
              <w:jc w:val="center"/>
              <w:rPr>
                <w:rFonts w:ascii="Times New Roman" w:hAnsi="Times New Roman" w:cs="Times New Roman"/>
                <w:szCs w:val="21"/>
              </w:rPr>
            </w:pPr>
            <w:r>
              <w:rPr>
                <w:rFonts w:ascii="Times New Roman" w:eastAsia="Times New Roman" w:hAnsi="Times New Roman" w:cs="Times New Roman"/>
                <w:szCs w:val="21"/>
              </w:rPr>
              <w:t>9,430</w:t>
            </w:r>
          </w:p>
        </w:tc>
        <w:tc>
          <w:tcPr>
            <w:tcW w:w="1384" w:type="dxa"/>
            <w:tcMar>
              <w:top w:w="60" w:type="dxa"/>
              <w:left w:w="60" w:type="dxa"/>
              <w:bottom w:w="60" w:type="dxa"/>
              <w:right w:w="60" w:type="dxa"/>
            </w:tcMar>
            <w:vAlign w:val="center"/>
          </w:tcPr>
          <w:p w14:paraId="6FA88230" w14:textId="77777777" w:rsidR="006212E9" w:rsidRDefault="00000000">
            <w:pPr>
              <w:jc w:val="center"/>
              <w:rPr>
                <w:rFonts w:ascii="Times New Roman" w:hAnsi="Times New Roman" w:cs="Times New Roman"/>
                <w:szCs w:val="21"/>
              </w:rPr>
            </w:pPr>
            <w:r>
              <w:rPr>
                <w:rFonts w:ascii="Times New Roman" w:eastAsia="Times New Roman" w:hAnsi="Times New Roman" w:cs="Times New Roman"/>
                <w:szCs w:val="21"/>
              </w:rPr>
              <w:t>HR 1.284 (1.205–1.368)</w:t>
            </w:r>
          </w:p>
        </w:tc>
        <w:tc>
          <w:tcPr>
            <w:tcW w:w="1384" w:type="dxa"/>
            <w:tcMar>
              <w:top w:w="60" w:type="dxa"/>
              <w:left w:w="60" w:type="dxa"/>
              <w:bottom w:w="60" w:type="dxa"/>
              <w:right w:w="60" w:type="dxa"/>
            </w:tcMar>
            <w:vAlign w:val="center"/>
          </w:tcPr>
          <w:p w14:paraId="2E9758E9" w14:textId="77777777" w:rsidR="006212E9" w:rsidRDefault="00000000">
            <w:pPr>
              <w:jc w:val="center"/>
              <w:rPr>
                <w:rFonts w:ascii="Times New Roman" w:hAnsi="Times New Roman" w:cs="Times New Roman"/>
                <w:szCs w:val="21"/>
              </w:rPr>
            </w:pPr>
            <w:r>
              <w:rPr>
                <w:rFonts w:ascii="Times New Roman" w:eastAsia="Times New Roman" w:hAnsi="Times New Roman" w:cs="Times New Roman"/>
                <w:szCs w:val="21"/>
              </w:rPr>
              <w:t>&lt;0.001</w:t>
            </w:r>
          </w:p>
        </w:tc>
      </w:tr>
      <w:tr w:rsidR="006212E9" w14:paraId="46731A1B" w14:textId="77777777">
        <w:tc>
          <w:tcPr>
            <w:tcW w:w="1709" w:type="dxa"/>
            <w:tcMar>
              <w:top w:w="60" w:type="dxa"/>
              <w:left w:w="60" w:type="dxa"/>
              <w:bottom w:w="60" w:type="dxa"/>
              <w:right w:w="60" w:type="dxa"/>
            </w:tcMar>
            <w:vAlign w:val="center"/>
          </w:tcPr>
          <w:p w14:paraId="07CB9BD9" w14:textId="77777777" w:rsidR="006212E9" w:rsidRDefault="00000000">
            <w:pPr>
              <w:jc w:val="left"/>
              <w:rPr>
                <w:rFonts w:ascii="Times New Roman" w:hAnsi="Times New Roman" w:cs="Times New Roman"/>
                <w:szCs w:val="21"/>
              </w:rPr>
            </w:pPr>
            <w:r>
              <w:rPr>
                <w:rFonts w:ascii="Times New Roman" w:eastAsia="Times New Roman" w:hAnsi="Times New Roman" w:cs="Times New Roman"/>
                <w:szCs w:val="21"/>
              </w:rPr>
              <w:t>UK Biobank cardiovascular death</w:t>
            </w:r>
          </w:p>
        </w:tc>
        <w:tc>
          <w:tcPr>
            <w:tcW w:w="1384" w:type="dxa"/>
            <w:tcMar>
              <w:top w:w="60" w:type="dxa"/>
              <w:left w:w="60" w:type="dxa"/>
              <w:bottom w:w="60" w:type="dxa"/>
              <w:right w:w="60" w:type="dxa"/>
            </w:tcMar>
            <w:vAlign w:val="center"/>
          </w:tcPr>
          <w:p w14:paraId="29268D01" w14:textId="77777777" w:rsidR="006212E9" w:rsidRDefault="00000000">
            <w:pPr>
              <w:jc w:val="left"/>
              <w:rPr>
                <w:rFonts w:ascii="Times New Roman" w:hAnsi="Times New Roman" w:cs="Times New Roman"/>
                <w:szCs w:val="21"/>
              </w:rPr>
            </w:pPr>
            <w:r>
              <w:rPr>
                <w:rFonts w:ascii="Times New Roman" w:eastAsia="Times New Roman" w:hAnsi="Times New Roman" w:cs="Times New Roman"/>
                <w:szCs w:val="21"/>
              </w:rPr>
              <w:t>Excluding events within the first 2 years</w:t>
            </w:r>
          </w:p>
        </w:tc>
        <w:tc>
          <w:tcPr>
            <w:tcW w:w="1384" w:type="dxa"/>
            <w:tcMar>
              <w:top w:w="60" w:type="dxa"/>
              <w:left w:w="60" w:type="dxa"/>
              <w:bottom w:w="60" w:type="dxa"/>
              <w:right w:w="60" w:type="dxa"/>
            </w:tcMar>
            <w:vAlign w:val="center"/>
          </w:tcPr>
          <w:p w14:paraId="46FC298B" w14:textId="77777777" w:rsidR="006212E9" w:rsidRDefault="00000000">
            <w:pPr>
              <w:jc w:val="center"/>
              <w:rPr>
                <w:rFonts w:ascii="Times New Roman" w:hAnsi="Times New Roman" w:cs="Times New Roman"/>
                <w:szCs w:val="21"/>
              </w:rPr>
            </w:pPr>
            <w:r>
              <w:rPr>
                <w:rFonts w:ascii="Times New Roman" w:eastAsia="Times New Roman" w:hAnsi="Times New Roman" w:cs="Times New Roman"/>
                <w:szCs w:val="21"/>
              </w:rPr>
              <w:t>270,456</w:t>
            </w:r>
          </w:p>
        </w:tc>
        <w:tc>
          <w:tcPr>
            <w:tcW w:w="1384" w:type="dxa"/>
            <w:tcMar>
              <w:top w:w="60" w:type="dxa"/>
              <w:left w:w="60" w:type="dxa"/>
              <w:bottom w:w="60" w:type="dxa"/>
              <w:right w:w="60" w:type="dxa"/>
            </w:tcMar>
            <w:vAlign w:val="center"/>
          </w:tcPr>
          <w:p w14:paraId="52D28C97" w14:textId="77777777" w:rsidR="006212E9" w:rsidRDefault="00000000">
            <w:pPr>
              <w:jc w:val="center"/>
              <w:rPr>
                <w:rFonts w:ascii="Times New Roman" w:hAnsi="Times New Roman" w:cs="Times New Roman"/>
                <w:szCs w:val="21"/>
              </w:rPr>
            </w:pPr>
            <w:r>
              <w:rPr>
                <w:rFonts w:ascii="Times New Roman" w:eastAsia="Times New Roman" w:hAnsi="Times New Roman" w:cs="Times New Roman"/>
                <w:szCs w:val="21"/>
              </w:rPr>
              <w:t>9,025</w:t>
            </w:r>
          </w:p>
        </w:tc>
        <w:tc>
          <w:tcPr>
            <w:tcW w:w="1384" w:type="dxa"/>
            <w:tcMar>
              <w:top w:w="60" w:type="dxa"/>
              <w:left w:w="60" w:type="dxa"/>
              <w:bottom w:w="60" w:type="dxa"/>
              <w:right w:w="60" w:type="dxa"/>
            </w:tcMar>
            <w:vAlign w:val="center"/>
          </w:tcPr>
          <w:p w14:paraId="7268678D" w14:textId="77777777" w:rsidR="006212E9" w:rsidRDefault="00000000">
            <w:pPr>
              <w:jc w:val="center"/>
              <w:rPr>
                <w:rFonts w:ascii="Times New Roman" w:hAnsi="Times New Roman" w:cs="Times New Roman"/>
                <w:szCs w:val="21"/>
              </w:rPr>
            </w:pPr>
            <w:r>
              <w:rPr>
                <w:rFonts w:ascii="Times New Roman" w:eastAsia="Times New Roman" w:hAnsi="Times New Roman" w:cs="Times New Roman"/>
                <w:szCs w:val="21"/>
              </w:rPr>
              <w:t>HR 1.264 (1.185–1.348)</w:t>
            </w:r>
          </w:p>
        </w:tc>
        <w:tc>
          <w:tcPr>
            <w:tcW w:w="1384" w:type="dxa"/>
            <w:tcMar>
              <w:top w:w="60" w:type="dxa"/>
              <w:left w:w="60" w:type="dxa"/>
              <w:bottom w:w="60" w:type="dxa"/>
              <w:right w:w="60" w:type="dxa"/>
            </w:tcMar>
            <w:vAlign w:val="center"/>
          </w:tcPr>
          <w:p w14:paraId="2A597F3D" w14:textId="77777777" w:rsidR="006212E9" w:rsidRDefault="00000000">
            <w:pPr>
              <w:jc w:val="center"/>
              <w:rPr>
                <w:rFonts w:ascii="Times New Roman" w:hAnsi="Times New Roman" w:cs="Times New Roman"/>
                <w:szCs w:val="21"/>
              </w:rPr>
            </w:pPr>
            <w:r>
              <w:rPr>
                <w:rFonts w:ascii="Times New Roman" w:eastAsia="Times New Roman" w:hAnsi="Times New Roman" w:cs="Times New Roman"/>
                <w:szCs w:val="21"/>
              </w:rPr>
              <w:t>&lt;0.001</w:t>
            </w:r>
          </w:p>
        </w:tc>
      </w:tr>
    </w:tbl>
    <w:p w14:paraId="48BD5A92" w14:textId="77777777" w:rsidR="006212E9" w:rsidRDefault="00000000">
      <w:pPr>
        <w:spacing w:after="120"/>
        <w:jc w:val="left"/>
        <w:rPr>
          <w:rFonts w:ascii="Times New Roman" w:eastAsia="Times New Roman" w:hAnsi="Times New Roman"/>
          <w:b/>
          <w:sz w:val="22"/>
        </w:rPr>
      </w:pPr>
      <w:r>
        <w:rPr>
          <w:rFonts w:ascii="Times New Roman" w:eastAsia="宋体" w:hAnsi="Times New Roman" w:hint="eastAsia"/>
          <w:b/>
          <w:sz w:val="22"/>
        </w:rPr>
        <w:t>i</w:t>
      </w:r>
      <w:r>
        <w:rPr>
          <w:rFonts w:ascii="Times New Roman" w:eastAsia="Times New Roman" w:hAnsi="Times New Roman"/>
          <w:b/>
          <w:sz w:val="22"/>
        </w:rPr>
        <w:t>n</w:t>
      </w:r>
      <w:r>
        <w:rPr>
          <w:rFonts w:ascii="Times New Roman" w:eastAsia="宋体" w:hAnsi="Times New Roman" w:hint="eastAsia"/>
          <w:b/>
          <w:sz w:val="22"/>
        </w:rPr>
        <w:t xml:space="preserve"> </w:t>
      </w:r>
      <w:r>
        <w:rPr>
          <w:rFonts w:ascii="Times New Roman" w:eastAsia="Times New Roman" w:hAnsi="Times New Roman"/>
          <w:b/>
          <w:sz w:val="22"/>
        </w:rPr>
        <w:t>the CHARLS and UK Biobank cohorts</w:t>
      </w:r>
    </w:p>
    <w:p w14:paraId="234867EF" w14:textId="77777777" w:rsidR="006212E9" w:rsidRDefault="00000000">
      <w:pPr>
        <w:spacing w:before="120" w:after="120"/>
        <w:jc w:val="left"/>
        <w:rPr>
          <w:szCs w:val="21"/>
        </w:rPr>
      </w:pPr>
      <w:r>
        <w:rPr>
          <w:rFonts w:ascii="Times New Roman" w:eastAsia="Times New Roman" w:hAnsi="Times New Roman"/>
          <w:szCs w:val="21"/>
        </w:rPr>
        <w:lastRenderedPageBreak/>
        <w:t>Note: Effect estimates are odds ratios (ORs) for CHARLS and hazard ratios (HRs) for UK Biobank. CHARLS models were fully adjusted logistic regressions comparing high versus low RCII based on the median cutoff; UK Biobank models were fully adjusted Cox regressions comparing the highest versus lowest RCII quartile. CVD history was defined as baseline heart disease or stroke, and obesity as BMI ≥28 kg/m². Early-event sensitivity analyses excluded outcome events within the first 2 years of follow-up for the corresponding UK Biobank endpoint. Abbreviations: BMI, body mass index; CI, confidence interval; CVD, cardiovascular disease; MACE, major adverse cardiovascular events; RCII, Remnant Cholesterol-Inflammation Index.</w:t>
      </w:r>
    </w:p>
    <w:p w14:paraId="2BC80DF2" w14:textId="77777777" w:rsidR="006212E9" w:rsidRDefault="006212E9"/>
    <w:p w14:paraId="34CBD9C0" w14:textId="77777777" w:rsidR="006212E9" w:rsidRDefault="00000000">
      <w:pPr>
        <w:rPr>
          <w:rFonts w:ascii="Times New Roman" w:hAnsi="Times New Roman" w:cs="Times New Roman"/>
          <w:b/>
          <w:bCs/>
        </w:rPr>
      </w:pPr>
      <w:r>
        <w:rPr>
          <w:rFonts w:ascii="Times New Roman" w:hAnsi="Times New Roman" w:cs="Times New Roman"/>
          <w:b/>
          <w:bCs/>
        </w:rPr>
        <w:t>Table S2. Joint Association of Remnant Cholesterol and C-Reactive Protein with Prevalent Hypertension in the CHARLS Cohort</w:t>
      </w:r>
    </w:p>
    <w:p w14:paraId="0B6D769E" w14:textId="77777777" w:rsidR="006212E9" w:rsidRDefault="006212E9">
      <w:pPr>
        <w:rPr>
          <w:rFonts w:ascii="Times New Roman" w:hAnsi="Times New Roman" w:cs="Times New Roman"/>
        </w:rPr>
      </w:pPr>
    </w:p>
    <w:p w14:paraId="016C330A" w14:textId="77777777" w:rsidR="006212E9" w:rsidRDefault="006212E9">
      <w:pPr>
        <w:rPr>
          <w:rFonts w:ascii="Times New Roman" w:hAnsi="Times New Roman" w:cs="Times New Roman"/>
        </w:rPr>
      </w:pPr>
    </w:p>
    <w:tbl>
      <w:tblPr>
        <w:tblStyle w:val="a6"/>
        <w:tblW w:w="5903" w:type="pct"/>
        <w:jc w:val="center"/>
        <w:tblBorders>
          <w:top w:val="none" w:sz="4" w:space="0" w:color="auto"/>
          <w:left w:val="none" w:sz="4" w:space="0" w:color="auto"/>
          <w:bottom w:val="none" w:sz="4" w:space="0" w:color="auto"/>
          <w:right w:val="none" w:sz="4" w:space="0" w:color="auto"/>
          <w:insideH w:val="none" w:sz="4" w:space="0" w:color="auto"/>
          <w:insideV w:val="none" w:sz="4" w:space="0" w:color="auto"/>
        </w:tblBorders>
        <w:tblLook w:val="04A0" w:firstRow="1" w:lastRow="0" w:firstColumn="1" w:lastColumn="0" w:noHBand="0" w:noVBand="1"/>
      </w:tblPr>
      <w:tblGrid>
        <w:gridCol w:w="2372"/>
        <w:gridCol w:w="1361"/>
        <w:gridCol w:w="963"/>
        <w:gridCol w:w="1565"/>
        <w:gridCol w:w="1037"/>
        <w:gridCol w:w="1543"/>
        <w:gridCol w:w="965"/>
      </w:tblGrid>
      <w:tr w:rsidR="006212E9" w14:paraId="45ACC17B" w14:textId="77777777">
        <w:trPr>
          <w:tblHeader/>
          <w:jc w:val="center"/>
        </w:trPr>
        <w:tc>
          <w:tcPr>
            <w:tcW w:w="1208" w:type="pct"/>
            <w:tcBorders>
              <w:top w:val="single" w:sz="12" w:space="0" w:color="auto"/>
              <w:left w:val="nil"/>
              <w:bottom w:val="nil"/>
              <w:right w:val="nil"/>
            </w:tcBorders>
            <w:tcMar>
              <w:top w:w="-1" w:type="dxa"/>
              <w:left w:w="-1" w:type="dxa"/>
              <w:bottom w:w="-1" w:type="dxa"/>
              <w:right w:w="-1" w:type="dxa"/>
            </w:tcMar>
            <w:vAlign w:val="center"/>
          </w:tcPr>
          <w:p w14:paraId="2EEEBD7B" w14:textId="77777777" w:rsidR="006212E9" w:rsidRDefault="00000000">
            <w:pPr>
              <w:widowControl/>
              <w:snapToGrid w:val="0"/>
              <w:jc w:val="center"/>
              <w:rPr>
                <w:rFonts w:ascii="Times New Roman" w:eastAsia="sans-serif" w:hAnsi="Times New Roman" w:cs="Times New Roman"/>
                <w:bCs/>
              </w:rPr>
            </w:pPr>
            <w:r>
              <w:rPr>
                <w:rStyle w:val="a7"/>
                <w:rFonts w:ascii="Times New Roman" w:eastAsia="sans-serif" w:hAnsi="Times New Roman" w:cs="Times New Roman"/>
                <w:b w:val="0"/>
                <w:bCs/>
                <w:color w:val="1F1F1F"/>
                <w:kern w:val="0"/>
                <w:szCs w:val="21"/>
                <w:lang w:bidi="ar"/>
              </w:rPr>
              <w:t>Joint Categories (RC / CRP)</w:t>
            </w:r>
          </w:p>
        </w:tc>
        <w:tc>
          <w:tcPr>
            <w:tcW w:w="693" w:type="pct"/>
            <w:tcBorders>
              <w:top w:val="single" w:sz="12" w:space="0" w:color="auto"/>
              <w:left w:val="nil"/>
              <w:bottom w:val="nil"/>
              <w:right w:val="nil"/>
            </w:tcBorders>
            <w:tcMar>
              <w:top w:w="-1" w:type="dxa"/>
              <w:left w:w="-1" w:type="dxa"/>
              <w:bottom w:w="-1" w:type="dxa"/>
              <w:right w:w="-1" w:type="dxa"/>
            </w:tcMar>
            <w:vAlign w:val="center"/>
          </w:tcPr>
          <w:p w14:paraId="17E7F007" w14:textId="77777777" w:rsidR="006212E9" w:rsidRDefault="00000000">
            <w:pPr>
              <w:widowControl/>
              <w:snapToGrid w:val="0"/>
              <w:jc w:val="center"/>
              <w:rPr>
                <w:rFonts w:ascii="Times New Roman" w:eastAsia="sans-serif" w:hAnsi="Times New Roman" w:cs="Times New Roman"/>
                <w:bCs/>
              </w:rPr>
            </w:pPr>
            <w:r>
              <w:rPr>
                <w:rStyle w:val="a7"/>
                <w:rFonts w:ascii="Times New Roman" w:eastAsia="sans-serif" w:hAnsi="Times New Roman" w:cs="Times New Roman"/>
                <w:b w:val="0"/>
                <w:bCs/>
                <w:color w:val="1F1F1F"/>
                <w:kern w:val="0"/>
                <w:szCs w:val="21"/>
                <w:lang w:bidi="ar"/>
              </w:rPr>
              <w:t>Model 1 (Crude)</w:t>
            </w:r>
          </w:p>
        </w:tc>
        <w:tc>
          <w:tcPr>
            <w:tcW w:w="491" w:type="pct"/>
            <w:tcBorders>
              <w:top w:val="single" w:sz="12" w:space="0" w:color="auto"/>
              <w:left w:val="nil"/>
              <w:bottom w:val="nil"/>
              <w:right w:val="nil"/>
            </w:tcBorders>
            <w:tcMar>
              <w:top w:w="-1" w:type="dxa"/>
              <w:left w:w="-1" w:type="dxa"/>
              <w:bottom w:w="-1" w:type="dxa"/>
              <w:right w:w="-1" w:type="dxa"/>
            </w:tcMar>
            <w:vAlign w:val="center"/>
          </w:tcPr>
          <w:p w14:paraId="37F00171" w14:textId="77777777" w:rsidR="006212E9" w:rsidRDefault="00000000">
            <w:pPr>
              <w:widowControl/>
              <w:snapToGrid w:val="0"/>
              <w:jc w:val="center"/>
              <w:rPr>
                <w:rFonts w:ascii="Times New Roman" w:eastAsia="sans-serif" w:hAnsi="Times New Roman" w:cs="Times New Roman"/>
                <w:bCs/>
              </w:rPr>
            </w:pPr>
            <w:r>
              <w:rPr>
                <w:rStyle w:val="a7"/>
                <w:rFonts w:ascii="Times New Roman" w:eastAsia="sans-serif" w:hAnsi="Times New Roman" w:cs="Times New Roman"/>
                <w:b w:val="0"/>
                <w:bCs/>
                <w:color w:val="1F1F1F"/>
                <w:kern w:val="0"/>
                <w:szCs w:val="21"/>
                <w:lang w:bidi="ar"/>
              </w:rPr>
              <w:t>P-value</w:t>
            </w:r>
          </w:p>
        </w:tc>
        <w:tc>
          <w:tcPr>
            <w:tcW w:w="797" w:type="pct"/>
            <w:tcBorders>
              <w:top w:val="single" w:sz="12" w:space="0" w:color="auto"/>
              <w:left w:val="nil"/>
              <w:bottom w:val="nil"/>
              <w:right w:val="nil"/>
            </w:tcBorders>
            <w:tcMar>
              <w:top w:w="-1" w:type="dxa"/>
              <w:left w:w="-1" w:type="dxa"/>
              <w:bottom w:w="-1" w:type="dxa"/>
              <w:right w:w="-1" w:type="dxa"/>
            </w:tcMar>
            <w:vAlign w:val="center"/>
          </w:tcPr>
          <w:p w14:paraId="0D74136C" w14:textId="77777777" w:rsidR="006212E9" w:rsidRDefault="00000000">
            <w:pPr>
              <w:widowControl/>
              <w:snapToGrid w:val="0"/>
              <w:jc w:val="center"/>
              <w:rPr>
                <w:rFonts w:ascii="Times New Roman" w:eastAsia="sans-serif" w:hAnsi="Times New Roman" w:cs="Times New Roman"/>
                <w:bCs/>
              </w:rPr>
            </w:pPr>
            <w:r>
              <w:rPr>
                <w:rStyle w:val="a7"/>
                <w:rFonts w:ascii="Times New Roman" w:eastAsia="sans-serif" w:hAnsi="Times New Roman" w:cs="Times New Roman"/>
                <w:b w:val="0"/>
                <w:bCs/>
                <w:color w:val="1F1F1F"/>
                <w:kern w:val="0"/>
                <w:szCs w:val="21"/>
                <w:lang w:bidi="ar"/>
              </w:rPr>
              <w:t>Model 2 (Age &amp; Sex)</w:t>
            </w:r>
          </w:p>
        </w:tc>
        <w:tc>
          <w:tcPr>
            <w:tcW w:w="529" w:type="pct"/>
            <w:tcBorders>
              <w:top w:val="single" w:sz="12" w:space="0" w:color="auto"/>
              <w:left w:val="nil"/>
              <w:bottom w:val="nil"/>
              <w:right w:val="nil"/>
            </w:tcBorders>
            <w:tcMar>
              <w:top w:w="-1" w:type="dxa"/>
              <w:left w:w="-1" w:type="dxa"/>
              <w:bottom w:w="-1" w:type="dxa"/>
              <w:right w:w="-1" w:type="dxa"/>
            </w:tcMar>
            <w:vAlign w:val="center"/>
          </w:tcPr>
          <w:p w14:paraId="3919DD6B" w14:textId="77777777" w:rsidR="006212E9" w:rsidRDefault="00000000">
            <w:pPr>
              <w:widowControl/>
              <w:snapToGrid w:val="0"/>
              <w:jc w:val="center"/>
              <w:rPr>
                <w:rFonts w:ascii="Times New Roman" w:eastAsia="sans-serif" w:hAnsi="Times New Roman" w:cs="Times New Roman"/>
                <w:bCs/>
              </w:rPr>
            </w:pPr>
            <w:r>
              <w:rPr>
                <w:rStyle w:val="a7"/>
                <w:rFonts w:ascii="Times New Roman" w:eastAsia="sans-serif" w:hAnsi="Times New Roman" w:cs="Times New Roman"/>
                <w:b w:val="0"/>
                <w:bCs/>
                <w:color w:val="1F1F1F"/>
                <w:kern w:val="0"/>
                <w:szCs w:val="21"/>
                <w:lang w:bidi="ar"/>
              </w:rPr>
              <w:t>P-value</w:t>
            </w:r>
          </w:p>
        </w:tc>
        <w:tc>
          <w:tcPr>
            <w:tcW w:w="786" w:type="pct"/>
            <w:tcBorders>
              <w:top w:val="single" w:sz="12" w:space="0" w:color="auto"/>
              <w:left w:val="nil"/>
              <w:bottom w:val="nil"/>
              <w:right w:val="nil"/>
            </w:tcBorders>
            <w:tcMar>
              <w:top w:w="-1" w:type="dxa"/>
              <w:left w:w="-1" w:type="dxa"/>
              <w:bottom w:w="-1" w:type="dxa"/>
              <w:right w:w="-1" w:type="dxa"/>
            </w:tcMar>
            <w:vAlign w:val="center"/>
          </w:tcPr>
          <w:p w14:paraId="30501AC7" w14:textId="77777777" w:rsidR="006212E9" w:rsidRDefault="00000000">
            <w:pPr>
              <w:widowControl/>
              <w:snapToGrid w:val="0"/>
              <w:jc w:val="center"/>
              <w:rPr>
                <w:rFonts w:ascii="Times New Roman" w:eastAsia="sans-serif" w:hAnsi="Times New Roman" w:cs="Times New Roman"/>
                <w:bCs/>
              </w:rPr>
            </w:pPr>
            <w:r>
              <w:rPr>
                <w:rStyle w:val="a7"/>
                <w:rFonts w:ascii="Times New Roman" w:eastAsia="sans-serif" w:hAnsi="Times New Roman" w:cs="Times New Roman"/>
                <w:b w:val="0"/>
                <w:bCs/>
                <w:color w:val="1F1F1F"/>
                <w:kern w:val="0"/>
                <w:szCs w:val="21"/>
                <w:lang w:bidi="ar"/>
              </w:rPr>
              <w:t>Model 3 (Fully Adjusted)</w:t>
            </w:r>
          </w:p>
        </w:tc>
        <w:tc>
          <w:tcPr>
            <w:tcW w:w="492" w:type="pct"/>
            <w:tcBorders>
              <w:top w:val="single" w:sz="12" w:space="0" w:color="auto"/>
              <w:left w:val="nil"/>
              <w:bottom w:val="nil"/>
              <w:right w:val="nil"/>
            </w:tcBorders>
            <w:tcMar>
              <w:top w:w="-1" w:type="dxa"/>
              <w:left w:w="-1" w:type="dxa"/>
              <w:bottom w:w="-1" w:type="dxa"/>
              <w:right w:w="-1" w:type="dxa"/>
            </w:tcMar>
            <w:vAlign w:val="center"/>
          </w:tcPr>
          <w:p w14:paraId="0C201405" w14:textId="77777777" w:rsidR="006212E9" w:rsidRDefault="00000000">
            <w:pPr>
              <w:widowControl/>
              <w:snapToGrid w:val="0"/>
              <w:jc w:val="center"/>
              <w:rPr>
                <w:rFonts w:ascii="Times New Roman" w:eastAsia="sans-serif" w:hAnsi="Times New Roman" w:cs="Times New Roman"/>
                <w:bCs/>
              </w:rPr>
            </w:pPr>
            <w:r>
              <w:rPr>
                <w:rStyle w:val="a7"/>
                <w:rFonts w:ascii="Times New Roman" w:eastAsia="sans-serif" w:hAnsi="Times New Roman" w:cs="Times New Roman"/>
                <w:b w:val="0"/>
                <w:bCs/>
                <w:color w:val="1F1F1F"/>
                <w:kern w:val="0"/>
                <w:szCs w:val="21"/>
                <w:lang w:bidi="ar"/>
              </w:rPr>
              <w:t>P-value</w:t>
            </w:r>
          </w:p>
        </w:tc>
      </w:tr>
      <w:tr w:rsidR="006212E9" w14:paraId="3D0AB74D" w14:textId="77777777">
        <w:trPr>
          <w:tblHeader/>
          <w:jc w:val="center"/>
        </w:trPr>
        <w:tc>
          <w:tcPr>
            <w:tcW w:w="1208" w:type="pct"/>
            <w:tcBorders>
              <w:top w:val="nil"/>
              <w:left w:val="nil"/>
              <w:bottom w:val="nil"/>
              <w:right w:val="nil"/>
            </w:tcBorders>
            <w:tcMar>
              <w:top w:w="-1" w:type="dxa"/>
              <w:left w:w="-1" w:type="dxa"/>
              <w:bottom w:w="-1" w:type="dxa"/>
              <w:right w:w="-1" w:type="dxa"/>
            </w:tcMar>
            <w:vAlign w:val="center"/>
          </w:tcPr>
          <w:p w14:paraId="0F877855" w14:textId="77777777" w:rsidR="006212E9" w:rsidRDefault="006212E9">
            <w:pPr>
              <w:snapToGrid w:val="0"/>
              <w:jc w:val="center"/>
              <w:rPr>
                <w:rFonts w:ascii="Times New Roman" w:eastAsia="sans-serif" w:hAnsi="Times New Roman" w:cs="Times New Roman"/>
                <w:bCs/>
              </w:rPr>
            </w:pPr>
          </w:p>
        </w:tc>
        <w:tc>
          <w:tcPr>
            <w:tcW w:w="693" w:type="pct"/>
            <w:tcBorders>
              <w:top w:val="nil"/>
              <w:left w:val="nil"/>
              <w:bottom w:val="nil"/>
              <w:right w:val="nil"/>
            </w:tcBorders>
            <w:tcMar>
              <w:top w:w="-1" w:type="dxa"/>
              <w:left w:w="-1" w:type="dxa"/>
              <w:bottom w:w="-1" w:type="dxa"/>
              <w:right w:w="-1" w:type="dxa"/>
            </w:tcMar>
            <w:vAlign w:val="center"/>
          </w:tcPr>
          <w:p w14:paraId="5B2016E4" w14:textId="77777777" w:rsidR="006212E9" w:rsidRDefault="00000000">
            <w:pPr>
              <w:widowControl/>
              <w:snapToGrid w:val="0"/>
              <w:jc w:val="center"/>
              <w:rPr>
                <w:rFonts w:ascii="Times New Roman" w:eastAsia="sans-serif" w:hAnsi="Times New Roman" w:cs="Times New Roman"/>
                <w:bCs/>
              </w:rPr>
            </w:pPr>
            <w:r>
              <w:rPr>
                <w:rFonts w:ascii="Times New Roman" w:eastAsia="sans-serif" w:hAnsi="Times New Roman" w:cs="Times New Roman"/>
                <w:bCs/>
                <w:color w:val="1F1F1F"/>
                <w:kern w:val="0"/>
                <w:szCs w:val="21"/>
                <w:lang w:bidi="ar"/>
              </w:rPr>
              <w:t>OR (95% CI)</w:t>
            </w:r>
          </w:p>
        </w:tc>
        <w:tc>
          <w:tcPr>
            <w:tcW w:w="491" w:type="pct"/>
            <w:tcBorders>
              <w:top w:val="nil"/>
              <w:left w:val="nil"/>
              <w:bottom w:val="nil"/>
              <w:right w:val="nil"/>
            </w:tcBorders>
            <w:tcMar>
              <w:top w:w="-1" w:type="dxa"/>
              <w:left w:w="-1" w:type="dxa"/>
              <w:bottom w:w="-1" w:type="dxa"/>
              <w:right w:w="-1" w:type="dxa"/>
            </w:tcMar>
            <w:vAlign w:val="center"/>
          </w:tcPr>
          <w:p w14:paraId="791B03A3" w14:textId="77777777" w:rsidR="006212E9" w:rsidRDefault="006212E9">
            <w:pPr>
              <w:snapToGrid w:val="0"/>
              <w:jc w:val="center"/>
              <w:rPr>
                <w:rFonts w:ascii="Times New Roman" w:eastAsia="sans-serif" w:hAnsi="Times New Roman" w:cs="Times New Roman"/>
                <w:bCs/>
              </w:rPr>
            </w:pPr>
          </w:p>
        </w:tc>
        <w:tc>
          <w:tcPr>
            <w:tcW w:w="797" w:type="pct"/>
            <w:tcBorders>
              <w:top w:val="nil"/>
              <w:left w:val="nil"/>
              <w:bottom w:val="nil"/>
              <w:right w:val="nil"/>
            </w:tcBorders>
            <w:tcMar>
              <w:top w:w="-1" w:type="dxa"/>
              <w:left w:w="-1" w:type="dxa"/>
              <w:bottom w:w="-1" w:type="dxa"/>
              <w:right w:w="-1" w:type="dxa"/>
            </w:tcMar>
            <w:vAlign w:val="center"/>
          </w:tcPr>
          <w:p w14:paraId="1C678A1D" w14:textId="77777777" w:rsidR="006212E9" w:rsidRDefault="00000000">
            <w:pPr>
              <w:widowControl/>
              <w:snapToGrid w:val="0"/>
              <w:jc w:val="center"/>
              <w:rPr>
                <w:rFonts w:ascii="Times New Roman" w:eastAsia="sans-serif" w:hAnsi="Times New Roman" w:cs="Times New Roman"/>
                <w:bCs/>
              </w:rPr>
            </w:pPr>
            <w:r>
              <w:rPr>
                <w:rFonts w:ascii="Times New Roman" w:eastAsia="sans-serif" w:hAnsi="Times New Roman" w:cs="Times New Roman"/>
                <w:bCs/>
                <w:color w:val="1F1F1F"/>
                <w:kern w:val="0"/>
                <w:szCs w:val="21"/>
                <w:lang w:bidi="ar"/>
              </w:rPr>
              <w:t>OR (95% CI)</w:t>
            </w:r>
          </w:p>
        </w:tc>
        <w:tc>
          <w:tcPr>
            <w:tcW w:w="529" w:type="pct"/>
            <w:tcBorders>
              <w:top w:val="nil"/>
              <w:left w:val="nil"/>
              <w:bottom w:val="nil"/>
              <w:right w:val="nil"/>
            </w:tcBorders>
            <w:tcMar>
              <w:top w:w="-1" w:type="dxa"/>
              <w:left w:w="-1" w:type="dxa"/>
              <w:bottom w:w="-1" w:type="dxa"/>
              <w:right w:w="-1" w:type="dxa"/>
            </w:tcMar>
            <w:vAlign w:val="center"/>
          </w:tcPr>
          <w:p w14:paraId="4B2A44CA" w14:textId="77777777" w:rsidR="006212E9" w:rsidRDefault="006212E9">
            <w:pPr>
              <w:snapToGrid w:val="0"/>
              <w:jc w:val="center"/>
              <w:rPr>
                <w:rFonts w:ascii="Times New Roman" w:eastAsia="sans-serif" w:hAnsi="Times New Roman" w:cs="Times New Roman"/>
                <w:bCs/>
              </w:rPr>
            </w:pPr>
          </w:p>
        </w:tc>
        <w:tc>
          <w:tcPr>
            <w:tcW w:w="786" w:type="pct"/>
            <w:tcBorders>
              <w:top w:val="nil"/>
              <w:left w:val="nil"/>
              <w:bottom w:val="nil"/>
              <w:right w:val="nil"/>
            </w:tcBorders>
            <w:tcMar>
              <w:top w:w="-1" w:type="dxa"/>
              <w:left w:w="-1" w:type="dxa"/>
              <w:bottom w:w="-1" w:type="dxa"/>
              <w:right w:w="-1" w:type="dxa"/>
            </w:tcMar>
            <w:vAlign w:val="center"/>
          </w:tcPr>
          <w:p w14:paraId="2F9DD373" w14:textId="77777777" w:rsidR="006212E9" w:rsidRDefault="00000000">
            <w:pPr>
              <w:widowControl/>
              <w:snapToGrid w:val="0"/>
              <w:jc w:val="center"/>
              <w:rPr>
                <w:rFonts w:ascii="Times New Roman" w:eastAsia="sans-serif" w:hAnsi="Times New Roman" w:cs="Times New Roman"/>
                <w:bCs/>
              </w:rPr>
            </w:pPr>
            <w:r>
              <w:rPr>
                <w:rFonts w:ascii="Times New Roman" w:eastAsia="sans-serif" w:hAnsi="Times New Roman" w:cs="Times New Roman"/>
                <w:bCs/>
                <w:color w:val="1F1F1F"/>
                <w:kern w:val="0"/>
                <w:szCs w:val="21"/>
                <w:lang w:bidi="ar"/>
              </w:rPr>
              <w:t>OR (95% CI)</w:t>
            </w:r>
          </w:p>
        </w:tc>
        <w:tc>
          <w:tcPr>
            <w:tcW w:w="492" w:type="pct"/>
            <w:tcBorders>
              <w:top w:val="nil"/>
              <w:left w:val="nil"/>
              <w:bottom w:val="nil"/>
              <w:right w:val="nil"/>
            </w:tcBorders>
            <w:tcMar>
              <w:top w:w="-1" w:type="dxa"/>
              <w:left w:w="-1" w:type="dxa"/>
              <w:bottom w:w="-1" w:type="dxa"/>
              <w:right w:w="-1" w:type="dxa"/>
            </w:tcMar>
            <w:vAlign w:val="center"/>
          </w:tcPr>
          <w:p w14:paraId="54C5A2FD" w14:textId="77777777" w:rsidR="006212E9" w:rsidRDefault="006212E9">
            <w:pPr>
              <w:snapToGrid w:val="0"/>
              <w:jc w:val="center"/>
              <w:rPr>
                <w:rFonts w:ascii="Times New Roman" w:eastAsia="sans-serif" w:hAnsi="Times New Roman" w:cs="Times New Roman"/>
                <w:bCs/>
              </w:rPr>
            </w:pPr>
          </w:p>
        </w:tc>
      </w:tr>
      <w:tr w:rsidR="006212E9" w14:paraId="58F0EA9A" w14:textId="77777777">
        <w:trPr>
          <w:jc w:val="center"/>
        </w:trPr>
        <w:tc>
          <w:tcPr>
            <w:tcW w:w="1208" w:type="pct"/>
            <w:tcBorders>
              <w:top w:val="single" w:sz="4" w:space="0" w:color="auto"/>
              <w:left w:val="nil"/>
              <w:bottom w:val="nil"/>
              <w:right w:val="nil"/>
            </w:tcBorders>
            <w:tcMar>
              <w:top w:w="-1" w:type="dxa"/>
              <w:left w:w="-1" w:type="dxa"/>
              <w:bottom w:w="-1" w:type="dxa"/>
              <w:right w:w="-1" w:type="dxa"/>
            </w:tcMar>
            <w:vAlign w:val="center"/>
          </w:tcPr>
          <w:p w14:paraId="5F26D452" w14:textId="77777777" w:rsidR="006212E9" w:rsidRDefault="00000000">
            <w:pPr>
              <w:widowControl/>
              <w:snapToGrid w:val="0"/>
              <w:jc w:val="center"/>
              <w:rPr>
                <w:rFonts w:ascii="Times New Roman" w:eastAsia="sans-serif" w:hAnsi="Times New Roman" w:cs="Times New Roman"/>
                <w:bCs/>
              </w:rPr>
            </w:pPr>
            <w:r>
              <w:rPr>
                <w:rFonts w:ascii="Times New Roman" w:eastAsia="sans-serif" w:hAnsi="Times New Roman" w:cs="Times New Roman"/>
                <w:bCs/>
                <w:color w:val="1F1F1F"/>
                <w:kern w:val="0"/>
                <w:szCs w:val="21"/>
                <w:lang w:bidi="ar"/>
              </w:rPr>
              <w:t>Low RC / Low CRP</w:t>
            </w:r>
          </w:p>
        </w:tc>
        <w:tc>
          <w:tcPr>
            <w:tcW w:w="693" w:type="pct"/>
            <w:tcBorders>
              <w:top w:val="single" w:sz="4" w:space="0" w:color="auto"/>
              <w:left w:val="nil"/>
              <w:bottom w:val="nil"/>
              <w:right w:val="nil"/>
            </w:tcBorders>
            <w:tcMar>
              <w:top w:w="-1" w:type="dxa"/>
              <w:left w:w="-1" w:type="dxa"/>
              <w:bottom w:w="-1" w:type="dxa"/>
              <w:right w:w="-1" w:type="dxa"/>
            </w:tcMar>
            <w:vAlign w:val="center"/>
          </w:tcPr>
          <w:p w14:paraId="6FAC3556" w14:textId="77777777" w:rsidR="006212E9" w:rsidRDefault="00000000">
            <w:pPr>
              <w:widowControl/>
              <w:snapToGrid w:val="0"/>
              <w:jc w:val="center"/>
              <w:rPr>
                <w:rFonts w:ascii="Times New Roman" w:eastAsia="sans-serif" w:hAnsi="Times New Roman" w:cs="Times New Roman"/>
                <w:bCs/>
              </w:rPr>
            </w:pPr>
            <w:r>
              <w:rPr>
                <w:rFonts w:ascii="Times New Roman" w:eastAsia="sans-serif" w:hAnsi="Times New Roman" w:cs="Times New Roman"/>
                <w:bCs/>
                <w:color w:val="1F1F1F"/>
                <w:kern w:val="0"/>
                <w:szCs w:val="21"/>
                <w:lang w:bidi="ar"/>
              </w:rPr>
              <w:t>1.00 (Reference)</w:t>
            </w:r>
          </w:p>
        </w:tc>
        <w:tc>
          <w:tcPr>
            <w:tcW w:w="491" w:type="pct"/>
            <w:tcBorders>
              <w:top w:val="single" w:sz="4" w:space="0" w:color="auto"/>
              <w:left w:val="nil"/>
              <w:bottom w:val="nil"/>
              <w:right w:val="nil"/>
            </w:tcBorders>
            <w:tcMar>
              <w:top w:w="-1" w:type="dxa"/>
              <w:left w:w="-1" w:type="dxa"/>
              <w:bottom w:w="-1" w:type="dxa"/>
              <w:right w:w="-1" w:type="dxa"/>
            </w:tcMar>
            <w:vAlign w:val="center"/>
          </w:tcPr>
          <w:p w14:paraId="3C87257E" w14:textId="77777777" w:rsidR="006212E9" w:rsidRDefault="00000000">
            <w:pPr>
              <w:widowControl/>
              <w:snapToGrid w:val="0"/>
              <w:jc w:val="center"/>
              <w:rPr>
                <w:rFonts w:ascii="Times New Roman" w:eastAsia="sans-serif" w:hAnsi="Times New Roman" w:cs="Times New Roman"/>
                <w:bCs/>
              </w:rPr>
            </w:pPr>
            <w:r>
              <w:rPr>
                <w:rFonts w:ascii="Times New Roman" w:eastAsia="sans-serif" w:hAnsi="Times New Roman" w:cs="Times New Roman"/>
                <w:bCs/>
                <w:color w:val="1F1F1F"/>
                <w:kern w:val="0"/>
                <w:szCs w:val="21"/>
                <w:lang w:bidi="ar"/>
              </w:rPr>
              <w:t>—</w:t>
            </w:r>
          </w:p>
        </w:tc>
        <w:tc>
          <w:tcPr>
            <w:tcW w:w="797" w:type="pct"/>
            <w:tcBorders>
              <w:top w:val="single" w:sz="4" w:space="0" w:color="auto"/>
              <w:left w:val="nil"/>
              <w:bottom w:val="nil"/>
              <w:right w:val="nil"/>
            </w:tcBorders>
            <w:tcMar>
              <w:top w:w="-1" w:type="dxa"/>
              <w:left w:w="-1" w:type="dxa"/>
              <w:bottom w:w="-1" w:type="dxa"/>
              <w:right w:w="-1" w:type="dxa"/>
            </w:tcMar>
            <w:vAlign w:val="center"/>
          </w:tcPr>
          <w:p w14:paraId="27B6395A" w14:textId="77777777" w:rsidR="006212E9" w:rsidRDefault="00000000">
            <w:pPr>
              <w:widowControl/>
              <w:snapToGrid w:val="0"/>
              <w:jc w:val="center"/>
              <w:rPr>
                <w:rFonts w:ascii="Times New Roman" w:eastAsia="sans-serif" w:hAnsi="Times New Roman" w:cs="Times New Roman"/>
                <w:bCs/>
              </w:rPr>
            </w:pPr>
            <w:r>
              <w:rPr>
                <w:rFonts w:ascii="Times New Roman" w:eastAsia="sans-serif" w:hAnsi="Times New Roman" w:cs="Times New Roman"/>
                <w:bCs/>
                <w:color w:val="1F1F1F"/>
                <w:kern w:val="0"/>
                <w:szCs w:val="21"/>
                <w:lang w:bidi="ar"/>
              </w:rPr>
              <w:t>1.00 (Reference)</w:t>
            </w:r>
          </w:p>
        </w:tc>
        <w:tc>
          <w:tcPr>
            <w:tcW w:w="529" w:type="pct"/>
            <w:tcBorders>
              <w:top w:val="single" w:sz="4" w:space="0" w:color="auto"/>
              <w:left w:val="nil"/>
              <w:bottom w:val="nil"/>
              <w:right w:val="nil"/>
            </w:tcBorders>
            <w:tcMar>
              <w:top w:w="-1" w:type="dxa"/>
              <w:left w:w="-1" w:type="dxa"/>
              <w:bottom w:w="-1" w:type="dxa"/>
              <w:right w:w="-1" w:type="dxa"/>
            </w:tcMar>
            <w:vAlign w:val="center"/>
          </w:tcPr>
          <w:p w14:paraId="14C2FEB9" w14:textId="77777777" w:rsidR="006212E9" w:rsidRDefault="00000000">
            <w:pPr>
              <w:widowControl/>
              <w:snapToGrid w:val="0"/>
              <w:jc w:val="center"/>
              <w:rPr>
                <w:rFonts w:ascii="Times New Roman" w:eastAsia="sans-serif" w:hAnsi="Times New Roman" w:cs="Times New Roman"/>
                <w:bCs/>
              </w:rPr>
            </w:pPr>
            <w:r>
              <w:rPr>
                <w:rFonts w:ascii="Times New Roman" w:eastAsia="sans-serif" w:hAnsi="Times New Roman" w:cs="Times New Roman"/>
                <w:bCs/>
                <w:color w:val="1F1F1F"/>
                <w:kern w:val="0"/>
                <w:szCs w:val="21"/>
                <w:lang w:bidi="ar"/>
              </w:rPr>
              <w:t>—</w:t>
            </w:r>
          </w:p>
        </w:tc>
        <w:tc>
          <w:tcPr>
            <w:tcW w:w="786" w:type="pct"/>
            <w:tcBorders>
              <w:top w:val="single" w:sz="4" w:space="0" w:color="auto"/>
              <w:left w:val="nil"/>
              <w:bottom w:val="nil"/>
              <w:right w:val="nil"/>
            </w:tcBorders>
            <w:tcMar>
              <w:top w:w="-1" w:type="dxa"/>
              <w:left w:w="-1" w:type="dxa"/>
              <w:bottom w:w="-1" w:type="dxa"/>
              <w:right w:w="-1" w:type="dxa"/>
            </w:tcMar>
            <w:vAlign w:val="center"/>
          </w:tcPr>
          <w:p w14:paraId="17B2CE8F" w14:textId="77777777" w:rsidR="006212E9" w:rsidRDefault="00000000">
            <w:pPr>
              <w:widowControl/>
              <w:snapToGrid w:val="0"/>
              <w:jc w:val="center"/>
              <w:rPr>
                <w:rFonts w:ascii="Times New Roman" w:eastAsia="sans-serif" w:hAnsi="Times New Roman" w:cs="Times New Roman"/>
                <w:bCs/>
              </w:rPr>
            </w:pPr>
            <w:r>
              <w:rPr>
                <w:rFonts w:ascii="Times New Roman" w:eastAsia="sans-serif" w:hAnsi="Times New Roman" w:cs="Times New Roman"/>
                <w:bCs/>
                <w:color w:val="1F1F1F"/>
                <w:kern w:val="0"/>
                <w:szCs w:val="21"/>
                <w:lang w:bidi="ar"/>
              </w:rPr>
              <w:t>1.00 (Reference)</w:t>
            </w:r>
          </w:p>
        </w:tc>
        <w:tc>
          <w:tcPr>
            <w:tcW w:w="492" w:type="pct"/>
            <w:tcBorders>
              <w:top w:val="single" w:sz="4" w:space="0" w:color="auto"/>
              <w:left w:val="nil"/>
              <w:bottom w:val="nil"/>
              <w:right w:val="nil"/>
            </w:tcBorders>
            <w:tcMar>
              <w:top w:w="-1" w:type="dxa"/>
              <w:left w:w="-1" w:type="dxa"/>
              <w:bottom w:w="-1" w:type="dxa"/>
              <w:right w:w="-1" w:type="dxa"/>
            </w:tcMar>
            <w:vAlign w:val="center"/>
          </w:tcPr>
          <w:p w14:paraId="41AB0523" w14:textId="77777777" w:rsidR="006212E9" w:rsidRDefault="00000000">
            <w:pPr>
              <w:widowControl/>
              <w:snapToGrid w:val="0"/>
              <w:jc w:val="center"/>
              <w:rPr>
                <w:rFonts w:ascii="Times New Roman" w:eastAsia="sans-serif" w:hAnsi="Times New Roman" w:cs="Times New Roman"/>
                <w:bCs/>
              </w:rPr>
            </w:pPr>
            <w:r>
              <w:rPr>
                <w:rFonts w:ascii="Times New Roman" w:eastAsia="sans-serif" w:hAnsi="Times New Roman" w:cs="Times New Roman"/>
                <w:bCs/>
                <w:color w:val="1F1F1F"/>
                <w:kern w:val="0"/>
                <w:szCs w:val="21"/>
                <w:lang w:bidi="ar"/>
              </w:rPr>
              <w:t>—</w:t>
            </w:r>
          </w:p>
        </w:tc>
      </w:tr>
      <w:tr w:rsidR="006212E9" w14:paraId="5C1007E6" w14:textId="77777777">
        <w:trPr>
          <w:jc w:val="center"/>
        </w:trPr>
        <w:tc>
          <w:tcPr>
            <w:tcW w:w="1208" w:type="pct"/>
            <w:tcBorders>
              <w:top w:val="nil"/>
              <w:left w:val="nil"/>
              <w:bottom w:val="nil"/>
              <w:right w:val="nil"/>
            </w:tcBorders>
            <w:tcMar>
              <w:top w:w="-1" w:type="dxa"/>
              <w:left w:w="-1" w:type="dxa"/>
              <w:bottom w:w="-1" w:type="dxa"/>
              <w:right w:w="-1" w:type="dxa"/>
            </w:tcMar>
            <w:vAlign w:val="center"/>
          </w:tcPr>
          <w:p w14:paraId="2D64FC73" w14:textId="77777777" w:rsidR="006212E9" w:rsidRDefault="00000000">
            <w:pPr>
              <w:widowControl/>
              <w:snapToGrid w:val="0"/>
              <w:jc w:val="center"/>
              <w:rPr>
                <w:rFonts w:ascii="Times New Roman" w:eastAsia="sans-serif" w:hAnsi="Times New Roman" w:cs="Times New Roman"/>
                <w:bCs/>
              </w:rPr>
            </w:pPr>
            <w:r>
              <w:rPr>
                <w:rFonts w:ascii="Times New Roman" w:eastAsia="sans-serif" w:hAnsi="Times New Roman" w:cs="Times New Roman"/>
                <w:bCs/>
                <w:color w:val="1F1F1F"/>
                <w:kern w:val="0"/>
                <w:szCs w:val="21"/>
                <w:lang w:bidi="ar"/>
              </w:rPr>
              <w:t>High RC / Low CRP</w:t>
            </w:r>
          </w:p>
        </w:tc>
        <w:tc>
          <w:tcPr>
            <w:tcW w:w="693" w:type="pct"/>
            <w:tcBorders>
              <w:top w:val="nil"/>
              <w:left w:val="nil"/>
              <w:bottom w:val="nil"/>
              <w:right w:val="nil"/>
            </w:tcBorders>
            <w:tcMar>
              <w:top w:w="-1" w:type="dxa"/>
              <w:left w:w="-1" w:type="dxa"/>
              <w:bottom w:w="-1" w:type="dxa"/>
              <w:right w:w="-1" w:type="dxa"/>
            </w:tcMar>
            <w:vAlign w:val="center"/>
          </w:tcPr>
          <w:p w14:paraId="16358DD7" w14:textId="77777777" w:rsidR="006212E9" w:rsidRDefault="00000000">
            <w:pPr>
              <w:widowControl/>
              <w:snapToGrid w:val="0"/>
              <w:jc w:val="center"/>
              <w:rPr>
                <w:rFonts w:ascii="Times New Roman" w:eastAsia="sans-serif" w:hAnsi="Times New Roman" w:cs="Times New Roman"/>
                <w:bCs/>
              </w:rPr>
            </w:pPr>
            <w:r>
              <w:rPr>
                <w:rFonts w:ascii="Times New Roman" w:eastAsia="sans-serif" w:hAnsi="Times New Roman" w:cs="Times New Roman"/>
                <w:bCs/>
                <w:color w:val="1F1F1F"/>
                <w:kern w:val="0"/>
                <w:szCs w:val="21"/>
                <w:lang w:bidi="ar"/>
              </w:rPr>
              <w:t>1.46 (1.27–1.67)</w:t>
            </w:r>
          </w:p>
        </w:tc>
        <w:tc>
          <w:tcPr>
            <w:tcW w:w="491" w:type="pct"/>
            <w:tcBorders>
              <w:top w:val="nil"/>
              <w:left w:val="nil"/>
              <w:bottom w:val="nil"/>
              <w:right w:val="nil"/>
            </w:tcBorders>
            <w:tcMar>
              <w:top w:w="-1" w:type="dxa"/>
              <w:left w:w="-1" w:type="dxa"/>
              <w:bottom w:w="-1" w:type="dxa"/>
              <w:right w:w="-1" w:type="dxa"/>
            </w:tcMar>
            <w:vAlign w:val="center"/>
          </w:tcPr>
          <w:p w14:paraId="1F8F1E37" w14:textId="77777777" w:rsidR="006212E9" w:rsidRDefault="00000000">
            <w:pPr>
              <w:widowControl/>
              <w:snapToGrid w:val="0"/>
              <w:jc w:val="center"/>
              <w:rPr>
                <w:rFonts w:ascii="Times New Roman" w:eastAsia="sans-serif" w:hAnsi="Times New Roman" w:cs="Times New Roman"/>
                <w:bCs/>
              </w:rPr>
            </w:pPr>
            <w:r>
              <w:rPr>
                <w:rFonts w:ascii="Times New Roman" w:eastAsia="sans-serif" w:hAnsi="Times New Roman" w:cs="Times New Roman"/>
                <w:bCs/>
                <w:color w:val="1F1F1F"/>
                <w:kern w:val="0"/>
                <w:szCs w:val="21"/>
                <w:lang w:bidi="ar"/>
              </w:rPr>
              <w:t>&lt; 0.001</w:t>
            </w:r>
          </w:p>
        </w:tc>
        <w:tc>
          <w:tcPr>
            <w:tcW w:w="797" w:type="pct"/>
            <w:tcBorders>
              <w:top w:val="nil"/>
              <w:left w:val="nil"/>
              <w:bottom w:val="nil"/>
              <w:right w:val="nil"/>
            </w:tcBorders>
            <w:tcMar>
              <w:top w:w="-1" w:type="dxa"/>
              <w:left w:w="-1" w:type="dxa"/>
              <w:bottom w:w="-1" w:type="dxa"/>
              <w:right w:w="-1" w:type="dxa"/>
            </w:tcMar>
            <w:vAlign w:val="center"/>
          </w:tcPr>
          <w:p w14:paraId="5086E4CB" w14:textId="77777777" w:rsidR="006212E9" w:rsidRDefault="00000000">
            <w:pPr>
              <w:widowControl/>
              <w:snapToGrid w:val="0"/>
              <w:jc w:val="center"/>
              <w:rPr>
                <w:rFonts w:ascii="Times New Roman" w:eastAsia="sans-serif" w:hAnsi="Times New Roman" w:cs="Times New Roman"/>
                <w:bCs/>
              </w:rPr>
            </w:pPr>
            <w:r>
              <w:rPr>
                <w:rFonts w:ascii="Times New Roman" w:eastAsia="sans-serif" w:hAnsi="Times New Roman" w:cs="Times New Roman"/>
                <w:bCs/>
                <w:color w:val="1F1F1F"/>
                <w:kern w:val="0"/>
                <w:szCs w:val="21"/>
                <w:lang w:bidi="ar"/>
              </w:rPr>
              <w:t>1.47 (1.28–1.68)</w:t>
            </w:r>
          </w:p>
        </w:tc>
        <w:tc>
          <w:tcPr>
            <w:tcW w:w="529" w:type="pct"/>
            <w:tcBorders>
              <w:top w:val="nil"/>
              <w:left w:val="nil"/>
              <w:bottom w:val="nil"/>
              <w:right w:val="nil"/>
            </w:tcBorders>
            <w:tcMar>
              <w:top w:w="-1" w:type="dxa"/>
              <w:left w:w="-1" w:type="dxa"/>
              <w:bottom w:w="-1" w:type="dxa"/>
              <w:right w:w="-1" w:type="dxa"/>
            </w:tcMar>
            <w:vAlign w:val="center"/>
          </w:tcPr>
          <w:p w14:paraId="62041E27" w14:textId="77777777" w:rsidR="006212E9" w:rsidRDefault="00000000">
            <w:pPr>
              <w:widowControl/>
              <w:snapToGrid w:val="0"/>
              <w:jc w:val="center"/>
              <w:rPr>
                <w:rFonts w:ascii="Times New Roman" w:eastAsia="sans-serif" w:hAnsi="Times New Roman" w:cs="Times New Roman"/>
                <w:bCs/>
              </w:rPr>
            </w:pPr>
            <w:r>
              <w:rPr>
                <w:rFonts w:ascii="Times New Roman" w:eastAsia="sans-serif" w:hAnsi="Times New Roman" w:cs="Times New Roman"/>
                <w:bCs/>
                <w:color w:val="1F1F1F"/>
                <w:kern w:val="0"/>
                <w:szCs w:val="21"/>
                <w:lang w:bidi="ar"/>
              </w:rPr>
              <w:t>&lt; 0.001</w:t>
            </w:r>
          </w:p>
        </w:tc>
        <w:tc>
          <w:tcPr>
            <w:tcW w:w="786" w:type="pct"/>
            <w:tcBorders>
              <w:top w:val="nil"/>
              <w:left w:val="nil"/>
              <w:bottom w:val="nil"/>
              <w:right w:val="nil"/>
            </w:tcBorders>
            <w:tcMar>
              <w:top w:w="-1" w:type="dxa"/>
              <w:left w:w="-1" w:type="dxa"/>
              <w:bottom w:w="-1" w:type="dxa"/>
              <w:right w:w="-1" w:type="dxa"/>
            </w:tcMar>
            <w:vAlign w:val="center"/>
          </w:tcPr>
          <w:p w14:paraId="5305B946" w14:textId="77777777" w:rsidR="006212E9" w:rsidRDefault="00000000">
            <w:pPr>
              <w:widowControl/>
              <w:snapToGrid w:val="0"/>
              <w:jc w:val="center"/>
              <w:rPr>
                <w:rFonts w:ascii="Times New Roman" w:eastAsia="sans-serif" w:hAnsi="Times New Roman" w:cs="Times New Roman"/>
                <w:bCs/>
              </w:rPr>
            </w:pPr>
            <w:r>
              <w:rPr>
                <w:rFonts w:ascii="Times New Roman" w:eastAsia="sans-serif" w:hAnsi="Times New Roman" w:cs="Times New Roman"/>
                <w:bCs/>
                <w:color w:val="1F1F1F"/>
                <w:kern w:val="0"/>
                <w:szCs w:val="21"/>
                <w:lang w:bidi="ar"/>
              </w:rPr>
              <w:t>1.32 (1.14–1.52)</w:t>
            </w:r>
          </w:p>
        </w:tc>
        <w:tc>
          <w:tcPr>
            <w:tcW w:w="492" w:type="pct"/>
            <w:tcBorders>
              <w:top w:val="nil"/>
              <w:left w:val="nil"/>
              <w:bottom w:val="nil"/>
              <w:right w:val="nil"/>
            </w:tcBorders>
            <w:tcMar>
              <w:top w:w="-1" w:type="dxa"/>
              <w:left w:w="-1" w:type="dxa"/>
              <w:bottom w:w="-1" w:type="dxa"/>
              <w:right w:w="-1" w:type="dxa"/>
            </w:tcMar>
            <w:vAlign w:val="center"/>
          </w:tcPr>
          <w:p w14:paraId="1DA19CFB" w14:textId="77777777" w:rsidR="006212E9" w:rsidRDefault="00000000">
            <w:pPr>
              <w:widowControl/>
              <w:snapToGrid w:val="0"/>
              <w:jc w:val="center"/>
              <w:rPr>
                <w:rFonts w:ascii="Times New Roman" w:eastAsia="sans-serif" w:hAnsi="Times New Roman" w:cs="Times New Roman"/>
                <w:bCs/>
              </w:rPr>
            </w:pPr>
            <w:r>
              <w:rPr>
                <w:rFonts w:ascii="Times New Roman" w:eastAsia="sans-serif" w:hAnsi="Times New Roman" w:cs="Times New Roman"/>
                <w:bCs/>
                <w:color w:val="1F1F1F"/>
                <w:kern w:val="0"/>
                <w:szCs w:val="21"/>
                <w:lang w:bidi="ar"/>
              </w:rPr>
              <w:t>&lt; 0.001</w:t>
            </w:r>
          </w:p>
        </w:tc>
      </w:tr>
      <w:tr w:rsidR="006212E9" w14:paraId="2DDD2B4B" w14:textId="77777777">
        <w:trPr>
          <w:jc w:val="center"/>
        </w:trPr>
        <w:tc>
          <w:tcPr>
            <w:tcW w:w="1208" w:type="pct"/>
            <w:tcBorders>
              <w:top w:val="nil"/>
              <w:left w:val="nil"/>
              <w:bottom w:val="nil"/>
              <w:right w:val="nil"/>
            </w:tcBorders>
            <w:tcMar>
              <w:top w:w="-1" w:type="dxa"/>
              <w:left w:w="-1" w:type="dxa"/>
              <w:bottom w:w="-1" w:type="dxa"/>
              <w:right w:w="-1" w:type="dxa"/>
            </w:tcMar>
            <w:vAlign w:val="center"/>
          </w:tcPr>
          <w:p w14:paraId="6E0BDDAA" w14:textId="77777777" w:rsidR="006212E9" w:rsidRDefault="00000000">
            <w:pPr>
              <w:widowControl/>
              <w:snapToGrid w:val="0"/>
              <w:jc w:val="center"/>
              <w:rPr>
                <w:rFonts w:ascii="Times New Roman" w:eastAsia="sans-serif" w:hAnsi="Times New Roman" w:cs="Times New Roman"/>
                <w:bCs/>
              </w:rPr>
            </w:pPr>
            <w:r>
              <w:rPr>
                <w:rFonts w:ascii="Times New Roman" w:eastAsia="sans-serif" w:hAnsi="Times New Roman" w:cs="Times New Roman"/>
                <w:bCs/>
                <w:color w:val="1F1F1F"/>
                <w:kern w:val="0"/>
                <w:szCs w:val="21"/>
                <w:lang w:bidi="ar"/>
              </w:rPr>
              <w:t>Low RC / High CRP</w:t>
            </w:r>
          </w:p>
        </w:tc>
        <w:tc>
          <w:tcPr>
            <w:tcW w:w="693" w:type="pct"/>
            <w:tcBorders>
              <w:top w:val="nil"/>
              <w:left w:val="nil"/>
              <w:bottom w:val="nil"/>
              <w:right w:val="nil"/>
            </w:tcBorders>
            <w:tcMar>
              <w:top w:w="-1" w:type="dxa"/>
              <w:left w:w="-1" w:type="dxa"/>
              <w:bottom w:w="-1" w:type="dxa"/>
              <w:right w:w="-1" w:type="dxa"/>
            </w:tcMar>
            <w:vAlign w:val="center"/>
          </w:tcPr>
          <w:p w14:paraId="5843BE2A" w14:textId="77777777" w:rsidR="006212E9" w:rsidRDefault="00000000">
            <w:pPr>
              <w:widowControl/>
              <w:snapToGrid w:val="0"/>
              <w:jc w:val="center"/>
              <w:rPr>
                <w:rFonts w:ascii="Times New Roman" w:eastAsia="sans-serif" w:hAnsi="Times New Roman" w:cs="Times New Roman"/>
                <w:bCs/>
              </w:rPr>
            </w:pPr>
            <w:r>
              <w:rPr>
                <w:rFonts w:ascii="Times New Roman" w:eastAsia="sans-serif" w:hAnsi="Times New Roman" w:cs="Times New Roman"/>
                <w:bCs/>
                <w:color w:val="1F1F1F"/>
                <w:kern w:val="0"/>
                <w:szCs w:val="21"/>
                <w:lang w:bidi="ar"/>
              </w:rPr>
              <w:t>1.50 (1.25–1.80)</w:t>
            </w:r>
          </w:p>
        </w:tc>
        <w:tc>
          <w:tcPr>
            <w:tcW w:w="491" w:type="pct"/>
            <w:tcBorders>
              <w:top w:val="nil"/>
              <w:left w:val="nil"/>
              <w:bottom w:val="nil"/>
              <w:right w:val="nil"/>
            </w:tcBorders>
            <w:tcMar>
              <w:top w:w="-1" w:type="dxa"/>
              <w:left w:w="-1" w:type="dxa"/>
              <w:bottom w:w="-1" w:type="dxa"/>
              <w:right w:w="-1" w:type="dxa"/>
            </w:tcMar>
            <w:vAlign w:val="center"/>
          </w:tcPr>
          <w:p w14:paraId="39E33164" w14:textId="77777777" w:rsidR="006212E9" w:rsidRDefault="00000000">
            <w:pPr>
              <w:widowControl/>
              <w:snapToGrid w:val="0"/>
              <w:jc w:val="center"/>
              <w:rPr>
                <w:rFonts w:ascii="Times New Roman" w:eastAsia="sans-serif" w:hAnsi="Times New Roman" w:cs="Times New Roman"/>
                <w:bCs/>
              </w:rPr>
            </w:pPr>
            <w:r>
              <w:rPr>
                <w:rFonts w:ascii="Times New Roman" w:eastAsia="sans-serif" w:hAnsi="Times New Roman" w:cs="Times New Roman"/>
                <w:bCs/>
                <w:color w:val="1F1F1F"/>
                <w:kern w:val="0"/>
                <w:szCs w:val="21"/>
                <w:lang w:bidi="ar"/>
              </w:rPr>
              <w:t>&lt; 0.001</w:t>
            </w:r>
          </w:p>
        </w:tc>
        <w:tc>
          <w:tcPr>
            <w:tcW w:w="797" w:type="pct"/>
            <w:tcBorders>
              <w:top w:val="nil"/>
              <w:left w:val="nil"/>
              <w:bottom w:val="nil"/>
              <w:right w:val="nil"/>
            </w:tcBorders>
            <w:tcMar>
              <w:top w:w="-1" w:type="dxa"/>
              <w:left w:w="-1" w:type="dxa"/>
              <w:bottom w:w="-1" w:type="dxa"/>
              <w:right w:w="-1" w:type="dxa"/>
            </w:tcMar>
            <w:vAlign w:val="center"/>
          </w:tcPr>
          <w:p w14:paraId="5BEAA4E4" w14:textId="77777777" w:rsidR="006212E9" w:rsidRDefault="00000000">
            <w:pPr>
              <w:widowControl/>
              <w:snapToGrid w:val="0"/>
              <w:jc w:val="center"/>
              <w:rPr>
                <w:rFonts w:ascii="Times New Roman" w:eastAsia="sans-serif" w:hAnsi="Times New Roman" w:cs="Times New Roman"/>
                <w:bCs/>
              </w:rPr>
            </w:pPr>
            <w:r>
              <w:rPr>
                <w:rFonts w:ascii="Times New Roman" w:eastAsia="sans-serif" w:hAnsi="Times New Roman" w:cs="Times New Roman"/>
                <w:bCs/>
                <w:color w:val="1F1F1F"/>
                <w:kern w:val="0"/>
                <w:szCs w:val="21"/>
                <w:lang w:bidi="ar"/>
              </w:rPr>
              <w:t>1.38 (1.15–1.66)</w:t>
            </w:r>
          </w:p>
        </w:tc>
        <w:tc>
          <w:tcPr>
            <w:tcW w:w="529" w:type="pct"/>
            <w:tcBorders>
              <w:top w:val="nil"/>
              <w:left w:val="nil"/>
              <w:bottom w:val="nil"/>
              <w:right w:val="nil"/>
            </w:tcBorders>
            <w:tcMar>
              <w:top w:w="-1" w:type="dxa"/>
              <w:left w:w="-1" w:type="dxa"/>
              <w:bottom w:w="-1" w:type="dxa"/>
              <w:right w:w="-1" w:type="dxa"/>
            </w:tcMar>
            <w:vAlign w:val="center"/>
          </w:tcPr>
          <w:p w14:paraId="53C49751" w14:textId="77777777" w:rsidR="006212E9" w:rsidRDefault="00000000">
            <w:pPr>
              <w:widowControl/>
              <w:snapToGrid w:val="0"/>
              <w:jc w:val="center"/>
              <w:rPr>
                <w:rFonts w:ascii="Times New Roman" w:eastAsia="sans-serif" w:hAnsi="Times New Roman" w:cs="Times New Roman"/>
                <w:bCs/>
              </w:rPr>
            </w:pPr>
            <w:r>
              <w:rPr>
                <w:rFonts w:ascii="Times New Roman" w:eastAsia="sans-serif" w:hAnsi="Times New Roman" w:cs="Times New Roman"/>
                <w:bCs/>
                <w:color w:val="1F1F1F"/>
                <w:kern w:val="0"/>
                <w:szCs w:val="21"/>
                <w:lang w:bidi="ar"/>
              </w:rPr>
              <w:t>0.001</w:t>
            </w:r>
          </w:p>
        </w:tc>
        <w:tc>
          <w:tcPr>
            <w:tcW w:w="786" w:type="pct"/>
            <w:tcBorders>
              <w:top w:val="nil"/>
              <w:left w:val="nil"/>
              <w:bottom w:val="nil"/>
              <w:right w:val="nil"/>
            </w:tcBorders>
            <w:tcMar>
              <w:top w:w="-1" w:type="dxa"/>
              <w:left w:w="-1" w:type="dxa"/>
              <w:bottom w:w="-1" w:type="dxa"/>
              <w:right w:w="-1" w:type="dxa"/>
            </w:tcMar>
            <w:vAlign w:val="center"/>
          </w:tcPr>
          <w:p w14:paraId="37EDEC1F" w14:textId="77777777" w:rsidR="006212E9" w:rsidRDefault="00000000">
            <w:pPr>
              <w:widowControl/>
              <w:snapToGrid w:val="0"/>
              <w:jc w:val="center"/>
              <w:rPr>
                <w:rFonts w:ascii="Times New Roman" w:eastAsia="sans-serif" w:hAnsi="Times New Roman" w:cs="Times New Roman"/>
                <w:bCs/>
              </w:rPr>
            </w:pPr>
            <w:r>
              <w:rPr>
                <w:rFonts w:ascii="Times New Roman" w:eastAsia="sans-serif" w:hAnsi="Times New Roman" w:cs="Times New Roman"/>
                <w:bCs/>
                <w:color w:val="1F1F1F"/>
                <w:kern w:val="0"/>
                <w:szCs w:val="21"/>
                <w:lang w:bidi="ar"/>
              </w:rPr>
              <w:t>1.29 (1.06–1.56)</w:t>
            </w:r>
          </w:p>
        </w:tc>
        <w:tc>
          <w:tcPr>
            <w:tcW w:w="492" w:type="pct"/>
            <w:tcBorders>
              <w:top w:val="nil"/>
              <w:left w:val="nil"/>
              <w:bottom w:val="nil"/>
              <w:right w:val="nil"/>
            </w:tcBorders>
            <w:tcMar>
              <w:top w:w="-1" w:type="dxa"/>
              <w:left w:w="-1" w:type="dxa"/>
              <w:bottom w:w="-1" w:type="dxa"/>
              <w:right w:w="-1" w:type="dxa"/>
            </w:tcMar>
            <w:vAlign w:val="center"/>
          </w:tcPr>
          <w:p w14:paraId="3D88381B" w14:textId="77777777" w:rsidR="006212E9" w:rsidRDefault="00000000">
            <w:pPr>
              <w:widowControl/>
              <w:snapToGrid w:val="0"/>
              <w:jc w:val="center"/>
              <w:rPr>
                <w:rFonts w:ascii="Times New Roman" w:eastAsia="sans-serif" w:hAnsi="Times New Roman" w:cs="Times New Roman"/>
                <w:bCs/>
              </w:rPr>
            </w:pPr>
            <w:r>
              <w:rPr>
                <w:rFonts w:ascii="Times New Roman" w:eastAsia="sans-serif" w:hAnsi="Times New Roman" w:cs="Times New Roman"/>
                <w:bCs/>
                <w:color w:val="1F1F1F"/>
                <w:kern w:val="0"/>
                <w:szCs w:val="21"/>
                <w:lang w:bidi="ar"/>
              </w:rPr>
              <w:t>0.010</w:t>
            </w:r>
          </w:p>
        </w:tc>
      </w:tr>
      <w:tr w:rsidR="006212E9" w14:paraId="2A00AD6E" w14:textId="77777777">
        <w:trPr>
          <w:jc w:val="center"/>
        </w:trPr>
        <w:tc>
          <w:tcPr>
            <w:tcW w:w="1208" w:type="pct"/>
            <w:tcBorders>
              <w:top w:val="nil"/>
              <w:left w:val="nil"/>
              <w:bottom w:val="single" w:sz="12" w:space="0" w:color="auto"/>
              <w:right w:val="nil"/>
            </w:tcBorders>
            <w:tcMar>
              <w:top w:w="-1" w:type="dxa"/>
              <w:left w:w="-1" w:type="dxa"/>
              <w:bottom w:w="-1" w:type="dxa"/>
              <w:right w:w="-1" w:type="dxa"/>
            </w:tcMar>
            <w:vAlign w:val="center"/>
          </w:tcPr>
          <w:p w14:paraId="18D29AAA" w14:textId="77777777" w:rsidR="006212E9" w:rsidRDefault="00000000">
            <w:pPr>
              <w:widowControl/>
              <w:snapToGrid w:val="0"/>
              <w:jc w:val="center"/>
              <w:rPr>
                <w:rFonts w:ascii="Times New Roman" w:eastAsia="sans-serif" w:hAnsi="Times New Roman" w:cs="Times New Roman"/>
                <w:bCs/>
              </w:rPr>
            </w:pPr>
            <w:r>
              <w:rPr>
                <w:rFonts w:ascii="Times New Roman" w:eastAsia="sans-serif" w:hAnsi="Times New Roman" w:cs="Times New Roman"/>
                <w:bCs/>
                <w:color w:val="1F1F1F"/>
                <w:kern w:val="0"/>
                <w:szCs w:val="21"/>
                <w:lang w:bidi="ar"/>
              </w:rPr>
              <w:t>High RC / High CRP</w:t>
            </w:r>
          </w:p>
        </w:tc>
        <w:tc>
          <w:tcPr>
            <w:tcW w:w="693" w:type="pct"/>
            <w:tcBorders>
              <w:top w:val="nil"/>
              <w:left w:val="nil"/>
              <w:bottom w:val="single" w:sz="12" w:space="0" w:color="auto"/>
              <w:right w:val="nil"/>
            </w:tcBorders>
            <w:tcMar>
              <w:top w:w="-1" w:type="dxa"/>
              <w:left w:w="-1" w:type="dxa"/>
              <w:bottom w:w="-1" w:type="dxa"/>
              <w:right w:w="-1" w:type="dxa"/>
            </w:tcMar>
            <w:vAlign w:val="center"/>
          </w:tcPr>
          <w:p w14:paraId="62842AFF" w14:textId="77777777" w:rsidR="006212E9" w:rsidRDefault="00000000">
            <w:pPr>
              <w:widowControl/>
              <w:snapToGrid w:val="0"/>
              <w:jc w:val="center"/>
              <w:rPr>
                <w:rFonts w:ascii="Times New Roman" w:eastAsia="sans-serif" w:hAnsi="Times New Roman" w:cs="Times New Roman"/>
                <w:bCs/>
              </w:rPr>
            </w:pPr>
            <w:r>
              <w:rPr>
                <w:rFonts w:ascii="Times New Roman" w:eastAsia="sans-serif" w:hAnsi="Times New Roman" w:cs="Times New Roman"/>
                <w:bCs/>
                <w:color w:val="1F1F1F"/>
                <w:kern w:val="0"/>
                <w:szCs w:val="21"/>
                <w:lang w:bidi="ar"/>
              </w:rPr>
              <w:t>2.29 (1.95–2.69)</w:t>
            </w:r>
          </w:p>
        </w:tc>
        <w:tc>
          <w:tcPr>
            <w:tcW w:w="491" w:type="pct"/>
            <w:tcBorders>
              <w:top w:val="nil"/>
              <w:left w:val="nil"/>
              <w:bottom w:val="single" w:sz="12" w:space="0" w:color="auto"/>
              <w:right w:val="nil"/>
            </w:tcBorders>
            <w:tcMar>
              <w:top w:w="-1" w:type="dxa"/>
              <w:left w:w="-1" w:type="dxa"/>
              <w:bottom w:w="-1" w:type="dxa"/>
              <w:right w:w="-1" w:type="dxa"/>
            </w:tcMar>
            <w:vAlign w:val="center"/>
          </w:tcPr>
          <w:p w14:paraId="03725E2B" w14:textId="77777777" w:rsidR="006212E9" w:rsidRDefault="00000000">
            <w:pPr>
              <w:widowControl/>
              <w:snapToGrid w:val="0"/>
              <w:jc w:val="center"/>
              <w:rPr>
                <w:rFonts w:ascii="Times New Roman" w:eastAsia="sans-serif" w:hAnsi="Times New Roman" w:cs="Times New Roman"/>
                <w:bCs/>
              </w:rPr>
            </w:pPr>
            <w:r>
              <w:rPr>
                <w:rFonts w:ascii="Times New Roman" w:eastAsia="sans-serif" w:hAnsi="Times New Roman" w:cs="Times New Roman"/>
                <w:bCs/>
                <w:color w:val="1F1F1F"/>
                <w:kern w:val="0"/>
                <w:szCs w:val="21"/>
                <w:lang w:bidi="ar"/>
              </w:rPr>
              <w:t>&lt; 0.001</w:t>
            </w:r>
          </w:p>
        </w:tc>
        <w:tc>
          <w:tcPr>
            <w:tcW w:w="797" w:type="pct"/>
            <w:tcBorders>
              <w:top w:val="nil"/>
              <w:left w:val="nil"/>
              <w:bottom w:val="single" w:sz="12" w:space="0" w:color="auto"/>
              <w:right w:val="nil"/>
            </w:tcBorders>
            <w:tcMar>
              <w:top w:w="-1" w:type="dxa"/>
              <w:left w:w="-1" w:type="dxa"/>
              <w:bottom w:w="-1" w:type="dxa"/>
              <w:right w:w="-1" w:type="dxa"/>
            </w:tcMar>
            <w:vAlign w:val="center"/>
          </w:tcPr>
          <w:p w14:paraId="55934FD1" w14:textId="77777777" w:rsidR="006212E9" w:rsidRDefault="00000000">
            <w:pPr>
              <w:widowControl/>
              <w:snapToGrid w:val="0"/>
              <w:jc w:val="center"/>
              <w:rPr>
                <w:rFonts w:ascii="Times New Roman" w:eastAsia="sans-serif" w:hAnsi="Times New Roman" w:cs="Times New Roman"/>
                <w:bCs/>
              </w:rPr>
            </w:pPr>
            <w:r>
              <w:rPr>
                <w:rFonts w:ascii="Times New Roman" w:eastAsia="sans-serif" w:hAnsi="Times New Roman" w:cs="Times New Roman"/>
                <w:bCs/>
                <w:color w:val="1F1F1F"/>
                <w:kern w:val="0"/>
                <w:szCs w:val="21"/>
                <w:lang w:bidi="ar"/>
              </w:rPr>
              <w:t>2.18 (1.85–2.56)</w:t>
            </w:r>
          </w:p>
        </w:tc>
        <w:tc>
          <w:tcPr>
            <w:tcW w:w="529" w:type="pct"/>
            <w:tcBorders>
              <w:top w:val="nil"/>
              <w:left w:val="nil"/>
              <w:bottom w:val="single" w:sz="12" w:space="0" w:color="auto"/>
              <w:right w:val="nil"/>
            </w:tcBorders>
            <w:tcMar>
              <w:top w:w="-1" w:type="dxa"/>
              <w:left w:w="-1" w:type="dxa"/>
              <w:bottom w:w="-1" w:type="dxa"/>
              <w:right w:w="-1" w:type="dxa"/>
            </w:tcMar>
            <w:vAlign w:val="center"/>
          </w:tcPr>
          <w:p w14:paraId="0F69E79C" w14:textId="77777777" w:rsidR="006212E9" w:rsidRDefault="00000000">
            <w:pPr>
              <w:widowControl/>
              <w:snapToGrid w:val="0"/>
              <w:jc w:val="center"/>
              <w:rPr>
                <w:rFonts w:ascii="Times New Roman" w:eastAsia="sans-serif" w:hAnsi="Times New Roman" w:cs="Times New Roman"/>
                <w:bCs/>
              </w:rPr>
            </w:pPr>
            <w:r>
              <w:rPr>
                <w:rFonts w:ascii="Times New Roman" w:eastAsia="sans-serif" w:hAnsi="Times New Roman" w:cs="Times New Roman"/>
                <w:bCs/>
                <w:color w:val="1F1F1F"/>
                <w:kern w:val="0"/>
                <w:szCs w:val="21"/>
                <w:lang w:bidi="ar"/>
              </w:rPr>
              <w:t>&lt; 0.001</w:t>
            </w:r>
          </w:p>
        </w:tc>
        <w:tc>
          <w:tcPr>
            <w:tcW w:w="786" w:type="pct"/>
            <w:tcBorders>
              <w:top w:val="nil"/>
              <w:left w:val="nil"/>
              <w:bottom w:val="single" w:sz="12" w:space="0" w:color="auto"/>
              <w:right w:val="nil"/>
            </w:tcBorders>
            <w:tcMar>
              <w:top w:w="-1" w:type="dxa"/>
              <w:left w:w="-1" w:type="dxa"/>
              <w:bottom w:w="-1" w:type="dxa"/>
              <w:right w:w="-1" w:type="dxa"/>
            </w:tcMar>
            <w:vAlign w:val="center"/>
          </w:tcPr>
          <w:p w14:paraId="6CE7079D" w14:textId="77777777" w:rsidR="006212E9" w:rsidRDefault="00000000">
            <w:pPr>
              <w:widowControl/>
              <w:snapToGrid w:val="0"/>
              <w:jc w:val="center"/>
              <w:rPr>
                <w:rFonts w:ascii="Times New Roman" w:eastAsia="sans-serif" w:hAnsi="Times New Roman" w:cs="Times New Roman"/>
                <w:bCs/>
              </w:rPr>
            </w:pPr>
            <w:r>
              <w:rPr>
                <w:rFonts w:ascii="Times New Roman" w:eastAsia="sans-serif" w:hAnsi="Times New Roman" w:cs="Times New Roman"/>
                <w:bCs/>
                <w:color w:val="1F1F1F"/>
                <w:kern w:val="0"/>
                <w:szCs w:val="21"/>
                <w:lang w:bidi="ar"/>
              </w:rPr>
              <w:t>1.69 (1.42–2.02)</w:t>
            </w:r>
          </w:p>
        </w:tc>
        <w:tc>
          <w:tcPr>
            <w:tcW w:w="492" w:type="pct"/>
            <w:tcBorders>
              <w:top w:val="nil"/>
              <w:left w:val="nil"/>
              <w:bottom w:val="single" w:sz="12" w:space="0" w:color="auto"/>
              <w:right w:val="nil"/>
            </w:tcBorders>
            <w:tcMar>
              <w:top w:w="-1" w:type="dxa"/>
              <w:left w:w="-1" w:type="dxa"/>
              <w:bottom w:w="-1" w:type="dxa"/>
              <w:right w:w="-1" w:type="dxa"/>
            </w:tcMar>
            <w:vAlign w:val="center"/>
          </w:tcPr>
          <w:p w14:paraId="761BF7DC" w14:textId="77777777" w:rsidR="006212E9" w:rsidRDefault="00000000">
            <w:pPr>
              <w:widowControl/>
              <w:snapToGrid w:val="0"/>
              <w:jc w:val="center"/>
              <w:rPr>
                <w:rFonts w:ascii="Times New Roman" w:eastAsia="sans-serif" w:hAnsi="Times New Roman" w:cs="Times New Roman"/>
                <w:bCs/>
              </w:rPr>
            </w:pPr>
            <w:r>
              <w:rPr>
                <w:rFonts w:ascii="Times New Roman" w:eastAsia="sans-serif" w:hAnsi="Times New Roman" w:cs="Times New Roman"/>
                <w:bCs/>
                <w:color w:val="1F1F1F"/>
                <w:kern w:val="0"/>
                <w:szCs w:val="21"/>
                <w:lang w:bidi="ar"/>
              </w:rPr>
              <w:t>&lt; 0.001</w:t>
            </w:r>
          </w:p>
        </w:tc>
      </w:tr>
    </w:tbl>
    <w:p w14:paraId="770A2E33" w14:textId="77777777" w:rsidR="006212E9" w:rsidRDefault="006212E9">
      <w:pPr>
        <w:rPr>
          <w:rFonts w:ascii="Times New Roman" w:hAnsi="Times New Roman" w:cs="Times New Roman"/>
        </w:rPr>
      </w:pPr>
    </w:p>
    <w:p w14:paraId="5C9B412D" w14:textId="77777777" w:rsidR="006212E9" w:rsidRDefault="00000000">
      <w:pPr>
        <w:rPr>
          <w:rFonts w:ascii="Times New Roman" w:hAnsi="Times New Roman" w:cs="Times New Roman"/>
        </w:rPr>
      </w:pPr>
      <w:r>
        <w:rPr>
          <w:rFonts w:ascii="Times New Roman" w:hAnsi="Times New Roman" w:cs="Times New Roman"/>
        </w:rPr>
        <w:t>Note: Data are presented as odds ratios (ORs) and 95% confidence intervals (CIs).</w:t>
      </w:r>
    </w:p>
    <w:p w14:paraId="4B2055DB" w14:textId="77777777" w:rsidR="006212E9" w:rsidRDefault="00000000">
      <w:pPr>
        <w:rPr>
          <w:rFonts w:ascii="Times New Roman" w:hAnsi="Times New Roman" w:cs="Times New Roman"/>
        </w:rPr>
      </w:pPr>
      <w:r>
        <w:rPr>
          <w:rFonts w:ascii="Times New Roman" w:hAnsi="Times New Roman" w:cs="Times New Roman"/>
        </w:rPr>
        <w:t>Model Definitions: Model 1: Crude model, unadjusted.</w:t>
      </w:r>
    </w:p>
    <w:p w14:paraId="328A8BB9" w14:textId="77777777" w:rsidR="006212E9" w:rsidRDefault="00000000">
      <w:pPr>
        <w:rPr>
          <w:rFonts w:ascii="Times New Roman" w:hAnsi="Times New Roman" w:cs="Times New Roman"/>
        </w:rPr>
      </w:pPr>
      <w:r>
        <w:rPr>
          <w:rFonts w:ascii="Times New Roman" w:hAnsi="Times New Roman" w:cs="Times New Roman"/>
        </w:rPr>
        <w:t>Model 2: Adjusted for demographic factors (age and sex).</w:t>
      </w:r>
    </w:p>
    <w:p w14:paraId="081F17E5" w14:textId="77777777" w:rsidR="006212E9" w:rsidRDefault="00000000">
      <w:pPr>
        <w:rPr>
          <w:rFonts w:ascii="Times New Roman" w:hAnsi="Times New Roman" w:cs="Times New Roman"/>
        </w:rPr>
      </w:pPr>
      <w:r>
        <w:rPr>
          <w:rFonts w:ascii="Times New Roman" w:hAnsi="Times New Roman" w:cs="Times New Roman"/>
        </w:rPr>
        <w:t>Model 3: Fully adjusted for age, sex, education, hukou, residence, history of diabetes, heart disease and stroke, smoking status, drinking status, body mass index (BMI), and baseline biochemical markers (blood urea nitrogen, fasting plasma glucose, creatinine, HbA1c, serum uric acid, and cystatin C).</w:t>
      </w:r>
    </w:p>
    <w:p w14:paraId="2BE45DF2" w14:textId="77777777" w:rsidR="006212E9" w:rsidRDefault="00000000">
      <w:pPr>
        <w:rPr>
          <w:rFonts w:ascii="Times New Roman" w:hAnsi="Times New Roman" w:cs="Times New Roman"/>
        </w:rPr>
      </w:pPr>
      <w:r>
        <w:rPr>
          <w:rFonts w:ascii="Times New Roman" w:hAnsi="Times New Roman" w:cs="Times New Roman"/>
        </w:rPr>
        <w:t>Operational Definitions: High RC and High CRP were defined by values</w:t>
      </w:r>
      <w:r>
        <w:rPr>
          <w:rFonts w:ascii="Times New Roman" w:hAnsi="Times New Roman" w:cs="Times New Roman" w:hint="eastAsia"/>
        </w:rPr>
        <w:t xml:space="preserve"> </w:t>
      </w:r>
      <w:r>
        <w:rPr>
          <w:rFonts w:ascii="Times New Roman" w:hAnsi="Times New Roman" w:cs="Times New Roman"/>
        </w:rPr>
        <w:t>≥</w:t>
      </w:r>
      <w:r>
        <w:rPr>
          <w:rFonts w:ascii="Times New Roman" w:hAnsi="Times New Roman" w:cs="Times New Roman" w:hint="eastAsia"/>
        </w:rPr>
        <w:t xml:space="preserve"> </w:t>
      </w:r>
      <w:r>
        <w:rPr>
          <w:rFonts w:ascii="Times New Roman" w:hAnsi="Times New Roman" w:cs="Times New Roman"/>
        </w:rPr>
        <w:t>the population-specific medians, respectively. Participants were categorized into four mutually exclusive groups based on these cut-offs.</w:t>
      </w:r>
    </w:p>
    <w:p w14:paraId="72F4D7C4" w14:textId="77777777" w:rsidR="006212E9" w:rsidRDefault="00000000">
      <w:pPr>
        <w:rPr>
          <w:rFonts w:ascii="Times New Roman" w:hAnsi="Times New Roman" w:cs="Times New Roman"/>
        </w:rPr>
      </w:pPr>
      <w:r>
        <w:rPr>
          <w:rFonts w:ascii="Times New Roman" w:hAnsi="Times New Roman" w:cs="Times New Roman"/>
        </w:rPr>
        <w:t>Abbreviations: RC, remnant cholesterol; CRP, C-reactive protein; OR, odds ratio; CI, confidence interval.</w:t>
      </w:r>
    </w:p>
    <w:p w14:paraId="360665A7" w14:textId="77777777" w:rsidR="006212E9" w:rsidRDefault="006212E9">
      <w:pPr>
        <w:rPr>
          <w:rFonts w:ascii="Times New Roman" w:hAnsi="Times New Roman" w:cs="Times New Roman"/>
        </w:rPr>
      </w:pPr>
    </w:p>
    <w:p w14:paraId="2E767D6D" w14:textId="77777777" w:rsidR="006212E9" w:rsidRDefault="006212E9"/>
    <w:p w14:paraId="14188D16" w14:textId="77777777" w:rsidR="0038117D" w:rsidRDefault="0038117D"/>
    <w:p w14:paraId="6992ABFD" w14:textId="77777777" w:rsidR="0038117D" w:rsidRDefault="0038117D"/>
    <w:p w14:paraId="4A40CB66" w14:textId="77777777" w:rsidR="0038117D" w:rsidRDefault="0038117D"/>
    <w:p w14:paraId="3B87C4F7" w14:textId="77777777" w:rsidR="0038117D" w:rsidRDefault="0038117D"/>
    <w:p w14:paraId="164FB740" w14:textId="77777777" w:rsidR="0038117D" w:rsidRDefault="0038117D"/>
    <w:p w14:paraId="2C089E8D" w14:textId="77777777" w:rsidR="0038117D" w:rsidRDefault="0038117D"/>
    <w:p w14:paraId="4F47E032" w14:textId="77777777" w:rsidR="0038117D" w:rsidRDefault="0038117D">
      <w:pPr>
        <w:rPr>
          <w:rFonts w:hint="eastAsia"/>
        </w:rPr>
      </w:pPr>
    </w:p>
    <w:p w14:paraId="12B69C90" w14:textId="77777777" w:rsidR="006212E9" w:rsidRDefault="00000000">
      <w:pPr>
        <w:rPr>
          <w:rFonts w:ascii="Times New Roman" w:eastAsia="宋体" w:hAnsi="Times New Roman" w:cs="Times New Roman"/>
          <w:b/>
          <w:bCs/>
          <w:sz w:val="24"/>
        </w:rPr>
      </w:pPr>
      <w:r>
        <w:rPr>
          <w:rFonts w:ascii="Times New Roman" w:hAnsi="Times New Roman" w:cs="Times New Roman"/>
          <w:b/>
          <w:bCs/>
        </w:rPr>
        <w:lastRenderedPageBreak/>
        <w:t>Table S3. Incremental discrimination of RCII beyond traditional, Framingham-like, and ASCVD-like risk-factor models for MACE in the UK Biobank cohort</w:t>
      </w:r>
    </w:p>
    <w:p w14:paraId="02A0EB40" w14:textId="77777777" w:rsidR="006212E9" w:rsidRDefault="006212E9">
      <w:pPr>
        <w:rPr>
          <w:rFonts w:ascii="Times New Roman" w:eastAsia="宋体" w:hAnsi="Times New Roman" w:cs="Times New Roman"/>
          <w:sz w:val="24"/>
        </w:rPr>
      </w:pPr>
    </w:p>
    <w:tbl>
      <w:tblPr>
        <w:tblStyle w:val="a6"/>
        <w:tblW w:w="0" w:type="auto"/>
        <w:tblLook w:val="04A0" w:firstRow="1" w:lastRow="0" w:firstColumn="1" w:lastColumn="0" w:noHBand="0" w:noVBand="1"/>
      </w:tblPr>
      <w:tblGrid>
        <w:gridCol w:w="3404"/>
        <w:gridCol w:w="1492"/>
        <w:gridCol w:w="1950"/>
        <w:gridCol w:w="1676"/>
      </w:tblGrid>
      <w:tr w:rsidR="006212E9" w14:paraId="7D9C0FFB" w14:textId="77777777">
        <w:tc>
          <w:tcPr>
            <w:tcW w:w="3404" w:type="dxa"/>
            <w:tcBorders>
              <w:top w:val="single" w:sz="4" w:space="0" w:color="auto"/>
              <w:left w:val="nil"/>
              <w:bottom w:val="single" w:sz="4" w:space="0" w:color="auto"/>
              <w:right w:val="nil"/>
            </w:tcBorders>
            <w:vAlign w:val="center"/>
          </w:tcPr>
          <w:p w14:paraId="726DACCC" w14:textId="77777777" w:rsidR="006212E9" w:rsidRDefault="00000000">
            <w:pPr>
              <w:rPr>
                <w:rFonts w:ascii="Times New Roman" w:eastAsia="宋体" w:hAnsi="Times New Roman" w:cs="Times New Roman"/>
                <w:sz w:val="24"/>
              </w:rPr>
            </w:pPr>
            <w:r>
              <w:rPr>
                <w:rFonts w:ascii="Times New Roman" w:hAnsi="Times New Roman" w:cs="Times New Roman"/>
              </w:rPr>
              <w:t>Model</w:t>
            </w:r>
          </w:p>
        </w:tc>
        <w:tc>
          <w:tcPr>
            <w:tcW w:w="1492" w:type="dxa"/>
            <w:tcBorders>
              <w:top w:val="single" w:sz="4" w:space="0" w:color="auto"/>
              <w:left w:val="nil"/>
              <w:bottom w:val="single" w:sz="4" w:space="0" w:color="auto"/>
              <w:right w:val="nil"/>
            </w:tcBorders>
            <w:vAlign w:val="center"/>
          </w:tcPr>
          <w:p w14:paraId="748AF0F0" w14:textId="77777777" w:rsidR="006212E9" w:rsidRDefault="00000000">
            <w:pPr>
              <w:rPr>
                <w:rFonts w:ascii="Times New Roman" w:eastAsia="宋体" w:hAnsi="Times New Roman" w:cs="Times New Roman"/>
                <w:sz w:val="24"/>
              </w:rPr>
            </w:pPr>
            <w:r>
              <w:rPr>
                <w:rFonts w:ascii="Times New Roman" w:hAnsi="Times New Roman" w:cs="Times New Roman"/>
              </w:rPr>
              <w:t>C-index</w:t>
            </w:r>
          </w:p>
        </w:tc>
        <w:tc>
          <w:tcPr>
            <w:tcW w:w="1950" w:type="dxa"/>
            <w:tcBorders>
              <w:top w:val="single" w:sz="4" w:space="0" w:color="auto"/>
              <w:left w:val="nil"/>
              <w:bottom w:val="single" w:sz="4" w:space="0" w:color="auto"/>
              <w:right w:val="nil"/>
            </w:tcBorders>
            <w:vAlign w:val="center"/>
          </w:tcPr>
          <w:p w14:paraId="114A2E70" w14:textId="77777777" w:rsidR="006212E9" w:rsidRDefault="00000000">
            <w:pPr>
              <w:rPr>
                <w:rFonts w:ascii="Times New Roman" w:eastAsia="宋体" w:hAnsi="Times New Roman" w:cs="Times New Roman"/>
                <w:sz w:val="24"/>
              </w:rPr>
            </w:pPr>
            <w:r>
              <w:rPr>
                <w:rFonts w:ascii="Times New Roman" w:hAnsi="Times New Roman" w:cs="Times New Roman"/>
              </w:rPr>
              <w:t>C-index + RCII</w:t>
            </w:r>
          </w:p>
        </w:tc>
        <w:tc>
          <w:tcPr>
            <w:tcW w:w="1676" w:type="dxa"/>
            <w:tcBorders>
              <w:top w:val="single" w:sz="4" w:space="0" w:color="auto"/>
              <w:left w:val="nil"/>
              <w:bottom w:val="single" w:sz="4" w:space="0" w:color="auto"/>
              <w:right w:val="nil"/>
            </w:tcBorders>
            <w:vAlign w:val="center"/>
          </w:tcPr>
          <w:p w14:paraId="65E42CEB" w14:textId="77777777" w:rsidR="006212E9" w:rsidRDefault="00000000">
            <w:pPr>
              <w:rPr>
                <w:rFonts w:ascii="Times New Roman" w:eastAsia="宋体" w:hAnsi="Times New Roman" w:cs="Times New Roman"/>
                <w:sz w:val="24"/>
              </w:rPr>
            </w:pPr>
            <w:r>
              <w:rPr>
                <w:rFonts w:ascii="Times New Roman" w:hAnsi="Times New Roman" w:cs="Times New Roman"/>
              </w:rPr>
              <w:t>ΔC-index</w:t>
            </w:r>
          </w:p>
        </w:tc>
      </w:tr>
      <w:tr w:rsidR="006212E9" w14:paraId="6B4FD3BC" w14:textId="77777777">
        <w:tc>
          <w:tcPr>
            <w:tcW w:w="3404" w:type="dxa"/>
            <w:tcBorders>
              <w:top w:val="single" w:sz="4" w:space="0" w:color="auto"/>
              <w:left w:val="nil"/>
              <w:bottom w:val="nil"/>
              <w:right w:val="nil"/>
            </w:tcBorders>
            <w:vAlign w:val="center"/>
          </w:tcPr>
          <w:p w14:paraId="671DFD80" w14:textId="77777777" w:rsidR="006212E9" w:rsidRDefault="00000000">
            <w:pPr>
              <w:rPr>
                <w:rFonts w:ascii="Times New Roman" w:eastAsia="宋体" w:hAnsi="Times New Roman" w:cs="Times New Roman"/>
                <w:sz w:val="24"/>
              </w:rPr>
            </w:pPr>
            <w:r>
              <w:rPr>
                <w:rFonts w:ascii="Times New Roman" w:hAnsi="Times New Roman" w:cs="Times New Roman"/>
              </w:rPr>
              <w:t>Traditional model</w:t>
            </w:r>
          </w:p>
        </w:tc>
        <w:tc>
          <w:tcPr>
            <w:tcW w:w="1492" w:type="dxa"/>
            <w:tcBorders>
              <w:top w:val="single" w:sz="4" w:space="0" w:color="auto"/>
              <w:left w:val="nil"/>
              <w:bottom w:val="nil"/>
              <w:right w:val="nil"/>
            </w:tcBorders>
            <w:vAlign w:val="center"/>
          </w:tcPr>
          <w:p w14:paraId="0493184E" w14:textId="77777777" w:rsidR="006212E9" w:rsidRDefault="00000000">
            <w:pPr>
              <w:rPr>
                <w:rFonts w:ascii="Times New Roman" w:eastAsia="宋体" w:hAnsi="Times New Roman" w:cs="Times New Roman"/>
                <w:sz w:val="24"/>
              </w:rPr>
            </w:pPr>
            <w:r>
              <w:rPr>
                <w:rFonts w:ascii="Times New Roman" w:hAnsi="Times New Roman" w:cs="Times New Roman"/>
              </w:rPr>
              <w:t>0.6745</w:t>
            </w:r>
          </w:p>
        </w:tc>
        <w:tc>
          <w:tcPr>
            <w:tcW w:w="1950" w:type="dxa"/>
            <w:tcBorders>
              <w:top w:val="single" w:sz="4" w:space="0" w:color="auto"/>
              <w:left w:val="nil"/>
              <w:bottom w:val="nil"/>
              <w:right w:val="nil"/>
            </w:tcBorders>
            <w:vAlign w:val="center"/>
          </w:tcPr>
          <w:p w14:paraId="1A182508" w14:textId="77777777" w:rsidR="006212E9" w:rsidRDefault="00000000">
            <w:pPr>
              <w:rPr>
                <w:rFonts w:ascii="Times New Roman" w:eastAsia="宋体" w:hAnsi="Times New Roman" w:cs="Times New Roman"/>
                <w:sz w:val="24"/>
              </w:rPr>
            </w:pPr>
            <w:r>
              <w:rPr>
                <w:rFonts w:ascii="Times New Roman" w:hAnsi="Times New Roman" w:cs="Times New Roman"/>
              </w:rPr>
              <w:t>0.6767</w:t>
            </w:r>
          </w:p>
        </w:tc>
        <w:tc>
          <w:tcPr>
            <w:tcW w:w="1676" w:type="dxa"/>
            <w:tcBorders>
              <w:top w:val="single" w:sz="4" w:space="0" w:color="auto"/>
              <w:left w:val="nil"/>
              <w:bottom w:val="nil"/>
              <w:right w:val="nil"/>
            </w:tcBorders>
            <w:vAlign w:val="center"/>
          </w:tcPr>
          <w:p w14:paraId="2B515C54" w14:textId="77777777" w:rsidR="006212E9" w:rsidRDefault="00000000">
            <w:pPr>
              <w:rPr>
                <w:rFonts w:ascii="Times New Roman" w:eastAsia="宋体" w:hAnsi="Times New Roman" w:cs="Times New Roman"/>
                <w:sz w:val="24"/>
              </w:rPr>
            </w:pPr>
            <w:r>
              <w:rPr>
                <w:rFonts w:ascii="Times New Roman" w:hAnsi="Times New Roman" w:cs="Times New Roman"/>
              </w:rPr>
              <w:t>0.0022</w:t>
            </w:r>
          </w:p>
        </w:tc>
      </w:tr>
      <w:tr w:rsidR="006212E9" w14:paraId="289A751B" w14:textId="77777777">
        <w:tc>
          <w:tcPr>
            <w:tcW w:w="3404" w:type="dxa"/>
            <w:tcBorders>
              <w:top w:val="nil"/>
              <w:left w:val="nil"/>
              <w:bottom w:val="nil"/>
              <w:right w:val="nil"/>
            </w:tcBorders>
            <w:vAlign w:val="center"/>
          </w:tcPr>
          <w:p w14:paraId="707ACF9A" w14:textId="77777777" w:rsidR="006212E9" w:rsidRDefault="00000000">
            <w:pPr>
              <w:rPr>
                <w:rFonts w:ascii="Times New Roman" w:eastAsia="宋体" w:hAnsi="Times New Roman" w:cs="Times New Roman"/>
                <w:sz w:val="24"/>
              </w:rPr>
            </w:pPr>
            <w:r>
              <w:rPr>
                <w:rFonts w:ascii="Times New Roman" w:hAnsi="Times New Roman" w:cs="Times New Roman"/>
              </w:rPr>
              <w:t>Framingham-like risk-factor model</w:t>
            </w:r>
          </w:p>
        </w:tc>
        <w:tc>
          <w:tcPr>
            <w:tcW w:w="1492" w:type="dxa"/>
            <w:tcBorders>
              <w:top w:val="nil"/>
              <w:left w:val="nil"/>
              <w:bottom w:val="nil"/>
              <w:right w:val="nil"/>
            </w:tcBorders>
            <w:vAlign w:val="center"/>
          </w:tcPr>
          <w:p w14:paraId="327B2DF9" w14:textId="77777777" w:rsidR="006212E9" w:rsidRDefault="00000000">
            <w:pPr>
              <w:rPr>
                <w:rFonts w:ascii="Times New Roman" w:eastAsia="宋体" w:hAnsi="Times New Roman" w:cs="Times New Roman"/>
                <w:sz w:val="24"/>
              </w:rPr>
            </w:pPr>
            <w:r>
              <w:rPr>
                <w:rFonts w:ascii="Times New Roman" w:hAnsi="Times New Roman" w:cs="Times New Roman"/>
              </w:rPr>
              <w:t>0.6768</w:t>
            </w:r>
          </w:p>
        </w:tc>
        <w:tc>
          <w:tcPr>
            <w:tcW w:w="1950" w:type="dxa"/>
            <w:tcBorders>
              <w:top w:val="nil"/>
              <w:left w:val="nil"/>
              <w:bottom w:val="nil"/>
              <w:right w:val="nil"/>
            </w:tcBorders>
            <w:vAlign w:val="center"/>
          </w:tcPr>
          <w:p w14:paraId="3A9F7A01" w14:textId="77777777" w:rsidR="006212E9" w:rsidRDefault="00000000">
            <w:pPr>
              <w:rPr>
                <w:rFonts w:ascii="Times New Roman" w:eastAsia="宋体" w:hAnsi="Times New Roman" w:cs="Times New Roman"/>
                <w:sz w:val="24"/>
              </w:rPr>
            </w:pPr>
            <w:r>
              <w:rPr>
                <w:rFonts w:ascii="Times New Roman" w:hAnsi="Times New Roman" w:cs="Times New Roman"/>
              </w:rPr>
              <w:t>0.6792</w:t>
            </w:r>
          </w:p>
        </w:tc>
        <w:tc>
          <w:tcPr>
            <w:tcW w:w="1676" w:type="dxa"/>
            <w:tcBorders>
              <w:top w:val="nil"/>
              <w:left w:val="nil"/>
              <w:bottom w:val="nil"/>
              <w:right w:val="nil"/>
            </w:tcBorders>
            <w:vAlign w:val="center"/>
          </w:tcPr>
          <w:p w14:paraId="13185C52" w14:textId="77777777" w:rsidR="006212E9" w:rsidRDefault="00000000">
            <w:pPr>
              <w:rPr>
                <w:rFonts w:ascii="Times New Roman" w:eastAsia="宋体" w:hAnsi="Times New Roman" w:cs="Times New Roman"/>
                <w:sz w:val="24"/>
              </w:rPr>
            </w:pPr>
            <w:r>
              <w:rPr>
                <w:rFonts w:ascii="Times New Roman" w:hAnsi="Times New Roman" w:cs="Times New Roman"/>
              </w:rPr>
              <w:t>0.0024</w:t>
            </w:r>
          </w:p>
        </w:tc>
      </w:tr>
      <w:tr w:rsidR="006212E9" w14:paraId="58F2A42D" w14:textId="77777777">
        <w:tc>
          <w:tcPr>
            <w:tcW w:w="3404" w:type="dxa"/>
            <w:tcBorders>
              <w:top w:val="nil"/>
              <w:left w:val="nil"/>
              <w:bottom w:val="single" w:sz="4" w:space="0" w:color="auto"/>
              <w:right w:val="nil"/>
            </w:tcBorders>
            <w:vAlign w:val="center"/>
          </w:tcPr>
          <w:p w14:paraId="488B52F1" w14:textId="77777777" w:rsidR="006212E9" w:rsidRDefault="00000000">
            <w:pPr>
              <w:rPr>
                <w:rFonts w:ascii="Times New Roman" w:eastAsia="宋体" w:hAnsi="Times New Roman" w:cs="Times New Roman"/>
                <w:sz w:val="24"/>
              </w:rPr>
            </w:pPr>
            <w:r>
              <w:rPr>
                <w:rFonts w:ascii="Times New Roman" w:hAnsi="Times New Roman" w:cs="Times New Roman"/>
              </w:rPr>
              <w:t>ASCVD-like risk-factor model</w:t>
            </w:r>
          </w:p>
        </w:tc>
        <w:tc>
          <w:tcPr>
            <w:tcW w:w="1492" w:type="dxa"/>
            <w:tcBorders>
              <w:top w:val="nil"/>
              <w:left w:val="nil"/>
              <w:bottom w:val="single" w:sz="4" w:space="0" w:color="auto"/>
              <w:right w:val="nil"/>
            </w:tcBorders>
            <w:vAlign w:val="center"/>
          </w:tcPr>
          <w:p w14:paraId="23F9C1FE" w14:textId="77777777" w:rsidR="006212E9" w:rsidRDefault="00000000">
            <w:pPr>
              <w:rPr>
                <w:rFonts w:ascii="Times New Roman" w:eastAsia="宋体" w:hAnsi="Times New Roman" w:cs="Times New Roman"/>
                <w:sz w:val="24"/>
              </w:rPr>
            </w:pPr>
            <w:r>
              <w:rPr>
                <w:rFonts w:ascii="Times New Roman" w:hAnsi="Times New Roman" w:cs="Times New Roman"/>
              </w:rPr>
              <w:t>0.6775</w:t>
            </w:r>
          </w:p>
        </w:tc>
        <w:tc>
          <w:tcPr>
            <w:tcW w:w="1950" w:type="dxa"/>
            <w:tcBorders>
              <w:top w:val="nil"/>
              <w:left w:val="nil"/>
              <w:bottom w:val="single" w:sz="4" w:space="0" w:color="auto"/>
              <w:right w:val="nil"/>
            </w:tcBorders>
            <w:vAlign w:val="center"/>
          </w:tcPr>
          <w:p w14:paraId="3F93E9F7" w14:textId="77777777" w:rsidR="006212E9" w:rsidRDefault="00000000">
            <w:pPr>
              <w:rPr>
                <w:rFonts w:ascii="Times New Roman" w:eastAsia="宋体" w:hAnsi="Times New Roman" w:cs="Times New Roman"/>
                <w:sz w:val="24"/>
              </w:rPr>
            </w:pPr>
            <w:r>
              <w:rPr>
                <w:rFonts w:ascii="Times New Roman" w:hAnsi="Times New Roman" w:cs="Times New Roman"/>
              </w:rPr>
              <w:t>0.6799</w:t>
            </w:r>
          </w:p>
        </w:tc>
        <w:tc>
          <w:tcPr>
            <w:tcW w:w="1676" w:type="dxa"/>
            <w:tcBorders>
              <w:top w:val="nil"/>
              <w:left w:val="nil"/>
              <w:bottom w:val="single" w:sz="4" w:space="0" w:color="auto"/>
              <w:right w:val="nil"/>
            </w:tcBorders>
            <w:vAlign w:val="center"/>
          </w:tcPr>
          <w:p w14:paraId="28838784" w14:textId="77777777" w:rsidR="006212E9" w:rsidRDefault="00000000">
            <w:pPr>
              <w:rPr>
                <w:rFonts w:ascii="Times New Roman" w:eastAsia="宋体" w:hAnsi="Times New Roman" w:cs="Times New Roman"/>
                <w:sz w:val="24"/>
              </w:rPr>
            </w:pPr>
            <w:r>
              <w:rPr>
                <w:rFonts w:ascii="Times New Roman" w:hAnsi="Times New Roman" w:cs="Times New Roman"/>
              </w:rPr>
              <w:t>0.0024</w:t>
            </w:r>
          </w:p>
        </w:tc>
      </w:tr>
    </w:tbl>
    <w:p w14:paraId="6F91284A" w14:textId="77777777" w:rsidR="006212E9" w:rsidRDefault="006212E9">
      <w:pPr>
        <w:rPr>
          <w:rFonts w:ascii="Times New Roman" w:eastAsia="宋体" w:hAnsi="Times New Roman" w:cs="Times New Roman"/>
          <w:sz w:val="24"/>
        </w:rPr>
      </w:pPr>
    </w:p>
    <w:p w14:paraId="2EC385D6" w14:textId="77777777" w:rsidR="006212E9" w:rsidRDefault="006212E9">
      <w:pPr>
        <w:rPr>
          <w:rFonts w:ascii="Times New Roman" w:eastAsia="宋体" w:hAnsi="Times New Roman" w:cs="Times New Roman"/>
          <w:sz w:val="24"/>
        </w:rPr>
      </w:pPr>
    </w:p>
    <w:p w14:paraId="1DF22C66" w14:textId="77777777" w:rsidR="006212E9" w:rsidRDefault="00000000">
      <w:pPr>
        <w:rPr>
          <w:rFonts w:ascii="Times New Roman" w:hAnsi="Times New Roman" w:cs="Times New Roman"/>
        </w:rPr>
      </w:pPr>
      <w:r>
        <w:rPr>
          <w:rFonts w:ascii="Times New Roman" w:hAnsi="Times New Roman" w:cs="Times New Roman"/>
        </w:rPr>
        <w:t>Note: The baseline model included established traditional cardiovascular risk factors: age, sex, body mass index (BMI), smoking status, systolic blood pressure, fasting glucose, and lipid-lowering medication use. The incremental predictive value of adding RCII (as a continuous variable) was evaluated by comparing Harrell’s C-index before and after RCII addition.</w:t>
      </w:r>
    </w:p>
    <w:p w14:paraId="6E9E0DBC" w14:textId="77777777" w:rsidR="006212E9" w:rsidRDefault="006212E9">
      <w:pPr>
        <w:rPr>
          <w:rFonts w:ascii="Times New Roman" w:hAnsi="Times New Roman" w:cs="Times New Roman"/>
        </w:rPr>
      </w:pPr>
    </w:p>
    <w:p w14:paraId="4081C67B" w14:textId="77777777" w:rsidR="006212E9" w:rsidRDefault="006212E9">
      <w:pPr>
        <w:rPr>
          <w:rFonts w:ascii="Times New Roman" w:hAnsi="Times New Roman" w:cs="Times New Roman"/>
        </w:rPr>
      </w:pPr>
    </w:p>
    <w:p w14:paraId="4DA826CA" w14:textId="77777777" w:rsidR="006212E9" w:rsidRDefault="00000000">
      <w:pPr>
        <w:rPr>
          <w:rFonts w:ascii="Times New Roman" w:hAnsi="Times New Roman" w:cs="Times New Roman"/>
          <w:b/>
          <w:bCs/>
        </w:rPr>
      </w:pPr>
      <w:r>
        <w:rPr>
          <w:rFonts w:ascii="Times New Roman" w:hAnsi="Times New Roman" w:cs="Times New Roman"/>
          <w:b/>
          <w:bCs/>
        </w:rPr>
        <w:t>Table S4. Incremental discrimination of RCII beyond traditional, Framingham-like, and ASCVD-like risk-factor models for all-cause mortality in the UK Biobank cohort</w:t>
      </w:r>
    </w:p>
    <w:p w14:paraId="46E4DF83" w14:textId="77777777" w:rsidR="006212E9" w:rsidRDefault="006212E9">
      <w:pPr>
        <w:rPr>
          <w:rFonts w:ascii="Times New Roman" w:hAnsi="Times New Roman" w:cs="Times New Roman"/>
        </w:rPr>
      </w:pPr>
    </w:p>
    <w:tbl>
      <w:tblPr>
        <w:tblStyle w:val="a6"/>
        <w:tblpPr w:leftFromText="180" w:rightFromText="180" w:vertAnchor="text" w:horzAnchor="page" w:tblpX="1968" w:tblpY="289"/>
        <w:tblOverlap w:val="never"/>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29"/>
        <w:gridCol w:w="1487"/>
        <w:gridCol w:w="1698"/>
        <w:gridCol w:w="1547"/>
      </w:tblGrid>
      <w:tr w:rsidR="006212E9" w14:paraId="12259AE6" w14:textId="77777777">
        <w:tc>
          <w:tcPr>
            <w:tcW w:w="3629" w:type="dxa"/>
            <w:tcBorders>
              <w:bottom w:val="single" w:sz="4" w:space="0" w:color="auto"/>
            </w:tcBorders>
            <w:vAlign w:val="center"/>
          </w:tcPr>
          <w:p w14:paraId="555F6D0B" w14:textId="77777777" w:rsidR="006212E9" w:rsidRDefault="00000000">
            <w:pPr>
              <w:rPr>
                <w:rFonts w:ascii="Times New Roman" w:hAnsi="Times New Roman" w:cs="Times New Roman"/>
              </w:rPr>
            </w:pPr>
            <w:r>
              <w:rPr>
                <w:rFonts w:ascii="Times New Roman" w:hAnsi="Times New Roman" w:cs="Times New Roman"/>
              </w:rPr>
              <w:t>Model</w:t>
            </w:r>
          </w:p>
        </w:tc>
        <w:tc>
          <w:tcPr>
            <w:tcW w:w="1487" w:type="dxa"/>
            <w:tcBorders>
              <w:bottom w:val="single" w:sz="4" w:space="0" w:color="auto"/>
            </w:tcBorders>
            <w:vAlign w:val="center"/>
          </w:tcPr>
          <w:p w14:paraId="48E731A3" w14:textId="77777777" w:rsidR="006212E9" w:rsidRDefault="00000000">
            <w:pPr>
              <w:rPr>
                <w:rFonts w:ascii="Times New Roman" w:hAnsi="Times New Roman" w:cs="Times New Roman"/>
              </w:rPr>
            </w:pPr>
            <w:r>
              <w:rPr>
                <w:rFonts w:ascii="Times New Roman" w:hAnsi="Times New Roman" w:cs="Times New Roman"/>
              </w:rPr>
              <w:t>C-index</w:t>
            </w:r>
          </w:p>
        </w:tc>
        <w:tc>
          <w:tcPr>
            <w:tcW w:w="1698" w:type="dxa"/>
            <w:tcBorders>
              <w:bottom w:val="single" w:sz="4" w:space="0" w:color="auto"/>
            </w:tcBorders>
            <w:vAlign w:val="center"/>
          </w:tcPr>
          <w:p w14:paraId="6868109B" w14:textId="77777777" w:rsidR="006212E9" w:rsidRDefault="00000000">
            <w:pPr>
              <w:rPr>
                <w:rFonts w:ascii="Times New Roman" w:hAnsi="Times New Roman" w:cs="Times New Roman"/>
              </w:rPr>
            </w:pPr>
            <w:r>
              <w:rPr>
                <w:rFonts w:ascii="Times New Roman" w:hAnsi="Times New Roman" w:cs="Times New Roman"/>
              </w:rPr>
              <w:t>C-index + RCII</w:t>
            </w:r>
          </w:p>
        </w:tc>
        <w:tc>
          <w:tcPr>
            <w:tcW w:w="1547" w:type="dxa"/>
            <w:tcBorders>
              <w:bottom w:val="single" w:sz="4" w:space="0" w:color="auto"/>
            </w:tcBorders>
            <w:vAlign w:val="center"/>
          </w:tcPr>
          <w:p w14:paraId="7B51F4B4" w14:textId="77777777" w:rsidR="006212E9" w:rsidRDefault="00000000">
            <w:pPr>
              <w:rPr>
                <w:rFonts w:ascii="Times New Roman" w:hAnsi="Times New Roman" w:cs="Times New Roman"/>
              </w:rPr>
            </w:pPr>
            <w:r>
              <w:rPr>
                <w:rFonts w:ascii="Times New Roman" w:hAnsi="Times New Roman" w:cs="Times New Roman"/>
              </w:rPr>
              <w:t>ΔC-index</w:t>
            </w:r>
          </w:p>
        </w:tc>
      </w:tr>
      <w:tr w:rsidR="006212E9" w14:paraId="5779E976" w14:textId="77777777">
        <w:tc>
          <w:tcPr>
            <w:tcW w:w="3629" w:type="dxa"/>
            <w:tcBorders>
              <w:top w:val="single" w:sz="4" w:space="0" w:color="auto"/>
            </w:tcBorders>
            <w:vAlign w:val="center"/>
          </w:tcPr>
          <w:p w14:paraId="47B4269F" w14:textId="77777777" w:rsidR="006212E9" w:rsidRDefault="00000000">
            <w:pPr>
              <w:rPr>
                <w:rFonts w:ascii="Times New Roman" w:hAnsi="Times New Roman" w:cs="Times New Roman"/>
              </w:rPr>
            </w:pPr>
            <w:r>
              <w:rPr>
                <w:rFonts w:ascii="Times New Roman" w:hAnsi="Times New Roman" w:cs="Times New Roman"/>
              </w:rPr>
              <w:t>Traditional model</w:t>
            </w:r>
          </w:p>
        </w:tc>
        <w:tc>
          <w:tcPr>
            <w:tcW w:w="1487" w:type="dxa"/>
            <w:tcBorders>
              <w:top w:val="single" w:sz="4" w:space="0" w:color="auto"/>
            </w:tcBorders>
            <w:vAlign w:val="center"/>
          </w:tcPr>
          <w:p w14:paraId="653A7D06" w14:textId="77777777" w:rsidR="006212E9" w:rsidRDefault="00000000">
            <w:pPr>
              <w:rPr>
                <w:rFonts w:ascii="Times New Roman" w:hAnsi="Times New Roman" w:cs="Times New Roman"/>
              </w:rPr>
            </w:pPr>
            <w:r>
              <w:rPr>
                <w:rFonts w:ascii="Times New Roman" w:hAnsi="Times New Roman" w:cs="Times New Roman"/>
              </w:rPr>
              <w:t>0.7017</w:t>
            </w:r>
          </w:p>
        </w:tc>
        <w:tc>
          <w:tcPr>
            <w:tcW w:w="1698" w:type="dxa"/>
            <w:tcBorders>
              <w:top w:val="single" w:sz="4" w:space="0" w:color="auto"/>
            </w:tcBorders>
            <w:vAlign w:val="center"/>
          </w:tcPr>
          <w:p w14:paraId="0FDB322A" w14:textId="77777777" w:rsidR="006212E9" w:rsidRDefault="00000000">
            <w:pPr>
              <w:rPr>
                <w:rFonts w:ascii="Times New Roman" w:hAnsi="Times New Roman" w:cs="Times New Roman"/>
              </w:rPr>
            </w:pPr>
            <w:r>
              <w:rPr>
                <w:rFonts w:ascii="Times New Roman" w:hAnsi="Times New Roman" w:cs="Times New Roman"/>
              </w:rPr>
              <w:t>0.7030</w:t>
            </w:r>
          </w:p>
        </w:tc>
        <w:tc>
          <w:tcPr>
            <w:tcW w:w="1547" w:type="dxa"/>
            <w:tcBorders>
              <w:top w:val="single" w:sz="4" w:space="0" w:color="auto"/>
            </w:tcBorders>
            <w:vAlign w:val="center"/>
          </w:tcPr>
          <w:p w14:paraId="672026B5" w14:textId="77777777" w:rsidR="006212E9" w:rsidRDefault="00000000">
            <w:pPr>
              <w:rPr>
                <w:rFonts w:ascii="Times New Roman" w:hAnsi="Times New Roman" w:cs="Times New Roman"/>
              </w:rPr>
            </w:pPr>
            <w:r>
              <w:rPr>
                <w:rFonts w:ascii="Times New Roman" w:hAnsi="Times New Roman" w:cs="Times New Roman"/>
              </w:rPr>
              <w:t>0.0014</w:t>
            </w:r>
          </w:p>
        </w:tc>
      </w:tr>
      <w:tr w:rsidR="006212E9" w14:paraId="4BD1E853" w14:textId="77777777">
        <w:tc>
          <w:tcPr>
            <w:tcW w:w="3629" w:type="dxa"/>
            <w:vAlign w:val="center"/>
          </w:tcPr>
          <w:p w14:paraId="7AFE296F" w14:textId="77777777" w:rsidR="006212E9" w:rsidRDefault="00000000">
            <w:pPr>
              <w:rPr>
                <w:rFonts w:ascii="Times New Roman" w:hAnsi="Times New Roman" w:cs="Times New Roman"/>
              </w:rPr>
            </w:pPr>
            <w:r>
              <w:rPr>
                <w:rFonts w:ascii="Times New Roman" w:hAnsi="Times New Roman" w:cs="Times New Roman"/>
              </w:rPr>
              <w:t>Framingham-like</w:t>
            </w:r>
            <w:r>
              <w:rPr>
                <w:rFonts w:ascii="Times New Roman" w:hAnsi="Times New Roman" w:cs="Times New Roman" w:hint="eastAsia"/>
              </w:rPr>
              <w:t xml:space="preserve"> </w:t>
            </w:r>
            <w:r>
              <w:rPr>
                <w:rFonts w:ascii="Times New Roman" w:hAnsi="Times New Roman" w:cs="Times New Roman"/>
              </w:rPr>
              <w:t>risk-factor model</w:t>
            </w:r>
          </w:p>
        </w:tc>
        <w:tc>
          <w:tcPr>
            <w:tcW w:w="1487" w:type="dxa"/>
            <w:vAlign w:val="center"/>
          </w:tcPr>
          <w:p w14:paraId="038871CD" w14:textId="77777777" w:rsidR="006212E9" w:rsidRDefault="00000000">
            <w:pPr>
              <w:rPr>
                <w:rFonts w:ascii="Times New Roman" w:hAnsi="Times New Roman" w:cs="Times New Roman"/>
              </w:rPr>
            </w:pPr>
            <w:r>
              <w:rPr>
                <w:rFonts w:ascii="Times New Roman" w:hAnsi="Times New Roman" w:cs="Times New Roman"/>
              </w:rPr>
              <w:t>0.7004</w:t>
            </w:r>
          </w:p>
        </w:tc>
        <w:tc>
          <w:tcPr>
            <w:tcW w:w="1698" w:type="dxa"/>
            <w:vAlign w:val="center"/>
          </w:tcPr>
          <w:p w14:paraId="24827D4C" w14:textId="77777777" w:rsidR="006212E9" w:rsidRDefault="00000000">
            <w:pPr>
              <w:rPr>
                <w:rFonts w:ascii="Times New Roman" w:hAnsi="Times New Roman" w:cs="Times New Roman"/>
              </w:rPr>
            </w:pPr>
            <w:r>
              <w:rPr>
                <w:rFonts w:ascii="Times New Roman" w:hAnsi="Times New Roman" w:cs="Times New Roman"/>
              </w:rPr>
              <w:t>0.7039</w:t>
            </w:r>
          </w:p>
        </w:tc>
        <w:tc>
          <w:tcPr>
            <w:tcW w:w="1547" w:type="dxa"/>
            <w:vAlign w:val="center"/>
          </w:tcPr>
          <w:p w14:paraId="3D0D8C73" w14:textId="77777777" w:rsidR="006212E9" w:rsidRDefault="00000000">
            <w:pPr>
              <w:rPr>
                <w:rFonts w:ascii="Times New Roman" w:hAnsi="Times New Roman" w:cs="Times New Roman"/>
              </w:rPr>
            </w:pPr>
            <w:r>
              <w:rPr>
                <w:rFonts w:ascii="Times New Roman" w:hAnsi="Times New Roman" w:cs="Times New Roman"/>
              </w:rPr>
              <w:t>0.0034</w:t>
            </w:r>
          </w:p>
        </w:tc>
      </w:tr>
      <w:tr w:rsidR="006212E9" w14:paraId="020443E2" w14:textId="77777777">
        <w:tc>
          <w:tcPr>
            <w:tcW w:w="3629" w:type="dxa"/>
            <w:vAlign w:val="center"/>
          </w:tcPr>
          <w:p w14:paraId="4ECA9C1B" w14:textId="77777777" w:rsidR="006212E9" w:rsidRDefault="00000000">
            <w:pPr>
              <w:rPr>
                <w:rFonts w:ascii="Times New Roman" w:hAnsi="Times New Roman" w:cs="Times New Roman"/>
              </w:rPr>
            </w:pPr>
            <w:r>
              <w:rPr>
                <w:rFonts w:ascii="Times New Roman" w:hAnsi="Times New Roman" w:cs="Times New Roman"/>
              </w:rPr>
              <w:t>ASCVD-like risk-factor model</w:t>
            </w:r>
          </w:p>
        </w:tc>
        <w:tc>
          <w:tcPr>
            <w:tcW w:w="1487" w:type="dxa"/>
            <w:vAlign w:val="center"/>
          </w:tcPr>
          <w:p w14:paraId="4DD39D7C" w14:textId="77777777" w:rsidR="006212E9" w:rsidRDefault="00000000">
            <w:pPr>
              <w:rPr>
                <w:rFonts w:ascii="Times New Roman" w:hAnsi="Times New Roman" w:cs="Times New Roman"/>
              </w:rPr>
            </w:pPr>
            <w:r>
              <w:rPr>
                <w:rFonts w:ascii="Times New Roman" w:hAnsi="Times New Roman" w:cs="Times New Roman"/>
              </w:rPr>
              <w:t>0.7005</w:t>
            </w:r>
          </w:p>
        </w:tc>
        <w:tc>
          <w:tcPr>
            <w:tcW w:w="1698" w:type="dxa"/>
            <w:vAlign w:val="center"/>
          </w:tcPr>
          <w:p w14:paraId="4A4D8A8B" w14:textId="77777777" w:rsidR="006212E9" w:rsidRDefault="00000000">
            <w:pPr>
              <w:rPr>
                <w:rFonts w:ascii="Times New Roman" w:hAnsi="Times New Roman" w:cs="Times New Roman"/>
              </w:rPr>
            </w:pPr>
            <w:r>
              <w:rPr>
                <w:rFonts w:ascii="Times New Roman" w:hAnsi="Times New Roman" w:cs="Times New Roman"/>
              </w:rPr>
              <w:t>0.7039</w:t>
            </w:r>
          </w:p>
        </w:tc>
        <w:tc>
          <w:tcPr>
            <w:tcW w:w="1547" w:type="dxa"/>
            <w:vAlign w:val="center"/>
          </w:tcPr>
          <w:p w14:paraId="1BC8D0F0" w14:textId="77777777" w:rsidR="006212E9" w:rsidRDefault="00000000">
            <w:pPr>
              <w:rPr>
                <w:rFonts w:ascii="Times New Roman" w:hAnsi="Times New Roman" w:cs="Times New Roman"/>
              </w:rPr>
            </w:pPr>
            <w:r>
              <w:rPr>
                <w:rFonts w:ascii="Times New Roman" w:hAnsi="Times New Roman" w:cs="Times New Roman"/>
              </w:rPr>
              <w:t>0.0034</w:t>
            </w:r>
          </w:p>
        </w:tc>
      </w:tr>
    </w:tbl>
    <w:p w14:paraId="78ACED85" w14:textId="77777777" w:rsidR="006212E9" w:rsidRDefault="006212E9">
      <w:pPr>
        <w:rPr>
          <w:rFonts w:ascii="Times New Roman" w:hAnsi="Times New Roman" w:cs="Times New Roman"/>
        </w:rPr>
      </w:pPr>
    </w:p>
    <w:p w14:paraId="1D20FEE8" w14:textId="77777777" w:rsidR="006212E9" w:rsidRDefault="006212E9">
      <w:pPr>
        <w:rPr>
          <w:rFonts w:ascii="Times New Roman" w:hAnsi="Times New Roman" w:cs="Times New Roman"/>
        </w:rPr>
      </w:pPr>
    </w:p>
    <w:p w14:paraId="15DFD0F1" w14:textId="77777777" w:rsidR="006212E9" w:rsidRDefault="00000000">
      <w:pPr>
        <w:rPr>
          <w:rFonts w:ascii="Times New Roman" w:hAnsi="Times New Roman" w:cs="Times New Roman"/>
        </w:rPr>
      </w:pPr>
      <w:r>
        <w:rPr>
          <w:rFonts w:ascii="Times New Roman" w:hAnsi="Times New Roman" w:cs="Times New Roman"/>
        </w:rPr>
        <w:t>Note: Model discrimination was assessed using Harrell’s C-index, and incremental discrimination was quantified as the change in C-index after adding RCII to each model.</w:t>
      </w:r>
    </w:p>
    <w:p w14:paraId="465F6C0A" w14:textId="77777777" w:rsidR="006212E9" w:rsidRDefault="006212E9">
      <w:pPr>
        <w:rPr>
          <w:rFonts w:ascii="Times New Roman" w:hAnsi="Times New Roman" w:cs="Times New Roman"/>
        </w:rPr>
      </w:pPr>
    </w:p>
    <w:p w14:paraId="6804BC60" w14:textId="77777777" w:rsidR="0038117D" w:rsidRDefault="0038117D">
      <w:pPr>
        <w:rPr>
          <w:rFonts w:ascii="Times New Roman" w:hAnsi="Times New Roman" w:cs="Times New Roman"/>
        </w:rPr>
      </w:pPr>
    </w:p>
    <w:p w14:paraId="71443A70" w14:textId="77777777" w:rsidR="0038117D" w:rsidRDefault="0038117D">
      <w:pPr>
        <w:rPr>
          <w:rFonts w:ascii="Times New Roman" w:hAnsi="Times New Roman" w:cs="Times New Roman"/>
        </w:rPr>
      </w:pPr>
    </w:p>
    <w:p w14:paraId="723CC3C8" w14:textId="77777777" w:rsidR="0038117D" w:rsidRDefault="0038117D">
      <w:pPr>
        <w:rPr>
          <w:rFonts w:ascii="Times New Roman" w:hAnsi="Times New Roman" w:cs="Times New Roman"/>
        </w:rPr>
      </w:pPr>
    </w:p>
    <w:p w14:paraId="640CAAD7" w14:textId="77777777" w:rsidR="0038117D" w:rsidRDefault="0038117D">
      <w:pPr>
        <w:rPr>
          <w:rFonts w:ascii="Times New Roman" w:hAnsi="Times New Roman" w:cs="Times New Roman"/>
        </w:rPr>
      </w:pPr>
    </w:p>
    <w:p w14:paraId="68E2D893" w14:textId="77777777" w:rsidR="0038117D" w:rsidRDefault="0038117D">
      <w:pPr>
        <w:rPr>
          <w:rFonts w:ascii="Times New Roman" w:hAnsi="Times New Roman" w:cs="Times New Roman"/>
        </w:rPr>
      </w:pPr>
    </w:p>
    <w:p w14:paraId="2384259D" w14:textId="77777777" w:rsidR="0038117D" w:rsidRDefault="0038117D">
      <w:pPr>
        <w:rPr>
          <w:rFonts w:ascii="Times New Roman" w:hAnsi="Times New Roman" w:cs="Times New Roman"/>
        </w:rPr>
      </w:pPr>
    </w:p>
    <w:p w14:paraId="697DFE24" w14:textId="77777777" w:rsidR="0038117D" w:rsidRDefault="0038117D">
      <w:pPr>
        <w:rPr>
          <w:rFonts w:ascii="Times New Roman" w:hAnsi="Times New Roman" w:cs="Times New Roman"/>
        </w:rPr>
      </w:pPr>
    </w:p>
    <w:p w14:paraId="04792EE1" w14:textId="77777777" w:rsidR="0038117D" w:rsidRDefault="0038117D">
      <w:pPr>
        <w:rPr>
          <w:rFonts w:ascii="Times New Roman" w:hAnsi="Times New Roman" w:cs="Times New Roman"/>
        </w:rPr>
      </w:pPr>
    </w:p>
    <w:p w14:paraId="28DB4494" w14:textId="77777777" w:rsidR="0038117D" w:rsidRDefault="0038117D">
      <w:pPr>
        <w:rPr>
          <w:rFonts w:ascii="Times New Roman" w:hAnsi="Times New Roman" w:cs="Times New Roman"/>
        </w:rPr>
      </w:pPr>
    </w:p>
    <w:p w14:paraId="5A77E429" w14:textId="77777777" w:rsidR="0038117D" w:rsidRDefault="0038117D">
      <w:pPr>
        <w:rPr>
          <w:rFonts w:ascii="Times New Roman" w:hAnsi="Times New Roman" w:cs="Times New Roman"/>
        </w:rPr>
      </w:pPr>
    </w:p>
    <w:p w14:paraId="6DC59F19" w14:textId="77777777" w:rsidR="0038117D" w:rsidRDefault="0038117D">
      <w:pPr>
        <w:rPr>
          <w:rFonts w:ascii="Times New Roman" w:hAnsi="Times New Roman" w:cs="Times New Roman"/>
        </w:rPr>
      </w:pPr>
    </w:p>
    <w:p w14:paraId="2453396C" w14:textId="77777777" w:rsidR="0038117D" w:rsidRDefault="0038117D">
      <w:pPr>
        <w:rPr>
          <w:rFonts w:ascii="Times New Roman" w:hAnsi="Times New Roman" w:cs="Times New Roman"/>
        </w:rPr>
      </w:pPr>
    </w:p>
    <w:p w14:paraId="40421D61" w14:textId="77777777" w:rsidR="0038117D" w:rsidRDefault="0038117D">
      <w:pPr>
        <w:rPr>
          <w:rFonts w:ascii="Times New Roman" w:hAnsi="Times New Roman" w:cs="Times New Roman"/>
        </w:rPr>
      </w:pPr>
    </w:p>
    <w:p w14:paraId="68DBC5E5" w14:textId="77777777" w:rsidR="0038117D" w:rsidRDefault="0038117D">
      <w:pPr>
        <w:rPr>
          <w:rFonts w:ascii="Times New Roman" w:hAnsi="Times New Roman" w:cs="Times New Roman"/>
        </w:rPr>
      </w:pPr>
    </w:p>
    <w:p w14:paraId="0FB600DC" w14:textId="77777777" w:rsidR="0038117D" w:rsidRDefault="0038117D">
      <w:pPr>
        <w:rPr>
          <w:rFonts w:ascii="Times New Roman" w:hAnsi="Times New Roman" w:cs="Times New Roman"/>
        </w:rPr>
      </w:pPr>
    </w:p>
    <w:p w14:paraId="74FD58E2" w14:textId="77777777" w:rsidR="0038117D" w:rsidRDefault="0038117D">
      <w:pPr>
        <w:rPr>
          <w:rFonts w:ascii="Times New Roman" w:hAnsi="Times New Roman" w:cs="Times New Roman" w:hint="eastAsia"/>
        </w:rPr>
      </w:pPr>
    </w:p>
    <w:p w14:paraId="55C0A834" w14:textId="77777777" w:rsidR="006212E9" w:rsidRDefault="00000000">
      <w:pPr>
        <w:jc w:val="left"/>
      </w:pPr>
      <w:r>
        <w:rPr>
          <w:rFonts w:ascii="Times New Roman" w:eastAsia="Times New Roman" w:hAnsi="Times New Roman"/>
          <w:b/>
          <w:sz w:val="20"/>
        </w:rPr>
        <w:lastRenderedPageBreak/>
        <w:t>Table S5. Stratified associations of RCII with UK Biobank outcomes according to baseline lipid-lowering medication use</w:t>
      </w:r>
    </w:p>
    <w:tbl>
      <w:tblPr>
        <w:tblStyle w:val="a6"/>
        <w:tblW w:w="929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70" w:type="dxa"/>
          <w:left w:w="70" w:type="dxa"/>
          <w:bottom w:w="70" w:type="dxa"/>
          <w:right w:w="70" w:type="dxa"/>
        </w:tblCellMar>
        <w:tblLook w:val="04A0" w:firstRow="1" w:lastRow="0" w:firstColumn="1" w:lastColumn="0" w:noHBand="0" w:noVBand="1"/>
      </w:tblPr>
      <w:tblGrid>
        <w:gridCol w:w="1485"/>
        <w:gridCol w:w="1788"/>
        <w:gridCol w:w="871"/>
        <w:gridCol w:w="828"/>
        <w:gridCol w:w="1535"/>
        <w:gridCol w:w="819"/>
        <w:gridCol w:w="1969"/>
      </w:tblGrid>
      <w:tr w:rsidR="006212E9" w14:paraId="734C5D6C" w14:textId="77777777">
        <w:trPr>
          <w:jc w:val="center"/>
        </w:trPr>
        <w:tc>
          <w:tcPr>
            <w:tcW w:w="1485" w:type="dxa"/>
            <w:tcBorders>
              <w:top w:val="single" w:sz="4" w:space="0" w:color="auto"/>
              <w:left w:val="nil"/>
              <w:bottom w:val="single" w:sz="4" w:space="0" w:color="auto"/>
              <w:right w:val="nil"/>
            </w:tcBorders>
            <w:vAlign w:val="center"/>
          </w:tcPr>
          <w:p w14:paraId="5B01B44C" w14:textId="77777777" w:rsidR="006212E9" w:rsidRDefault="00000000">
            <w:pPr>
              <w:jc w:val="center"/>
              <w:rPr>
                <w:szCs w:val="21"/>
              </w:rPr>
            </w:pPr>
            <w:r>
              <w:rPr>
                <w:rFonts w:ascii="Times New Roman" w:eastAsia="Times New Roman" w:hAnsi="Times New Roman"/>
                <w:b/>
                <w:szCs w:val="21"/>
              </w:rPr>
              <w:t>Outcome</w:t>
            </w:r>
          </w:p>
        </w:tc>
        <w:tc>
          <w:tcPr>
            <w:tcW w:w="1788" w:type="dxa"/>
            <w:tcBorders>
              <w:top w:val="single" w:sz="4" w:space="0" w:color="auto"/>
              <w:left w:val="nil"/>
              <w:bottom w:val="single" w:sz="4" w:space="0" w:color="auto"/>
              <w:right w:val="nil"/>
            </w:tcBorders>
            <w:vAlign w:val="center"/>
          </w:tcPr>
          <w:p w14:paraId="6B6EA68B" w14:textId="77777777" w:rsidR="006212E9" w:rsidRDefault="00000000">
            <w:pPr>
              <w:jc w:val="center"/>
              <w:rPr>
                <w:szCs w:val="21"/>
              </w:rPr>
            </w:pPr>
            <w:r>
              <w:rPr>
                <w:rFonts w:ascii="Times New Roman" w:eastAsia="Times New Roman" w:hAnsi="Times New Roman"/>
                <w:b/>
                <w:szCs w:val="21"/>
              </w:rPr>
              <w:t>Baseline lipid-lowering medication use</w:t>
            </w:r>
          </w:p>
        </w:tc>
        <w:tc>
          <w:tcPr>
            <w:tcW w:w="871" w:type="dxa"/>
            <w:tcBorders>
              <w:top w:val="single" w:sz="4" w:space="0" w:color="auto"/>
              <w:left w:val="nil"/>
              <w:bottom w:val="single" w:sz="4" w:space="0" w:color="auto"/>
              <w:right w:val="nil"/>
            </w:tcBorders>
            <w:vAlign w:val="center"/>
          </w:tcPr>
          <w:p w14:paraId="0EF801A9" w14:textId="77777777" w:rsidR="006212E9" w:rsidRDefault="00000000">
            <w:pPr>
              <w:jc w:val="center"/>
              <w:rPr>
                <w:szCs w:val="21"/>
              </w:rPr>
            </w:pPr>
            <w:r>
              <w:rPr>
                <w:rFonts w:ascii="Times New Roman" w:eastAsia="Times New Roman" w:hAnsi="Times New Roman"/>
                <w:b/>
                <w:szCs w:val="21"/>
              </w:rPr>
              <w:t>N</w:t>
            </w:r>
          </w:p>
        </w:tc>
        <w:tc>
          <w:tcPr>
            <w:tcW w:w="828" w:type="dxa"/>
            <w:tcBorders>
              <w:top w:val="single" w:sz="4" w:space="0" w:color="auto"/>
              <w:left w:val="nil"/>
              <w:bottom w:val="single" w:sz="4" w:space="0" w:color="auto"/>
              <w:right w:val="nil"/>
            </w:tcBorders>
            <w:vAlign w:val="center"/>
          </w:tcPr>
          <w:p w14:paraId="5B6457E1" w14:textId="77777777" w:rsidR="006212E9" w:rsidRDefault="00000000">
            <w:pPr>
              <w:jc w:val="center"/>
              <w:rPr>
                <w:szCs w:val="21"/>
              </w:rPr>
            </w:pPr>
            <w:r>
              <w:rPr>
                <w:rFonts w:ascii="Times New Roman" w:eastAsia="Times New Roman" w:hAnsi="Times New Roman"/>
                <w:b/>
                <w:szCs w:val="21"/>
              </w:rPr>
              <w:t>Events</w:t>
            </w:r>
          </w:p>
        </w:tc>
        <w:tc>
          <w:tcPr>
            <w:tcW w:w="1535" w:type="dxa"/>
            <w:tcBorders>
              <w:top w:val="single" w:sz="4" w:space="0" w:color="auto"/>
              <w:left w:val="nil"/>
              <w:bottom w:val="single" w:sz="4" w:space="0" w:color="auto"/>
              <w:right w:val="nil"/>
            </w:tcBorders>
            <w:vAlign w:val="center"/>
          </w:tcPr>
          <w:p w14:paraId="338C4860" w14:textId="77777777" w:rsidR="006212E9" w:rsidRDefault="00000000">
            <w:pPr>
              <w:jc w:val="center"/>
              <w:rPr>
                <w:szCs w:val="21"/>
              </w:rPr>
            </w:pPr>
            <w:r>
              <w:rPr>
                <w:rFonts w:ascii="Times New Roman" w:eastAsia="Times New Roman" w:hAnsi="Times New Roman"/>
                <w:b/>
                <w:szCs w:val="21"/>
              </w:rPr>
              <w:t>HR (95 % CI)</w:t>
            </w:r>
          </w:p>
          <w:p w14:paraId="27C16B76" w14:textId="77777777" w:rsidR="006212E9" w:rsidRDefault="00000000">
            <w:pPr>
              <w:jc w:val="center"/>
              <w:rPr>
                <w:szCs w:val="21"/>
              </w:rPr>
            </w:pPr>
            <w:r>
              <w:rPr>
                <w:rFonts w:ascii="Times New Roman" w:eastAsia="Times New Roman" w:hAnsi="Times New Roman"/>
                <w:b/>
                <w:szCs w:val="21"/>
              </w:rPr>
              <w:t>for RCII Q4 vs Q1</w:t>
            </w:r>
          </w:p>
        </w:tc>
        <w:tc>
          <w:tcPr>
            <w:tcW w:w="819" w:type="dxa"/>
            <w:tcBorders>
              <w:top w:val="single" w:sz="4" w:space="0" w:color="auto"/>
              <w:left w:val="nil"/>
              <w:bottom w:val="single" w:sz="4" w:space="0" w:color="auto"/>
              <w:right w:val="nil"/>
            </w:tcBorders>
            <w:vAlign w:val="center"/>
          </w:tcPr>
          <w:p w14:paraId="42444683" w14:textId="77777777" w:rsidR="006212E9" w:rsidRDefault="00000000">
            <w:pPr>
              <w:jc w:val="center"/>
              <w:rPr>
                <w:szCs w:val="21"/>
              </w:rPr>
            </w:pPr>
            <w:r>
              <w:rPr>
                <w:rFonts w:ascii="Times New Roman" w:eastAsia="Times New Roman" w:hAnsi="Times New Roman"/>
                <w:b/>
                <w:szCs w:val="21"/>
              </w:rPr>
              <w:t>P value</w:t>
            </w:r>
          </w:p>
        </w:tc>
        <w:tc>
          <w:tcPr>
            <w:tcW w:w="1969" w:type="dxa"/>
            <w:tcBorders>
              <w:top w:val="single" w:sz="4" w:space="0" w:color="auto"/>
              <w:left w:val="nil"/>
              <w:bottom w:val="single" w:sz="4" w:space="0" w:color="auto"/>
              <w:right w:val="nil"/>
            </w:tcBorders>
            <w:vAlign w:val="center"/>
          </w:tcPr>
          <w:p w14:paraId="5051F5B7" w14:textId="77777777" w:rsidR="006212E9" w:rsidRDefault="00000000">
            <w:pPr>
              <w:jc w:val="center"/>
              <w:rPr>
                <w:szCs w:val="21"/>
              </w:rPr>
            </w:pPr>
            <w:r>
              <w:rPr>
                <w:rFonts w:ascii="Times New Roman" w:eastAsia="Times New Roman" w:hAnsi="Times New Roman"/>
                <w:b/>
                <w:szCs w:val="21"/>
              </w:rPr>
              <w:t>P for interaction</w:t>
            </w:r>
          </w:p>
        </w:tc>
      </w:tr>
      <w:tr w:rsidR="006212E9" w14:paraId="321424F6" w14:textId="77777777">
        <w:trPr>
          <w:jc w:val="center"/>
        </w:trPr>
        <w:tc>
          <w:tcPr>
            <w:tcW w:w="1485" w:type="dxa"/>
            <w:vMerge w:val="restart"/>
            <w:tcBorders>
              <w:top w:val="single" w:sz="4" w:space="0" w:color="auto"/>
              <w:left w:val="nil"/>
              <w:right w:val="nil"/>
            </w:tcBorders>
            <w:vAlign w:val="center"/>
          </w:tcPr>
          <w:p w14:paraId="53A8E04F" w14:textId="77777777" w:rsidR="006212E9" w:rsidRDefault="00000000">
            <w:pPr>
              <w:jc w:val="center"/>
              <w:rPr>
                <w:rFonts w:ascii="Times New Roman" w:eastAsia="Times New Roman" w:hAnsi="Times New Roman"/>
                <w:szCs w:val="21"/>
              </w:rPr>
            </w:pPr>
            <w:r>
              <w:rPr>
                <w:rFonts w:ascii="Times New Roman" w:eastAsia="Times New Roman" w:hAnsi="Times New Roman"/>
                <w:szCs w:val="21"/>
              </w:rPr>
              <w:t>MACE</w:t>
            </w:r>
          </w:p>
          <w:p w14:paraId="10B21C15" w14:textId="77777777" w:rsidR="006212E9" w:rsidRDefault="006212E9">
            <w:pPr>
              <w:jc w:val="center"/>
              <w:rPr>
                <w:szCs w:val="21"/>
              </w:rPr>
            </w:pPr>
          </w:p>
        </w:tc>
        <w:tc>
          <w:tcPr>
            <w:tcW w:w="1788" w:type="dxa"/>
            <w:tcBorders>
              <w:top w:val="single" w:sz="4" w:space="0" w:color="auto"/>
              <w:left w:val="nil"/>
              <w:bottom w:val="nil"/>
              <w:right w:val="nil"/>
            </w:tcBorders>
            <w:vAlign w:val="center"/>
          </w:tcPr>
          <w:p w14:paraId="1BEBFBE4" w14:textId="77777777" w:rsidR="006212E9" w:rsidRDefault="00000000">
            <w:pPr>
              <w:jc w:val="center"/>
              <w:rPr>
                <w:szCs w:val="21"/>
              </w:rPr>
            </w:pPr>
            <w:r>
              <w:rPr>
                <w:rFonts w:ascii="Times New Roman" w:eastAsia="Times New Roman" w:hAnsi="Times New Roman"/>
                <w:szCs w:val="21"/>
              </w:rPr>
              <w:t>No</w:t>
            </w:r>
          </w:p>
        </w:tc>
        <w:tc>
          <w:tcPr>
            <w:tcW w:w="871" w:type="dxa"/>
            <w:tcBorders>
              <w:top w:val="single" w:sz="4" w:space="0" w:color="auto"/>
              <w:left w:val="nil"/>
              <w:bottom w:val="nil"/>
              <w:right w:val="nil"/>
            </w:tcBorders>
            <w:vAlign w:val="center"/>
          </w:tcPr>
          <w:p w14:paraId="472B1E63" w14:textId="77777777" w:rsidR="006212E9" w:rsidRDefault="00000000">
            <w:pPr>
              <w:jc w:val="center"/>
              <w:rPr>
                <w:szCs w:val="21"/>
              </w:rPr>
            </w:pPr>
            <w:r>
              <w:rPr>
                <w:rFonts w:ascii="Times New Roman" w:eastAsia="Times New Roman" w:hAnsi="Times New Roman"/>
                <w:szCs w:val="21"/>
              </w:rPr>
              <w:t>249,679</w:t>
            </w:r>
          </w:p>
        </w:tc>
        <w:tc>
          <w:tcPr>
            <w:tcW w:w="828" w:type="dxa"/>
            <w:tcBorders>
              <w:top w:val="single" w:sz="4" w:space="0" w:color="auto"/>
              <w:left w:val="nil"/>
              <w:bottom w:val="nil"/>
              <w:right w:val="nil"/>
            </w:tcBorders>
            <w:vAlign w:val="center"/>
          </w:tcPr>
          <w:p w14:paraId="5C399D85" w14:textId="77777777" w:rsidR="006212E9" w:rsidRDefault="00000000">
            <w:pPr>
              <w:jc w:val="center"/>
              <w:rPr>
                <w:szCs w:val="21"/>
              </w:rPr>
            </w:pPr>
            <w:r>
              <w:rPr>
                <w:rFonts w:ascii="Times New Roman" w:eastAsia="Times New Roman" w:hAnsi="Times New Roman"/>
                <w:szCs w:val="21"/>
              </w:rPr>
              <w:t>31,325</w:t>
            </w:r>
          </w:p>
        </w:tc>
        <w:tc>
          <w:tcPr>
            <w:tcW w:w="1535" w:type="dxa"/>
            <w:tcBorders>
              <w:top w:val="single" w:sz="4" w:space="0" w:color="auto"/>
              <w:left w:val="nil"/>
              <w:bottom w:val="nil"/>
              <w:right w:val="nil"/>
            </w:tcBorders>
            <w:vAlign w:val="center"/>
          </w:tcPr>
          <w:p w14:paraId="295CE430" w14:textId="77777777" w:rsidR="006212E9" w:rsidRDefault="00000000">
            <w:pPr>
              <w:jc w:val="center"/>
              <w:rPr>
                <w:szCs w:val="21"/>
              </w:rPr>
            </w:pPr>
            <w:r>
              <w:rPr>
                <w:rFonts w:ascii="Times New Roman" w:eastAsia="Times New Roman" w:hAnsi="Times New Roman"/>
                <w:szCs w:val="21"/>
              </w:rPr>
              <w:t>1.29 (1.25–1.34)</w:t>
            </w:r>
          </w:p>
        </w:tc>
        <w:tc>
          <w:tcPr>
            <w:tcW w:w="819" w:type="dxa"/>
            <w:tcBorders>
              <w:top w:val="single" w:sz="4" w:space="0" w:color="auto"/>
              <w:left w:val="nil"/>
              <w:bottom w:val="nil"/>
              <w:right w:val="nil"/>
            </w:tcBorders>
            <w:vAlign w:val="center"/>
          </w:tcPr>
          <w:p w14:paraId="6BAADC5A" w14:textId="77777777" w:rsidR="006212E9" w:rsidRDefault="00000000">
            <w:pPr>
              <w:jc w:val="center"/>
              <w:rPr>
                <w:szCs w:val="21"/>
              </w:rPr>
            </w:pPr>
            <w:r>
              <w:rPr>
                <w:rFonts w:ascii="Times New Roman" w:eastAsia="Times New Roman" w:hAnsi="Times New Roman"/>
                <w:szCs w:val="21"/>
              </w:rPr>
              <w:t>&lt;0.001</w:t>
            </w:r>
          </w:p>
        </w:tc>
        <w:tc>
          <w:tcPr>
            <w:tcW w:w="1969" w:type="dxa"/>
            <w:tcBorders>
              <w:top w:val="single" w:sz="4" w:space="0" w:color="auto"/>
              <w:left w:val="nil"/>
              <w:bottom w:val="nil"/>
              <w:right w:val="nil"/>
            </w:tcBorders>
            <w:vAlign w:val="center"/>
          </w:tcPr>
          <w:p w14:paraId="14D45D83" w14:textId="77777777" w:rsidR="006212E9" w:rsidRDefault="00000000">
            <w:pPr>
              <w:jc w:val="center"/>
              <w:rPr>
                <w:szCs w:val="21"/>
              </w:rPr>
            </w:pPr>
            <w:r>
              <w:rPr>
                <w:rFonts w:ascii="Times New Roman" w:eastAsia="Times New Roman" w:hAnsi="Times New Roman"/>
                <w:szCs w:val="21"/>
              </w:rPr>
              <w:t>0.011</w:t>
            </w:r>
          </w:p>
        </w:tc>
      </w:tr>
      <w:tr w:rsidR="006212E9" w14:paraId="2A5B9A85" w14:textId="77777777">
        <w:trPr>
          <w:jc w:val="center"/>
        </w:trPr>
        <w:tc>
          <w:tcPr>
            <w:tcW w:w="1485" w:type="dxa"/>
            <w:vMerge/>
            <w:tcBorders>
              <w:left w:val="nil"/>
              <w:bottom w:val="nil"/>
              <w:right w:val="nil"/>
            </w:tcBorders>
            <w:vAlign w:val="center"/>
          </w:tcPr>
          <w:p w14:paraId="49DAB7F3" w14:textId="77777777" w:rsidR="006212E9" w:rsidRDefault="006212E9">
            <w:pPr>
              <w:jc w:val="center"/>
              <w:rPr>
                <w:szCs w:val="21"/>
              </w:rPr>
            </w:pPr>
          </w:p>
        </w:tc>
        <w:tc>
          <w:tcPr>
            <w:tcW w:w="1788" w:type="dxa"/>
            <w:tcBorders>
              <w:top w:val="nil"/>
              <w:left w:val="nil"/>
              <w:bottom w:val="nil"/>
              <w:right w:val="nil"/>
            </w:tcBorders>
            <w:vAlign w:val="center"/>
          </w:tcPr>
          <w:p w14:paraId="66CFC329" w14:textId="77777777" w:rsidR="006212E9" w:rsidRDefault="00000000">
            <w:pPr>
              <w:jc w:val="center"/>
              <w:rPr>
                <w:szCs w:val="21"/>
              </w:rPr>
            </w:pPr>
            <w:r>
              <w:rPr>
                <w:rFonts w:ascii="Times New Roman" w:eastAsia="Times New Roman" w:hAnsi="Times New Roman"/>
                <w:szCs w:val="21"/>
              </w:rPr>
              <w:t>Yes</w:t>
            </w:r>
          </w:p>
        </w:tc>
        <w:tc>
          <w:tcPr>
            <w:tcW w:w="871" w:type="dxa"/>
            <w:tcBorders>
              <w:top w:val="nil"/>
              <w:left w:val="nil"/>
              <w:bottom w:val="nil"/>
              <w:right w:val="nil"/>
            </w:tcBorders>
            <w:vAlign w:val="center"/>
          </w:tcPr>
          <w:p w14:paraId="4B7EEC96" w14:textId="77777777" w:rsidR="006212E9" w:rsidRDefault="00000000">
            <w:pPr>
              <w:jc w:val="center"/>
              <w:rPr>
                <w:szCs w:val="21"/>
              </w:rPr>
            </w:pPr>
            <w:r>
              <w:rPr>
                <w:rFonts w:ascii="Times New Roman" w:eastAsia="Times New Roman" w:hAnsi="Times New Roman"/>
                <w:szCs w:val="21"/>
              </w:rPr>
              <w:t>21,182</w:t>
            </w:r>
          </w:p>
        </w:tc>
        <w:tc>
          <w:tcPr>
            <w:tcW w:w="828" w:type="dxa"/>
            <w:tcBorders>
              <w:top w:val="nil"/>
              <w:left w:val="nil"/>
              <w:bottom w:val="nil"/>
              <w:right w:val="nil"/>
            </w:tcBorders>
            <w:vAlign w:val="center"/>
          </w:tcPr>
          <w:p w14:paraId="5F471786" w14:textId="77777777" w:rsidR="006212E9" w:rsidRDefault="00000000">
            <w:pPr>
              <w:jc w:val="center"/>
              <w:rPr>
                <w:szCs w:val="21"/>
              </w:rPr>
            </w:pPr>
            <w:r>
              <w:rPr>
                <w:rFonts w:ascii="Times New Roman" w:eastAsia="Times New Roman" w:hAnsi="Times New Roman"/>
                <w:szCs w:val="21"/>
              </w:rPr>
              <w:t>3,550</w:t>
            </w:r>
          </w:p>
        </w:tc>
        <w:tc>
          <w:tcPr>
            <w:tcW w:w="1535" w:type="dxa"/>
            <w:tcBorders>
              <w:top w:val="nil"/>
              <w:left w:val="nil"/>
              <w:bottom w:val="nil"/>
              <w:right w:val="nil"/>
            </w:tcBorders>
            <w:vAlign w:val="center"/>
          </w:tcPr>
          <w:p w14:paraId="455E5223" w14:textId="77777777" w:rsidR="006212E9" w:rsidRDefault="00000000">
            <w:pPr>
              <w:jc w:val="center"/>
              <w:rPr>
                <w:szCs w:val="21"/>
              </w:rPr>
            </w:pPr>
            <w:r>
              <w:rPr>
                <w:rFonts w:ascii="Times New Roman" w:eastAsia="Times New Roman" w:hAnsi="Times New Roman"/>
                <w:szCs w:val="21"/>
              </w:rPr>
              <w:t>1.18 (1.07–1.30)</w:t>
            </w:r>
          </w:p>
        </w:tc>
        <w:tc>
          <w:tcPr>
            <w:tcW w:w="819" w:type="dxa"/>
            <w:tcBorders>
              <w:top w:val="nil"/>
              <w:left w:val="nil"/>
              <w:bottom w:val="nil"/>
              <w:right w:val="nil"/>
            </w:tcBorders>
            <w:vAlign w:val="center"/>
          </w:tcPr>
          <w:p w14:paraId="4E81D61D" w14:textId="77777777" w:rsidR="006212E9" w:rsidRDefault="00000000">
            <w:pPr>
              <w:jc w:val="center"/>
              <w:rPr>
                <w:szCs w:val="21"/>
              </w:rPr>
            </w:pPr>
            <w:r>
              <w:rPr>
                <w:rFonts w:ascii="Times New Roman" w:eastAsia="Times New Roman" w:hAnsi="Times New Roman"/>
                <w:szCs w:val="21"/>
              </w:rPr>
              <w:t>0.001</w:t>
            </w:r>
          </w:p>
        </w:tc>
        <w:tc>
          <w:tcPr>
            <w:tcW w:w="1969" w:type="dxa"/>
            <w:tcBorders>
              <w:top w:val="nil"/>
              <w:left w:val="nil"/>
              <w:bottom w:val="nil"/>
              <w:right w:val="nil"/>
            </w:tcBorders>
            <w:vAlign w:val="center"/>
          </w:tcPr>
          <w:p w14:paraId="660008B9" w14:textId="77777777" w:rsidR="006212E9" w:rsidRDefault="006212E9">
            <w:pPr>
              <w:jc w:val="center"/>
              <w:rPr>
                <w:szCs w:val="21"/>
              </w:rPr>
            </w:pPr>
          </w:p>
        </w:tc>
      </w:tr>
      <w:tr w:rsidR="006212E9" w14:paraId="4790A19D" w14:textId="77777777">
        <w:trPr>
          <w:jc w:val="center"/>
        </w:trPr>
        <w:tc>
          <w:tcPr>
            <w:tcW w:w="1485" w:type="dxa"/>
            <w:vMerge w:val="restart"/>
            <w:tcBorders>
              <w:top w:val="nil"/>
              <w:left w:val="nil"/>
              <w:right w:val="nil"/>
            </w:tcBorders>
            <w:vAlign w:val="center"/>
          </w:tcPr>
          <w:p w14:paraId="174396B8" w14:textId="77777777" w:rsidR="006212E9" w:rsidRDefault="00000000">
            <w:pPr>
              <w:jc w:val="center"/>
              <w:rPr>
                <w:rFonts w:ascii="Times New Roman" w:eastAsia="Times New Roman" w:hAnsi="Times New Roman"/>
                <w:szCs w:val="21"/>
              </w:rPr>
            </w:pPr>
            <w:r>
              <w:rPr>
                <w:rFonts w:ascii="Times New Roman" w:eastAsia="Times New Roman" w:hAnsi="Times New Roman"/>
                <w:szCs w:val="21"/>
              </w:rPr>
              <w:t>All-cause mortality</w:t>
            </w:r>
          </w:p>
          <w:p w14:paraId="16F9BF61" w14:textId="77777777" w:rsidR="006212E9" w:rsidRDefault="006212E9">
            <w:pPr>
              <w:jc w:val="center"/>
              <w:rPr>
                <w:szCs w:val="21"/>
              </w:rPr>
            </w:pPr>
          </w:p>
        </w:tc>
        <w:tc>
          <w:tcPr>
            <w:tcW w:w="1788" w:type="dxa"/>
            <w:tcBorders>
              <w:top w:val="nil"/>
              <w:left w:val="nil"/>
              <w:bottom w:val="nil"/>
              <w:right w:val="nil"/>
            </w:tcBorders>
            <w:vAlign w:val="center"/>
          </w:tcPr>
          <w:p w14:paraId="062F9800" w14:textId="77777777" w:rsidR="006212E9" w:rsidRDefault="00000000">
            <w:pPr>
              <w:jc w:val="center"/>
              <w:rPr>
                <w:szCs w:val="21"/>
              </w:rPr>
            </w:pPr>
            <w:r>
              <w:rPr>
                <w:rFonts w:ascii="Times New Roman" w:eastAsia="Times New Roman" w:hAnsi="Times New Roman"/>
                <w:szCs w:val="21"/>
              </w:rPr>
              <w:t>No</w:t>
            </w:r>
          </w:p>
        </w:tc>
        <w:tc>
          <w:tcPr>
            <w:tcW w:w="871" w:type="dxa"/>
            <w:tcBorders>
              <w:top w:val="nil"/>
              <w:left w:val="nil"/>
              <w:bottom w:val="nil"/>
              <w:right w:val="nil"/>
            </w:tcBorders>
            <w:vAlign w:val="center"/>
          </w:tcPr>
          <w:p w14:paraId="6AE6EE78" w14:textId="77777777" w:rsidR="006212E9" w:rsidRDefault="00000000">
            <w:pPr>
              <w:jc w:val="center"/>
              <w:rPr>
                <w:szCs w:val="21"/>
              </w:rPr>
            </w:pPr>
            <w:r>
              <w:rPr>
                <w:rFonts w:ascii="Times New Roman" w:eastAsia="Times New Roman" w:hAnsi="Times New Roman"/>
                <w:szCs w:val="21"/>
              </w:rPr>
              <w:t>249,679</w:t>
            </w:r>
          </w:p>
        </w:tc>
        <w:tc>
          <w:tcPr>
            <w:tcW w:w="828" w:type="dxa"/>
            <w:tcBorders>
              <w:top w:val="nil"/>
              <w:left w:val="nil"/>
              <w:bottom w:val="nil"/>
              <w:right w:val="nil"/>
            </w:tcBorders>
            <w:vAlign w:val="center"/>
          </w:tcPr>
          <w:p w14:paraId="385773D2" w14:textId="77777777" w:rsidR="006212E9" w:rsidRDefault="00000000">
            <w:pPr>
              <w:jc w:val="center"/>
              <w:rPr>
                <w:szCs w:val="21"/>
              </w:rPr>
            </w:pPr>
            <w:r>
              <w:rPr>
                <w:rFonts w:ascii="Times New Roman" w:eastAsia="Times New Roman" w:hAnsi="Times New Roman"/>
                <w:szCs w:val="21"/>
              </w:rPr>
              <w:t>24,207</w:t>
            </w:r>
          </w:p>
        </w:tc>
        <w:tc>
          <w:tcPr>
            <w:tcW w:w="1535" w:type="dxa"/>
            <w:tcBorders>
              <w:top w:val="nil"/>
              <w:left w:val="nil"/>
              <w:bottom w:val="nil"/>
              <w:right w:val="nil"/>
            </w:tcBorders>
            <w:vAlign w:val="center"/>
          </w:tcPr>
          <w:p w14:paraId="0E030D71" w14:textId="77777777" w:rsidR="006212E9" w:rsidRDefault="00000000">
            <w:pPr>
              <w:jc w:val="center"/>
              <w:rPr>
                <w:szCs w:val="21"/>
              </w:rPr>
            </w:pPr>
            <w:r>
              <w:rPr>
                <w:rFonts w:ascii="Times New Roman" w:eastAsia="Times New Roman" w:hAnsi="Times New Roman"/>
                <w:szCs w:val="21"/>
              </w:rPr>
              <w:t>1.22 (1.18–1.27)</w:t>
            </w:r>
          </w:p>
        </w:tc>
        <w:tc>
          <w:tcPr>
            <w:tcW w:w="819" w:type="dxa"/>
            <w:tcBorders>
              <w:top w:val="nil"/>
              <w:left w:val="nil"/>
              <w:bottom w:val="nil"/>
              <w:right w:val="nil"/>
            </w:tcBorders>
            <w:vAlign w:val="center"/>
          </w:tcPr>
          <w:p w14:paraId="26276CD6" w14:textId="77777777" w:rsidR="006212E9" w:rsidRDefault="00000000">
            <w:pPr>
              <w:jc w:val="center"/>
              <w:rPr>
                <w:szCs w:val="21"/>
              </w:rPr>
            </w:pPr>
            <w:r>
              <w:rPr>
                <w:rFonts w:ascii="Times New Roman" w:eastAsia="Times New Roman" w:hAnsi="Times New Roman"/>
                <w:szCs w:val="21"/>
              </w:rPr>
              <w:t>&lt;0.001</w:t>
            </w:r>
          </w:p>
        </w:tc>
        <w:tc>
          <w:tcPr>
            <w:tcW w:w="1969" w:type="dxa"/>
            <w:tcBorders>
              <w:top w:val="nil"/>
              <w:left w:val="nil"/>
              <w:bottom w:val="nil"/>
              <w:right w:val="nil"/>
            </w:tcBorders>
            <w:vAlign w:val="center"/>
          </w:tcPr>
          <w:p w14:paraId="51871DD7" w14:textId="77777777" w:rsidR="006212E9" w:rsidRDefault="00000000">
            <w:pPr>
              <w:jc w:val="center"/>
              <w:rPr>
                <w:szCs w:val="21"/>
              </w:rPr>
            </w:pPr>
            <w:r>
              <w:rPr>
                <w:rFonts w:ascii="Times New Roman" w:eastAsia="Times New Roman" w:hAnsi="Times New Roman"/>
                <w:szCs w:val="21"/>
              </w:rPr>
              <w:t>0.303</w:t>
            </w:r>
          </w:p>
        </w:tc>
      </w:tr>
      <w:tr w:rsidR="006212E9" w14:paraId="1DC721FF" w14:textId="77777777">
        <w:trPr>
          <w:jc w:val="center"/>
        </w:trPr>
        <w:tc>
          <w:tcPr>
            <w:tcW w:w="1485" w:type="dxa"/>
            <w:vMerge/>
            <w:tcBorders>
              <w:left w:val="nil"/>
              <w:bottom w:val="nil"/>
              <w:right w:val="nil"/>
            </w:tcBorders>
            <w:vAlign w:val="center"/>
          </w:tcPr>
          <w:p w14:paraId="1294DC14" w14:textId="77777777" w:rsidR="006212E9" w:rsidRDefault="006212E9">
            <w:pPr>
              <w:jc w:val="center"/>
              <w:rPr>
                <w:szCs w:val="21"/>
              </w:rPr>
            </w:pPr>
          </w:p>
        </w:tc>
        <w:tc>
          <w:tcPr>
            <w:tcW w:w="1788" w:type="dxa"/>
            <w:tcBorders>
              <w:top w:val="nil"/>
              <w:left w:val="nil"/>
              <w:bottom w:val="nil"/>
              <w:right w:val="nil"/>
            </w:tcBorders>
            <w:vAlign w:val="center"/>
          </w:tcPr>
          <w:p w14:paraId="73CBAF26" w14:textId="77777777" w:rsidR="006212E9" w:rsidRDefault="00000000">
            <w:pPr>
              <w:jc w:val="center"/>
              <w:rPr>
                <w:szCs w:val="21"/>
              </w:rPr>
            </w:pPr>
            <w:r>
              <w:rPr>
                <w:rFonts w:ascii="Times New Roman" w:eastAsia="Times New Roman" w:hAnsi="Times New Roman"/>
                <w:szCs w:val="21"/>
              </w:rPr>
              <w:t>Yes</w:t>
            </w:r>
          </w:p>
        </w:tc>
        <w:tc>
          <w:tcPr>
            <w:tcW w:w="871" w:type="dxa"/>
            <w:tcBorders>
              <w:top w:val="nil"/>
              <w:left w:val="nil"/>
              <w:bottom w:val="nil"/>
              <w:right w:val="nil"/>
            </w:tcBorders>
            <w:vAlign w:val="center"/>
          </w:tcPr>
          <w:p w14:paraId="680B345F" w14:textId="77777777" w:rsidR="006212E9" w:rsidRDefault="00000000">
            <w:pPr>
              <w:jc w:val="center"/>
              <w:rPr>
                <w:szCs w:val="21"/>
              </w:rPr>
            </w:pPr>
            <w:r>
              <w:rPr>
                <w:rFonts w:ascii="Times New Roman" w:eastAsia="Times New Roman" w:hAnsi="Times New Roman"/>
                <w:szCs w:val="21"/>
              </w:rPr>
              <w:t>21,182</w:t>
            </w:r>
          </w:p>
        </w:tc>
        <w:tc>
          <w:tcPr>
            <w:tcW w:w="828" w:type="dxa"/>
            <w:tcBorders>
              <w:top w:val="nil"/>
              <w:left w:val="nil"/>
              <w:bottom w:val="nil"/>
              <w:right w:val="nil"/>
            </w:tcBorders>
            <w:vAlign w:val="center"/>
          </w:tcPr>
          <w:p w14:paraId="10E50C30" w14:textId="77777777" w:rsidR="006212E9" w:rsidRDefault="00000000">
            <w:pPr>
              <w:jc w:val="center"/>
              <w:rPr>
                <w:szCs w:val="21"/>
              </w:rPr>
            </w:pPr>
            <w:r>
              <w:rPr>
                <w:rFonts w:ascii="Times New Roman" w:eastAsia="Times New Roman" w:hAnsi="Times New Roman"/>
                <w:szCs w:val="21"/>
              </w:rPr>
              <w:t>2,040</w:t>
            </w:r>
          </w:p>
        </w:tc>
        <w:tc>
          <w:tcPr>
            <w:tcW w:w="1535" w:type="dxa"/>
            <w:tcBorders>
              <w:top w:val="nil"/>
              <w:left w:val="nil"/>
              <w:bottom w:val="nil"/>
              <w:right w:val="nil"/>
            </w:tcBorders>
            <w:vAlign w:val="center"/>
          </w:tcPr>
          <w:p w14:paraId="3E114197" w14:textId="77777777" w:rsidR="006212E9" w:rsidRDefault="00000000">
            <w:pPr>
              <w:jc w:val="center"/>
              <w:rPr>
                <w:szCs w:val="21"/>
              </w:rPr>
            </w:pPr>
            <w:r>
              <w:rPr>
                <w:rFonts w:ascii="Times New Roman" w:eastAsia="Times New Roman" w:hAnsi="Times New Roman"/>
                <w:szCs w:val="21"/>
              </w:rPr>
              <w:t>1.18 (1.03–1.34)</w:t>
            </w:r>
          </w:p>
        </w:tc>
        <w:tc>
          <w:tcPr>
            <w:tcW w:w="819" w:type="dxa"/>
            <w:tcBorders>
              <w:top w:val="nil"/>
              <w:left w:val="nil"/>
              <w:bottom w:val="nil"/>
              <w:right w:val="nil"/>
            </w:tcBorders>
            <w:vAlign w:val="center"/>
          </w:tcPr>
          <w:p w14:paraId="370E0184" w14:textId="77777777" w:rsidR="006212E9" w:rsidRDefault="00000000">
            <w:pPr>
              <w:jc w:val="center"/>
              <w:rPr>
                <w:szCs w:val="21"/>
              </w:rPr>
            </w:pPr>
            <w:r>
              <w:rPr>
                <w:rFonts w:ascii="Times New Roman" w:eastAsia="Times New Roman" w:hAnsi="Times New Roman"/>
                <w:szCs w:val="21"/>
              </w:rPr>
              <w:t>0.014</w:t>
            </w:r>
          </w:p>
        </w:tc>
        <w:tc>
          <w:tcPr>
            <w:tcW w:w="1969" w:type="dxa"/>
            <w:tcBorders>
              <w:top w:val="nil"/>
              <w:left w:val="nil"/>
              <w:bottom w:val="nil"/>
              <w:right w:val="nil"/>
            </w:tcBorders>
            <w:vAlign w:val="center"/>
          </w:tcPr>
          <w:p w14:paraId="2F5CFF9E" w14:textId="77777777" w:rsidR="006212E9" w:rsidRDefault="006212E9">
            <w:pPr>
              <w:jc w:val="center"/>
              <w:rPr>
                <w:szCs w:val="21"/>
              </w:rPr>
            </w:pPr>
          </w:p>
        </w:tc>
      </w:tr>
      <w:tr w:rsidR="006212E9" w14:paraId="1F741053" w14:textId="77777777">
        <w:trPr>
          <w:jc w:val="center"/>
        </w:trPr>
        <w:tc>
          <w:tcPr>
            <w:tcW w:w="1485" w:type="dxa"/>
            <w:vMerge w:val="restart"/>
            <w:tcBorders>
              <w:top w:val="nil"/>
              <w:left w:val="nil"/>
              <w:right w:val="nil"/>
            </w:tcBorders>
            <w:vAlign w:val="center"/>
          </w:tcPr>
          <w:p w14:paraId="7B70060E" w14:textId="77777777" w:rsidR="006212E9" w:rsidRDefault="00000000">
            <w:pPr>
              <w:jc w:val="center"/>
              <w:rPr>
                <w:rFonts w:ascii="Times New Roman" w:eastAsia="Times New Roman" w:hAnsi="Times New Roman"/>
                <w:szCs w:val="21"/>
              </w:rPr>
            </w:pPr>
            <w:r>
              <w:rPr>
                <w:rFonts w:ascii="Times New Roman" w:eastAsia="Times New Roman" w:hAnsi="Times New Roman"/>
                <w:szCs w:val="21"/>
              </w:rPr>
              <w:t>Cardiovascular death</w:t>
            </w:r>
          </w:p>
          <w:p w14:paraId="13A53FCC" w14:textId="77777777" w:rsidR="006212E9" w:rsidRDefault="006212E9">
            <w:pPr>
              <w:jc w:val="center"/>
              <w:rPr>
                <w:szCs w:val="21"/>
              </w:rPr>
            </w:pPr>
          </w:p>
        </w:tc>
        <w:tc>
          <w:tcPr>
            <w:tcW w:w="1788" w:type="dxa"/>
            <w:tcBorders>
              <w:top w:val="nil"/>
              <w:left w:val="nil"/>
              <w:bottom w:val="nil"/>
              <w:right w:val="nil"/>
            </w:tcBorders>
            <w:vAlign w:val="center"/>
          </w:tcPr>
          <w:p w14:paraId="458D4090" w14:textId="77777777" w:rsidR="006212E9" w:rsidRDefault="00000000">
            <w:pPr>
              <w:jc w:val="center"/>
              <w:rPr>
                <w:szCs w:val="21"/>
              </w:rPr>
            </w:pPr>
            <w:r>
              <w:rPr>
                <w:rFonts w:ascii="Times New Roman" w:eastAsia="Times New Roman" w:hAnsi="Times New Roman"/>
                <w:szCs w:val="21"/>
              </w:rPr>
              <w:t>No</w:t>
            </w:r>
          </w:p>
        </w:tc>
        <w:tc>
          <w:tcPr>
            <w:tcW w:w="871" w:type="dxa"/>
            <w:tcBorders>
              <w:top w:val="nil"/>
              <w:left w:val="nil"/>
              <w:bottom w:val="nil"/>
              <w:right w:val="nil"/>
            </w:tcBorders>
            <w:vAlign w:val="center"/>
          </w:tcPr>
          <w:p w14:paraId="56F2AAC7" w14:textId="77777777" w:rsidR="006212E9" w:rsidRDefault="00000000">
            <w:pPr>
              <w:jc w:val="center"/>
              <w:rPr>
                <w:szCs w:val="21"/>
              </w:rPr>
            </w:pPr>
            <w:r>
              <w:rPr>
                <w:rFonts w:ascii="Times New Roman" w:eastAsia="Times New Roman" w:hAnsi="Times New Roman"/>
                <w:szCs w:val="21"/>
              </w:rPr>
              <w:t>249,679</w:t>
            </w:r>
          </w:p>
        </w:tc>
        <w:tc>
          <w:tcPr>
            <w:tcW w:w="828" w:type="dxa"/>
            <w:tcBorders>
              <w:top w:val="nil"/>
              <w:left w:val="nil"/>
              <w:bottom w:val="nil"/>
              <w:right w:val="nil"/>
            </w:tcBorders>
            <w:vAlign w:val="center"/>
          </w:tcPr>
          <w:p w14:paraId="368E85A9" w14:textId="77777777" w:rsidR="006212E9" w:rsidRDefault="00000000">
            <w:pPr>
              <w:jc w:val="center"/>
              <w:rPr>
                <w:szCs w:val="21"/>
              </w:rPr>
            </w:pPr>
            <w:r>
              <w:rPr>
                <w:rFonts w:ascii="Times New Roman" w:eastAsia="Times New Roman" w:hAnsi="Times New Roman"/>
                <w:szCs w:val="21"/>
              </w:rPr>
              <w:t>8,693</w:t>
            </w:r>
          </w:p>
        </w:tc>
        <w:tc>
          <w:tcPr>
            <w:tcW w:w="1535" w:type="dxa"/>
            <w:tcBorders>
              <w:top w:val="nil"/>
              <w:left w:val="nil"/>
              <w:bottom w:val="nil"/>
              <w:right w:val="nil"/>
            </w:tcBorders>
            <w:vAlign w:val="center"/>
          </w:tcPr>
          <w:p w14:paraId="14AA776B" w14:textId="77777777" w:rsidR="006212E9" w:rsidRDefault="00000000">
            <w:pPr>
              <w:jc w:val="center"/>
              <w:rPr>
                <w:szCs w:val="21"/>
              </w:rPr>
            </w:pPr>
            <w:r>
              <w:rPr>
                <w:rFonts w:ascii="Times New Roman" w:eastAsia="Times New Roman" w:hAnsi="Times New Roman"/>
                <w:szCs w:val="21"/>
              </w:rPr>
              <w:t>1.31 (1.22–1.40)</w:t>
            </w:r>
          </w:p>
        </w:tc>
        <w:tc>
          <w:tcPr>
            <w:tcW w:w="819" w:type="dxa"/>
            <w:tcBorders>
              <w:top w:val="nil"/>
              <w:left w:val="nil"/>
              <w:bottom w:val="nil"/>
              <w:right w:val="nil"/>
            </w:tcBorders>
            <w:vAlign w:val="center"/>
          </w:tcPr>
          <w:p w14:paraId="6AB4013C" w14:textId="77777777" w:rsidR="006212E9" w:rsidRDefault="00000000">
            <w:pPr>
              <w:jc w:val="center"/>
              <w:rPr>
                <w:szCs w:val="21"/>
              </w:rPr>
            </w:pPr>
            <w:r>
              <w:rPr>
                <w:rFonts w:ascii="Times New Roman" w:eastAsia="Times New Roman" w:hAnsi="Times New Roman"/>
                <w:szCs w:val="21"/>
              </w:rPr>
              <w:t>&lt;0.001</w:t>
            </w:r>
          </w:p>
        </w:tc>
        <w:tc>
          <w:tcPr>
            <w:tcW w:w="1969" w:type="dxa"/>
            <w:tcBorders>
              <w:top w:val="nil"/>
              <w:left w:val="nil"/>
              <w:bottom w:val="nil"/>
              <w:right w:val="nil"/>
            </w:tcBorders>
            <w:vAlign w:val="center"/>
          </w:tcPr>
          <w:p w14:paraId="16A051F0" w14:textId="77777777" w:rsidR="006212E9" w:rsidRDefault="00000000">
            <w:pPr>
              <w:jc w:val="center"/>
              <w:rPr>
                <w:szCs w:val="21"/>
              </w:rPr>
            </w:pPr>
            <w:r>
              <w:rPr>
                <w:rFonts w:ascii="Times New Roman" w:eastAsia="Times New Roman" w:hAnsi="Times New Roman"/>
                <w:szCs w:val="21"/>
              </w:rPr>
              <w:t>0.240</w:t>
            </w:r>
          </w:p>
        </w:tc>
      </w:tr>
      <w:tr w:rsidR="006212E9" w14:paraId="1FCB4516" w14:textId="77777777">
        <w:trPr>
          <w:jc w:val="center"/>
        </w:trPr>
        <w:tc>
          <w:tcPr>
            <w:tcW w:w="1485" w:type="dxa"/>
            <w:vMerge/>
            <w:tcBorders>
              <w:left w:val="nil"/>
              <w:bottom w:val="single" w:sz="4" w:space="0" w:color="auto"/>
              <w:right w:val="nil"/>
            </w:tcBorders>
            <w:vAlign w:val="center"/>
          </w:tcPr>
          <w:p w14:paraId="42A2F31B" w14:textId="77777777" w:rsidR="006212E9" w:rsidRDefault="006212E9">
            <w:pPr>
              <w:jc w:val="center"/>
              <w:rPr>
                <w:szCs w:val="21"/>
              </w:rPr>
            </w:pPr>
          </w:p>
        </w:tc>
        <w:tc>
          <w:tcPr>
            <w:tcW w:w="1788" w:type="dxa"/>
            <w:tcBorders>
              <w:top w:val="nil"/>
              <w:left w:val="nil"/>
              <w:bottom w:val="single" w:sz="4" w:space="0" w:color="auto"/>
              <w:right w:val="nil"/>
            </w:tcBorders>
            <w:vAlign w:val="center"/>
          </w:tcPr>
          <w:p w14:paraId="00551A12" w14:textId="77777777" w:rsidR="006212E9" w:rsidRDefault="00000000">
            <w:pPr>
              <w:jc w:val="center"/>
              <w:rPr>
                <w:szCs w:val="21"/>
              </w:rPr>
            </w:pPr>
            <w:r>
              <w:rPr>
                <w:rFonts w:ascii="Times New Roman" w:eastAsia="Times New Roman" w:hAnsi="Times New Roman"/>
                <w:szCs w:val="21"/>
              </w:rPr>
              <w:t>Yes</w:t>
            </w:r>
          </w:p>
        </w:tc>
        <w:tc>
          <w:tcPr>
            <w:tcW w:w="871" w:type="dxa"/>
            <w:tcBorders>
              <w:top w:val="nil"/>
              <w:left w:val="nil"/>
              <w:bottom w:val="single" w:sz="4" w:space="0" w:color="auto"/>
              <w:right w:val="nil"/>
            </w:tcBorders>
            <w:vAlign w:val="center"/>
          </w:tcPr>
          <w:p w14:paraId="5BD5CE0C" w14:textId="77777777" w:rsidR="006212E9" w:rsidRDefault="00000000">
            <w:pPr>
              <w:jc w:val="center"/>
              <w:rPr>
                <w:szCs w:val="21"/>
              </w:rPr>
            </w:pPr>
            <w:r>
              <w:rPr>
                <w:rFonts w:ascii="Times New Roman" w:eastAsia="Times New Roman" w:hAnsi="Times New Roman"/>
                <w:szCs w:val="21"/>
              </w:rPr>
              <w:t>21,182</w:t>
            </w:r>
          </w:p>
        </w:tc>
        <w:tc>
          <w:tcPr>
            <w:tcW w:w="828" w:type="dxa"/>
            <w:tcBorders>
              <w:top w:val="nil"/>
              <w:left w:val="nil"/>
              <w:bottom w:val="single" w:sz="4" w:space="0" w:color="auto"/>
              <w:right w:val="nil"/>
            </w:tcBorders>
            <w:vAlign w:val="center"/>
          </w:tcPr>
          <w:p w14:paraId="344E9454" w14:textId="77777777" w:rsidR="006212E9" w:rsidRDefault="00000000">
            <w:pPr>
              <w:jc w:val="center"/>
              <w:rPr>
                <w:szCs w:val="21"/>
              </w:rPr>
            </w:pPr>
            <w:r>
              <w:rPr>
                <w:rFonts w:ascii="Times New Roman" w:eastAsia="Times New Roman" w:hAnsi="Times New Roman"/>
                <w:szCs w:val="21"/>
              </w:rPr>
              <w:t>737</w:t>
            </w:r>
          </w:p>
        </w:tc>
        <w:tc>
          <w:tcPr>
            <w:tcW w:w="1535" w:type="dxa"/>
            <w:tcBorders>
              <w:top w:val="nil"/>
              <w:left w:val="nil"/>
              <w:bottom w:val="single" w:sz="4" w:space="0" w:color="auto"/>
              <w:right w:val="nil"/>
            </w:tcBorders>
            <w:vAlign w:val="center"/>
          </w:tcPr>
          <w:p w14:paraId="459D26F1" w14:textId="77777777" w:rsidR="006212E9" w:rsidRDefault="00000000">
            <w:pPr>
              <w:jc w:val="center"/>
              <w:rPr>
                <w:szCs w:val="21"/>
              </w:rPr>
            </w:pPr>
            <w:r>
              <w:rPr>
                <w:rFonts w:ascii="Times New Roman" w:eastAsia="Times New Roman" w:hAnsi="Times New Roman"/>
                <w:szCs w:val="21"/>
              </w:rPr>
              <w:t>1.14 (0.92–1.42)</w:t>
            </w:r>
          </w:p>
        </w:tc>
        <w:tc>
          <w:tcPr>
            <w:tcW w:w="819" w:type="dxa"/>
            <w:tcBorders>
              <w:top w:val="nil"/>
              <w:left w:val="nil"/>
              <w:bottom w:val="single" w:sz="4" w:space="0" w:color="auto"/>
              <w:right w:val="nil"/>
            </w:tcBorders>
            <w:vAlign w:val="center"/>
          </w:tcPr>
          <w:p w14:paraId="38EBCFE1" w14:textId="77777777" w:rsidR="006212E9" w:rsidRDefault="00000000">
            <w:pPr>
              <w:jc w:val="center"/>
              <w:rPr>
                <w:szCs w:val="21"/>
              </w:rPr>
            </w:pPr>
            <w:r>
              <w:rPr>
                <w:rFonts w:ascii="Times New Roman" w:eastAsia="Times New Roman" w:hAnsi="Times New Roman"/>
                <w:szCs w:val="21"/>
              </w:rPr>
              <w:t>0.219</w:t>
            </w:r>
          </w:p>
        </w:tc>
        <w:tc>
          <w:tcPr>
            <w:tcW w:w="1969" w:type="dxa"/>
            <w:tcBorders>
              <w:top w:val="nil"/>
              <w:left w:val="nil"/>
              <w:bottom w:val="single" w:sz="4" w:space="0" w:color="auto"/>
              <w:right w:val="nil"/>
            </w:tcBorders>
            <w:vAlign w:val="center"/>
          </w:tcPr>
          <w:p w14:paraId="4992CCE5" w14:textId="77777777" w:rsidR="006212E9" w:rsidRDefault="006212E9">
            <w:pPr>
              <w:jc w:val="center"/>
              <w:rPr>
                <w:szCs w:val="21"/>
              </w:rPr>
            </w:pPr>
          </w:p>
        </w:tc>
      </w:tr>
    </w:tbl>
    <w:p w14:paraId="542612F1" w14:textId="77777777" w:rsidR="006212E9" w:rsidRDefault="006212E9">
      <w:pPr>
        <w:rPr>
          <w:rFonts w:ascii="Times New Roman" w:eastAsia="Times New Roman" w:hAnsi="Times New Roman"/>
          <w:szCs w:val="21"/>
        </w:rPr>
      </w:pPr>
    </w:p>
    <w:p w14:paraId="53B178FF" w14:textId="77777777" w:rsidR="006212E9" w:rsidRDefault="00000000">
      <w:pPr>
        <w:rPr>
          <w:szCs w:val="21"/>
        </w:rPr>
      </w:pPr>
      <w:r>
        <w:rPr>
          <w:rFonts w:ascii="Times New Roman" w:eastAsia="Times New Roman" w:hAnsi="Times New Roman"/>
          <w:szCs w:val="21"/>
        </w:rPr>
        <w:t>Note: Values are hazard ratios and 95% confidence intervals for the highest versus lowest RCII quartile in fully adjusted complete-case Cox models stratified by baseline lipid-lowering medication use. P for interaction was calculated using RCII-by-medication interaction terms. Baseline lipid-lowering medication use was analyzed as a binary variable.</w:t>
      </w:r>
    </w:p>
    <w:p w14:paraId="5A7BB97C" w14:textId="77777777" w:rsidR="006212E9" w:rsidRDefault="006212E9"/>
    <w:p w14:paraId="7E1D52D5" w14:textId="77777777" w:rsidR="0038117D" w:rsidRDefault="0038117D">
      <w:pPr>
        <w:rPr>
          <w:rFonts w:hint="eastAsia"/>
        </w:rPr>
      </w:pPr>
    </w:p>
    <w:p w14:paraId="5787A4A2" w14:textId="77777777" w:rsidR="006212E9" w:rsidRDefault="00000000">
      <w:pPr>
        <w:rPr>
          <w:rFonts w:ascii="Times New Roman" w:hAnsi="Times New Roman" w:cs="Times New Roman"/>
          <w:b/>
          <w:bCs/>
          <w:sz w:val="24"/>
          <w:szCs w:val="32"/>
        </w:rPr>
      </w:pPr>
      <w:r>
        <w:rPr>
          <w:rFonts w:ascii="Times New Roman" w:hAnsi="Times New Roman" w:cs="Times New Roman"/>
          <w:b/>
          <w:bCs/>
          <w:sz w:val="24"/>
          <w:szCs w:val="32"/>
        </w:rPr>
        <w:t>Figure S</w:t>
      </w:r>
      <w:r>
        <w:rPr>
          <w:rFonts w:ascii="Times New Roman" w:hAnsi="Times New Roman" w:cs="Times New Roman" w:hint="eastAsia"/>
          <w:b/>
          <w:bCs/>
          <w:sz w:val="24"/>
          <w:szCs w:val="32"/>
        </w:rPr>
        <w:t>1</w:t>
      </w:r>
      <w:r>
        <w:rPr>
          <w:rFonts w:ascii="Times New Roman" w:hAnsi="Times New Roman" w:cs="Times New Roman"/>
          <w:b/>
          <w:bCs/>
          <w:sz w:val="24"/>
          <w:szCs w:val="32"/>
        </w:rPr>
        <w:t>. Joint Association of Remnant Cholesterol and Systemic Inflammation with the Risk of MACE in the UK Biobank Cohort</w:t>
      </w:r>
    </w:p>
    <w:p w14:paraId="09C3CBD9" w14:textId="77777777" w:rsidR="006212E9" w:rsidRDefault="00000000">
      <w:r>
        <w:rPr>
          <w:noProof/>
        </w:rPr>
        <w:drawing>
          <wp:inline distT="0" distB="0" distL="114300" distR="114300" wp14:anchorId="2D26DB05" wp14:editId="46AD0909">
            <wp:extent cx="5270500" cy="2395855"/>
            <wp:effectExtent l="0" t="0" r="6350" b="4445"/>
            <wp:docPr id="5" name="图片 5" descr="联合效应森林图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联合效应森林图_02"/>
                    <pic:cNvPicPr>
                      <a:picLocks noChangeAspect="1"/>
                    </pic:cNvPicPr>
                  </pic:nvPicPr>
                  <pic:blipFill>
                    <a:blip r:embed="rId6"/>
                    <a:stretch>
                      <a:fillRect/>
                    </a:stretch>
                  </pic:blipFill>
                  <pic:spPr>
                    <a:xfrm>
                      <a:off x="0" y="0"/>
                      <a:ext cx="5270500" cy="2395855"/>
                    </a:xfrm>
                    <a:prstGeom prst="rect">
                      <a:avLst/>
                    </a:prstGeom>
                  </pic:spPr>
                </pic:pic>
              </a:graphicData>
            </a:graphic>
          </wp:inline>
        </w:drawing>
      </w:r>
    </w:p>
    <w:p w14:paraId="1F9F7601" w14:textId="77777777" w:rsidR="006212E9" w:rsidRDefault="006212E9"/>
    <w:p w14:paraId="2205DAC3" w14:textId="77777777" w:rsidR="0038117D" w:rsidRDefault="0038117D"/>
    <w:p w14:paraId="62614A06" w14:textId="77777777" w:rsidR="0038117D" w:rsidRDefault="0038117D">
      <w:pPr>
        <w:rPr>
          <w:rFonts w:hint="eastAsia"/>
        </w:rPr>
      </w:pPr>
    </w:p>
    <w:p w14:paraId="437ED955" w14:textId="77777777" w:rsidR="006212E9" w:rsidRDefault="006212E9"/>
    <w:p w14:paraId="74646AF7" w14:textId="77777777" w:rsidR="006212E9" w:rsidRDefault="006212E9"/>
    <w:p w14:paraId="4B6884CF" w14:textId="77777777" w:rsidR="006212E9" w:rsidRDefault="006212E9"/>
    <w:p w14:paraId="03BBD571" w14:textId="77777777" w:rsidR="006212E9" w:rsidRDefault="006212E9"/>
    <w:p w14:paraId="57F7F42A" w14:textId="77777777" w:rsidR="006212E9" w:rsidRDefault="00000000">
      <w:pPr>
        <w:rPr>
          <w:rFonts w:ascii="Times New Roman" w:hAnsi="Times New Roman" w:cs="Times New Roman"/>
          <w:b/>
          <w:bCs/>
          <w:sz w:val="24"/>
          <w:szCs w:val="32"/>
        </w:rPr>
      </w:pPr>
      <w:r>
        <w:rPr>
          <w:rFonts w:ascii="Times New Roman" w:hAnsi="Times New Roman" w:cs="Times New Roman"/>
          <w:b/>
          <w:bCs/>
          <w:sz w:val="24"/>
          <w:szCs w:val="32"/>
        </w:rPr>
        <w:lastRenderedPageBreak/>
        <w:t>Figure S2. Subgroup Analysis of the Association Between RCII and Incident Hypertension in the CHARLS Cohort</w:t>
      </w:r>
    </w:p>
    <w:p w14:paraId="5E5EDE3A" w14:textId="77777777" w:rsidR="006212E9" w:rsidRDefault="006212E9">
      <w:pPr>
        <w:rPr>
          <w:rFonts w:ascii="Times New Roman" w:hAnsi="Times New Roman" w:cs="Times New Roman"/>
        </w:rPr>
      </w:pPr>
    </w:p>
    <w:p w14:paraId="78803148" w14:textId="77777777" w:rsidR="006212E9" w:rsidRDefault="00000000">
      <w:pPr>
        <w:rPr>
          <w:rFonts w:ascii="Times New Roman" w:eastAsia="宋体" w:hAnsi="Times New Roman" w:cs="Times New Roman"/>
          <w:sz w:val="24"/>
        </w:rPr>
      </w:pPr>
      <w:r>
        <w:rPr>
          <w:rFonts w:ascii="Times New Roman" w:eastAsia="宋体" w:hAnsi="Times New Roman" w:cs="Times New Roman" w:hint="eastAsia"/>
          <w:noProof/>
          <w:sz w:val="24"/>
        </w:rPr>
        <w:drawing>
          <wp:inline distT="0" distB="0" distL="114300" distR="114300" wp14:anchorId="77407D47" wp14:editId="0012F2ED">
            <wp:extent cx="5266690" cy="3686810"/>
            <wp:effectExtent l="0" t="0" r="635" b="8890"/>
            <wp:docPr id="7" name="图片 7" descr="Figure_S1_Subgroup_ForestPl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Figure_S1_Subgroup_ForestPlot"/>
                    <pic:cNvPicPr>
                      <a:picLocks noChangeAspect="1"/>
                    </pic:cNvPicPr>
                  </pic:nvPicPr>
                  <pic:blipFill>
                    <a:blip r:embed="rId7"/>
                    <a:stretch>
                      <a:fillRect/>
                    </a:stretch>
                  </pic:blipFill>
                  <pic:spPr>
                    <a:xfrm>
                      <a:off x="0" y="0"/>
                      <a:ext cx="5266690" cy="3686810"/>
                    </a:xfrm>
                    <a:prstGeom prst="rect">
                      <a:avLst/>
                    </a:prstGeom>
                  </pic:spPr>
                </pic:pic>
              </a:graphicData>
            </a:graphic>
          </wp:inline>
        </w:drawing>
      </w:r>
    </w:p>
    <w:p w14:paraId="6D5A283B" w14:textId="77777777" w:rsidR="006212E9" w:rsidRDefault="006212E9">
      <w:pPr>
        <w:rPr>
          <w:rFonts w:ascii="Times New Roman" w:eastAsia="宋体" w:hAnsi="Times New Roman" w:cs="Times New Roman"/>
          <w:sz w:val="24"/>
        </w:rPr>
      </w:pPr>
    </w:p>
    <w:p w14:paraId="36C64317" w14:textId="77777777" w:rsidR="006212E9" w:rsidRDefault="006212E9">
      <w:pPr>
        <w:rPr>
          <w:rFonts w:ascii="Times New Roman" w:eastAsia="宋体" w:hAnsi="Times New Roman" w:cs="Times New Roman"/>
          <w:sz w:val="24"/>
        </w:rPr>
      </w:pPr>
    </w:p>
    <w:p w14:paraId="6F08934F" w14:textId="77777777" w:rsidR="006212E9" w:rsidRDefault="00000000">
      <w:pPr>
        <w:rPr>
          <w:rFonts w:ascii="Times New Roman" w:eastAsia="宋体" w:hAnsi="Times New Roman" w:cs="Times New Roman"/>
          <w:b/>
          <w:bCs/>
          <w:sz w:val="24"/>
        </w:rPr>
      </w:pPr>
      <w:r>
        <w:rPr>
          <w:rFonts w:ascii="Times New Roman" w:eastAsia="宋体" w:hAnsi="Times New Roman" w:cs="Times New Roman"/>
          <w:b/>
          <w:bCs/>
          <w:sz w:val="24"/>
        </w:rPr>
        <w:t>Figure S3. Subgroup Analysis of the Association Between RCII and the Prevalence of Hypertension in the CHARLS Cohort</w:t>
      </w:r>
    </w:p>
    <w:p w14:paraId="37082241" w14:textId="77777777" w:rsidR="006212E9" w:rsidRDefault="006212E9">
      <w:pPr>
        <w:rPr>
          <w:rFonts w:ascii="Times New Roman" w:eastAsia="宋体" w:hAnsi="Times New Roman" w:cs="Times New Roman"/>
          <w:sz w:val="24"/>
        </w:rPr>
      </w:pPr>
    </w:p>
    <w:p w14:paraId="4E16E876" w14:textId="77777777" w:rsidR="006212E9" w:rsidRDefault="00000000">
      <w:pPr>
        <w:rPr>
          <w:rFonts w:ascii="Times New Roman" w:eastAsia="宋体" w:hAnsi="Times New Roman" w:cs="Times New Roman"/>
          <w:sz w:val="24"/>
        </w:rPr>
      </w:pPr>
      <w:r>
        <w:rPr>
          <w:rFonts w:ascii="Times New Roman" w:eastAsia="宋体" w:hAnsi="Times New Roman" w:cs="Times New Roman" w:hint="eastAsia"/>
          <w:noProof/>
          <w:sz w:val="24"/>
        </w:rPr>
        <w:drawing>
          <wp:anchor distT="0" distB="0" distL="114300" distR="114300" simplePos="0" relativeHeight="251659264" behindDoc="0" locked="0" layoutInCell="1" allowOverlap="1" wp14:anchorId="71FE1163" wp14:editId="3AEDF203">
            <wp:simplePos x="0" y="0"/>
            <wp:positionH relativeFrom="column">
              <wp:posOffset>73660</wp:posOffset>
            </wp:positionH>
            <wp:positionV relativeFrom="paragraph">
              <wp:posOffset>158115</wp:posOffset>
            </wp:positionV>
            <wp:extent cx="5107940" cy="2654300"/>
            <wp:effectExtent l="0" t="0" r="6985" b="3175"/>
            <wp:wrapNone/>
            <wp:docPr id="6" name="图片 6" descr="亚组分析RCII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亚组分析RCII_01"/>
                    <pic:cNvPicPr>
                      <a:picLocks noChangeAspect="1"/>
                    </pic:cNvPicPr>
                  </pic:nvPicPr>
                  <pic:blipFill>
                    <a:blip r:embed="rId8"/>
                    <a:srcRect l="8634" t="18662" r="8646" b="20588"/>
                    <a:stretch>
                      <a:fillRect/>
                    </a:stretch>
                  </pic:blipFill>
                  <pic:spPr>
                    <a:xfrm>
                      <a:off x="0" y="0"/>
                      <a:ext cx="5107940" cy="2654300"/>
                    </a:xfrm>
                    <a:prstGeom prst="rect">
                      <a:avLst/>
                    </a:prstGeom>
                  </pic:spPr>
                </pic:pic>
              </a:graphicData>
            </a:graphic>
          </wp:anchor>
        </w:drawing>
      </w:r>
    </w:p>
    <w:p w14:paraId="5FE0D054" w14:textId="77777777" w:rsidR="006212E9" w:rsidRDefault="006212E9">
      <w:pPr>
        <w:rPr>
          <w:rFonts w:ascii="Times New Roman" w:eastAsia="宋体" w:hAnsi="Times New Roman" w:cs="Times New Roman"/>
          <w:sz w:val="24"/>
        </w:rPr>
      </w:pPr>
    </w:p>
    <w:p w14:paraId="4EA52212" w14:textId="77777777" w:rsidR="006212E9" w:rsidRDefault="006212E9">
      <w:pPr>
        <w:rPr>
          <w:rFonts w:ascii="Times New Roman" w:eastAsia="宋体" w:hAnsi="Times New Roman" w:cs="Times New Roman"/>
          <w:sz w:val="24"/>
        </w:rPr>
      </w:pPr>
    </w:p>
    <w:p w14:paraId="3018FA89" w14:textId="77777777" w:rsidR="006212E9" w:rsidRDefault="006212E9">
      <w:pPr>
        <w:rPr>
          <w:rFonts w:ascii="Times New Roman" w:eastAsia="宋体" w:hAnsi="Times New Roman" w:cs="Times New Roman"/>
          <w:sz w:val="24"/>
        </w:rPr>
      </w:pPr>
    </w:p>
    <w:p w14:paraId="4950261F" w14:textId="77777777" w:rsidR="006212E9" w:rsidRDefault="006212E9">
      <w:pPr>
        <w:rPr>
          <w:rFonts w:ascii="Times New Roman" w:eastAsia="宋体" w:hAnsi="Times New Roman" w:cs="Times New Roman"/>
          <w:sz w:val="24"/>
        </w:rPr>
      </w:pPr>
    </w:p>
    <w:p w14:paraId="22D350A0" w14:textId="77777777" w:rsidR="006212E9" w:rsidRDefault="006212E9">
      <w:pPr>
        <w:rPr>
          <w:rFonts w:ascii="Times New Roman" w:eastAsia="宋体" w:hAnsi="Times New Roman" w:cs="Times New Roman"/>
          <w:sz w:val="24"/>
        </w:rPr>
      </w:pPr>
    </w:p>
    <w:p w14:paraId="1FC8CA0B" w14:textId="77777777" w:rsidR="006212E9" w:rsidRDefault="006212E9">
      <w:pPr>
        <w:rPr>
          <w:rFonts w:ascii="Times New Roman" w:eastAsia="宋体" w:hAnsi="Times New Roman" w:cs="Times New Roman"/>
          <w:sz w:val="24"/>
        </w:rPr>
      </w:pPr>
    </w:p>
    <w:p w14:paraId="74FBB925" w14:textId="77777777" w:rsidR="006212E9" w:rsidRDefault="006212E9">
      <w:pPr>
        <w:rPr>
          <w:rFonts w:ascii="Times New Roman" w:eastAsia="宋体" w:hAnsi="Times New Roman" w:cs="Times New Roman"/>
          <w:sz w:val="24"/>
        </w:rPr>
      </w:pPr>
    </w:p>
    <w:p w14:paraId="77FAC6A3" w14:textId="77777777" w:rsidR="006212E9" w:rsidRDefault="006212E9">
      <w:pPr>
        <w:rPr>
          <w:rFonts w:ascii="Times New Roman" w:eastAsia="宋体" w:hAnsi="Times New Roman" w:cs="Times New Roman"/>
          <w:sz w:val="24"/>
        </w:rPr>
      </w:pPr>
    </w:p>
    <w:p w14:paraId="6AA34157" w14:textId="77777777" w:rsidR="006212E9" w:rsidRDefault="006212E9">
      <w:pPr>
        <w:rPr>
          <w:rFonts w:ascii="Times New Roman" w:eastAsia="宋体" w:hAnsi="Times New Roman" w:cs="Times New Roman"/>
          <w:sz w:val="24"/>
        </w:rPr>
      </w:pPr>
    </w:p>
    <w:p w14:paraId="140E96A0" w14:textId="77777777" w:rsidR="006212E9" w:rsidRDefault="006212E9">
      <w:pPr>
        <w:rPr>
          <w:rFonts w:ascii="Times New Roman" w:eastAsia="宋体" w:hAnsi="Times New Roman" w:cs="Times New Roman"/>
          <w:sz w:val="24"/>
        </w:rPr>
      </w:pPr>
    </w:p>
    <w:p w14:paraId="0EB540CF" w14:textId="77777777" w:rsidR="006212E9" w:rsidRDefault="006212E9">
      <w:pPr>
        <w:rPr>
          <w:rFonts w:ascii="Times New Roman" w:eastAsia="宋体" w:hAnsi="Times New Roman" w:cs="Times New Roman"/>
          <w:sz w:val="24"/>
        </w:rPr>
      </w:pPr>
    </w:p>
    <w:p w14:paraId="5A840004" w14:textId="77777777" w:rsidR="006212E9" w:rsidRDefault="006212E9">
      <w:pPr>
        <w:rPr>
          <w:rFonts w:ascii="Times New Roman" w:eastAsia="宋体" w:hAnsi="Times New Roman" w:cs="Times New Roman"/>
          <w:sz w:val="24"/>
        </w:rPr>
      </w:pPr>
    </w:p>
    <w:p w14:paraId="150189D9" w14:textId="77777777" w:rsidR="006212E9" w:rsidRDefault="006212E9">
      <w:pPr>
        <w:rPr>
          <w:rFonts w:ascii="Times New Roman" w:eastAsia="宋体" w:hAnsi="Times New Roman" w:cs="Times New Roman"/>
          <w:sz w:val="24"/>
        </w:rPr>
      </w:pPr>
    </w:p>
    <w:p w14:paraId="708C8CFF" w14:textId="77777777" w:rsidR="006212E9" w:rsidRDefault="006212E9">
      <w:pPr>
        <w:rPr>
          <w:rFonts w:ascii="Times New Roman" w:eastAsia="宋体" w:hAnsi="Times New Roman" w:cs="Times New Roman"/>
          <w:sz w:val="24"/>
        </w:rPr>
      </w:pPr>
    </w:p>
    <w:p w14:paraId="628C51DE" w14:textId="77777777" w:rsidR="0038117D" w:rsidRDefault="0038117D">
      <w:pPr>
        <w:rPr>
          <w:rFonts w:ascii="Times New Roman" w:eastAsia="宋体" w:hAnsi="Times New Roman" w:cs="Times New Roman" w:hint="eastAsia"/>
          <w:sz w:val="24"/>
        </w:rPr>
      </w:pPr>
    </w:p>
    <w:p w14:paraId="5B0A1622" w14:textId="77777777" w:rsidR="006212E9" w:rsidRDefault="006212E9">
      <w:pPr>
        <w:rPr>
          <w:rFonts w:ascii="Times New Roman" w:eastAsia="宋体" w:hAnsi="Times New Roman" w:cs="Times New Roman"/>
          <w:sz w:val="24"/>
        </w:rPr>
      </w:pPr>
    </w:p>
    <w:p w14:paraId="2D000E2A" w14:textId="77777777" w:rsidR="006212E9" w:rsidRDefault="00000000">
      <w:pPr>
        <w:rPr>
          <w:rFonts w:ascii="Times New Roman" w:eastAsia="宋体" w:hAnsi="Times New Roman" w:cs="Times New Roman"/>
          <w:b/>
          <w:bCs/>
          <w:sz w:val="24"/>
        </w:rPr>
      </w:pPr>
      <w:r>
        <w:rPr>
          <w:rFonts w:ascii="Times New Roman" w:eastAsia="宋体" w:hAnsi="Times New Roman" w:cs="Times New Roman"/>
          <w:b/>
          <w:bCs/>
          <w:sz w:val="24"/>
        </w:rPr>
        <w:lastRenderedPageBreak/>
        <w:t>Figure S4. Restricted Cubic Spline Analysis of the Cross-Sectional Association Between RCII and Prevalent Hypertension in the CHARLS Cohort</w:t>
      </w:r>
    </w:p>
    <w:p w14:paraId="762C25BD" w14:textId="77777777" w:rsidR="006212E9" w:rsidRDefault="00000000">
      <w:pPr>
        <w:rPr>
          <w:rFonts w:ascii="Times New Roman" w:eastAsia="宋体" w:hAnsi="Times New Roman" w:cs="Times New Roman"/>
          <w:sz w:val="24"/>
        </w:rPr>
      </w:pPr>
      <w:r>
        <w:rPr>
          <w:noProof/>
        </w:rPr>
        <w:drawing>
          <wp:inline distT="0" distB="0" distL="114300" distR="114300" wp14:anchorId="556A25B2" wp14:editId="6434F7E0">
            <wp:extent cx="4324985" cy="3514090"/>
            <wp:effectExtent l="0" t="0" r="8890" b="635"/>
            <wp:docPr id="9" name="图片 8" descr="RCS_Publication_F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8" descr="RCS_Publication_Final"/>
                    <pic:cNvPicPr>
                      <a:picLocks noChangeAspect="1"/>
                    </pic:cNvPicPr>
                  </pic:nvPicPr>
                  <pic:blipFill>
                    <a:blip r:embed="rId9"/>
                    <a:stretch>
                      <a:fillRect/>
                    </a:stretch>
                  </pic:blipFill>
                  <pic:spPr>
                    <a:xfrm>
                      <a:off x="0" y="0"/>
                      <a:ext cx="4324985" cy="3514090"/>
                    </a:xfrm>
                    <a:prstGeom prst="rect">
                      <a:avLst/>
                    </a:prstGeom>
                  </pic:spPr>
                </pic:pic>
              </a:graphicData>
            </a:graphic>
          </wp:inline>
        </w:drawing>
      </w:r>
    </w:p>
    <w:p w14:paraId="7FD650C0" w14:textId="6D7D92A7" w:rsidR="0038117D" w:rsidRDefault="0038117D" w:rsidP="0038117D">
      <w:pPr>
        <w:rPr>
          <w:rFonts w:ascii="Times New Roman" w:hAnsi="Times New Roman" w:cs="Times New Roman" w:hint="eastAsia"/>
          <w:b/>
          <w:bCs/>
          <w:sz w:val="24"/>
          <w:szCs w:val="32"/>
        </w:rPr>
      </w:pPr>
      <w:r>
        <w:rPr>
          <w:rFonts w:ascii="Times New Roman" w:hAnsi="Times New Roman" w:cs="Times New Roman" w:hint="eastAsia"/>
          <w:b/>
          <w:bCs/>
          <w:sz w:val="24"/>
          <w:szCs w:val="32"/>
        </w:rPr>
        <w:t>Figure legend</w:t>
      </w:r>
    </w:p>
    <w:p w14:paraId="5ED95C80" w14:textId="3DB264EB" w:rsidR="0038117D" w:rsidRDefault="0038117D" w:rsidP="0038117D">
      <w:pPr>
        <w:rPr>
          <w:rFonts w:ascii="Times New Roman" w:hAnsi="Times New Roman" w:cs="Times New Roman"/>
        </w:rPr>
      </w:pPr>
      <w:r>
        <w:rPr>
          <w:rFonts w:ascii="Times New Roman" w:hAnsi="Times New Roman" w:cs="Times New Roman"/>
          <w:b/>
          <w:bCs/>
          <w:sz w:val="24"/>
          <w:szCs w:val="32"/>
        </w:rPr>
        <w:t>Figure S</w:t>
      </w:r>
      <w:r>
        <w:rPr>
          <w:rFonts w:ascii="Times New Roman" w:hAnsi="Times New Roman" w:cs="Times New Roman" w:hint="eastAsia"/>
          <w:b/>
          <w:bCs/>
          <w:sz w:val="24"/>
          <w:szCs w:val="32"/>
        </w:rPr>
        <w:t>1</w:t>
      </w:r>
      <w:r>
        <w:rPr>
          <w:rFonts w:ascii="Times New Roman" w:hAnsi="Times New Roman" w:cs="Times New Roman"/>
          <w:b/>
          <w:bCs/>
          <w:sz w:val="24"/>
          <w:szCs w:val="32"/>
        </w:rPr>
        <w:t>. Joint Association of Remnant Cholesterol and Systemic Inflammation with the Risk of MACE in the UK Biobank Cohort</w:t>
      </w:r>
      <w:r>
        <w:rPr>
          <w:rFonts w:ascii="Times New Roman" w:hAnsi="Times New Roman" w:cs="Times New Roman" w:hint="eastAsia"/>
          <w:b/>
          <w:bCs/>
          <w:sz w:val="24"/>
          <w:szCs w:val="32"/>
        </w:rPr>
        <w:t xml:space="preserve">. </w:t>
      </w:r>
      <w:r>
        <w:rPr>
          <w:rFonts w:ascii="Times New Roman" w:hAnsi="Times New Roman" w:cs="Times New Roman"/>
        </w:rPr>
        <w:t>The forest plot illustrates the joint association of combined exposure to remnant cholesterol (RC) and C-reactive protein (CRP) on the risk of major adverse cardiovascular events (MACE). Hazard ratios (HRs) and 95% confidence intervals (CIs) were derived from multivariable Cox proportional hazards regression models. Participants were stratified into four mutually exclusive groups based on baseline levels: Low RC / Low CRP (Reference), High RC / Low CRP, Low RC / High CRP, and High RC / High CRP. High RC was defined by values ≥the population-specific median, and High CRP was defined as high-sensitivity CRP ≥2 mg/L. The model was fully adjusted for age, sex, body mass index, Townsend deprivation index, education level, smoking status, drinking status, lipid-lowering medication use, history of diabetes, serum urate, estimated glomerular filtration rate, and glycated hemoglobin. The size of the data markers corresponds to the statistical weight of each joint category, and the horizontal lines represent the 95% CIs. The vertical dashed line indicates an HR of 1.00. Abbreviations: RC, remnant cholesterol; CRP, C-reactive protein; MACE, major adverse cardiovascular events; HR, hazard ratio; CI, confidence interval.</w:t>
      </w:r>
    </w:p>
    <w:p w14:paraId="53BE80ED" w14:textId="77777777" w:rsidR="0038117D" w:rsidRDefault="0038117D" w:rsidP="0038117D">
      <w:pPr>
        <w:rPr>
          <w:rFonts w:ascii="Times New Roman" w:eastAsia="宋体" w:hAnsi="Times New Roman" w:cs="Times New Roman"/>
          <w:sz w:val="24"/>
        </w:rPr>
      </w:pPr>
      <w:r>
        <w:rPr>
          <w:rFonts w:ascii="Times New Roman" w:hAnsi="Times New Roman" w:cs="Times New Roman"/>
          <w:b/>
          <w:bCs/>
          <w:sz w:val="24"/>
          <w:szCs w:val="32"/>
        </w:rPr>
        <w:t>Figure S2. Subgroup Analysis of the Association Between RCII and Incident Hypertension in the CHARLS Cohort</w:t>
      </w:r>
      <w:r>
        <w:rPr>
          <w:rFonts w:ascii="Times New Roman" w:hAnsi="Times New Roman" w:cs="Times New Roman" w:hint="eastAsia"/>
          <w:b/>
          <w:bCs/>
          <w:sz w:val="24"/>
          <w:szCs w:val="32"/>
        </w:rPr>
        <w:t xml:space="preserve">. </w:t>
      </w:r>
      <w:r>
        <w:rPr>
          <w:rFonts w:ascii="Times New Roman" w:hAnsi="Times New Roman" w:cs="Times New Roman"/>
        </w:rPr>
        <w:t xml:space="preserve">The forest plot illustrates the consistency of the longitudinal association between the Remnant Cholesterol-Inflammation Index (RCII) and the risk of incident hypertension across various prespecified subgroups. Effect estimates are presented as fully adjusted odds ratios (ORs) with 95% confidence intervals (CIs), comparing high RCII levels (≥ the median) to low RCII levels (&lt; the median). The overall model and subgroup-specific models were fully adjusted for age, sex, education, hukou, residence, body mass index (BMI), smoking status, drinking status, and baseline biochemical markers, except for the stratifying </w:t>
      </w:r>
      <w:r>
        <w:rPr>
          <w:rFonts w:ascii="Times New Roman" w:hAnsi="Times New Roman" w:cs="Times New Roman"/>
        </w:rPr>
        <w:lastRenderedPageBreak/>
        <w:t>variable itself. The size of the data squares corresponds to the point estimate and the statistical weight of each subgroup, while the horizontal lines represent the 95% CIs. The vertical dashed line indicates an OR of 1.00 (no effect). P for interaction was calculated to assess the heterogeneity of the effect across different strata. Abbreviations: RCII, Remnant Cholesterol-Inflammation Index; OR, odds ratio; CI, confidence interval; BMI, body mass index. The primary incident-hypertension cohort included 5,022 participants; model-specific complete-case samples varied according to covariate availability.</w:t>
      </w:r>
    </w:p>
    <w:p w14:paraId="4E64E98D" w14:textId="77777777" w:rsidR="0038117D" w:rsidRDefault="0038117D" w:rsidP="0038117D">
      <w:pPr>
        <w:rPr>
          <w:rFonts w:ascii="Times New Roman" w:eastAsia="宋体" w:hAnsi="Times New Roman" w:cs="Times New Roman"/>
          <w:sz w:val="24"/>
        </w:rPr>
      </w:pPr>
      <w:r>
        <w:rPr>
          <w:rFonts w:ascii="Times New Roman" w:eastAsia="宋体" w:hAnsi="Times New Roman" w:cs="Times New Roman"/>
          <w:b/>
          <w:bCs/>
          <w:sz w:val="24"/>
        </w:rPr>
        <w:t>Figure S3. Subgroup Analysis of the Association Between RCII and the Prevalence of Hypertension in the CHARLS Cohort</w:t>
      </w:r>
      <w:r>
        <w:rPr>
          <w:rFonts w:ascii="Times New Roman" w:eastAsia="宋体" w:hAnsi="Times New Roman" w:cs="Times New Roman" w:hint="eastAsia"/>
          <w:b/>
          <w:bCs/>
          <w:sz w:val="24"/>
        </w:rPr>
        <w:t xml:space="preserve">. </w:t>
      </w:r>
      <w:r>
        <w:rPr>
          <w:rFonts w:ascii="Times New Roman" w:eastAsia="宋体" w:hAnsi="Times New Roman" w:cs="Times New Roman"/>
          <w:sz w:val="24"/>
        </w:rPr>
        <w:t>The forest plot illustrates the cross-sectional association between the Remnant Cholesterol-Inflammation Index (RCII) and the prevalence of baseline hypertension across various prespecified subgroups.</w:t>
      </w:r>
      <w:r>
        <w:rPr>
          <w:rFonts w:ascii="Times New Roman" w:eastAsia="宋体" w:hAnsi="Times New Roman" w:cs="Times New Roman" w:hint="eastAsia"/>
          <w:sz w:val="24"/>
        </w:rPr>
        <w:t xml:space="preserve"> </w:t>
      </w:r>
      <w:r>
        <w:rPr>
          <w:rFonts w:ascii="Times New Roman" w:eastAsia="宋体" w:hAnsi="Times New Roman" w:cs="Times New Roman"/>
          <w:sz w:val="24"/>
        </w:rPr>
        <w:t>Effect estimates are presented as fully adjusted odds ratios (ORs) with 95% confidence intervals (CIs), comparing high RCII levels (≥ the median) to low RCII levels (&lt; the median). The overall model and subgroup-specific models were fully adjusted for age, sex, education, hukou, residence, body mass index (BMI), smoking status, drinking status, and baseline comorbidities (including diabetes, heart disease, and stroke), except for the stratifying variable itself.</w:t>
      </w:r>
      <w:r>
        <w:rPr>
          <w:rFonts w:ascii="Times New Roman" w:eastAsia="宋体" w:hAnsi="Times New Roman" w:cs="Times New Roman" w:hint="eastAsia"/>
          <w:sz w:val="24"/>
        </w:rPr>
        <w:t xml:space="preserve"> </w:t>
      </w:r>
      <w:r>
        <w:rPr>
          <w:rFonts w:ascii="Times New Roman" w:eastAsia="宋体" w:hAnsi="Times New Roman" w:cs="Times New Roman"/>
          <w:sz w:val="24"/>
        </w:rPr>
        <w:t>The size of the data squares corresponds to the point estimate and the statistical weight of each subgroup, while the horizontal lines represent the 95% CIs. The vertical dashed line indicates an OR of 1.00 (no effect). P for interaction was calculated to assess the heterogeneity of the associations across different strata.</w:t>
      </w:r>
      <w:r>
        <w:rPr>
          <w:rFonts w:ascii="Times New Roman" w:eastAsia="宋体" w:hAnsi="Times New Roman" w:cs="Times New Roman" w:hint="eastAsia"/>
          <w:sz w:val="24"/>
        </w:rPr>
        <w:t xml:space="preserve"> </w:t>
      </w:r>
      <w:r>
        <w:rPr>
          <w:rFonts w:ascii="Times New Roman" w:eastAsia="宋体" w:hAnsi="Times New Roman" w:cs="Times New Roman"/>
          <w:sz w:val="24"/>
        </w:rPr>
        <w:t>Abbreviations: RCII, Remnant Cholesterol-Inflammation Index; OR, odds ratio; CI, confidence interval; BMI, body mass index.</w:t>
      </w:r>
    </w:p>
    <w:p w14:paraId="10609DD1" w14:textId="77777777" w:rsidR="0038117D" w:rsidRDefault="0038117D" w:rsidP="0038117D">
      <w:pPr>
        <w:rPr>
          <w:rFonts w:ascii="Times New Roman" w:eastAsia="宋体" w:hAnsi="Times New Roman" w:cs="Times New Roman"/>
          <w:sz w:val="24"/>
        </w:rPr>
      </w:pPr>
      <w:r>
        <w:rPr>
          <w:rFonts w:ascii="Times New Roman" w:eastAsia="宋体" w:hAnsi="Times New Roman" w:cs="Times New Roman"/>
          <w:b/>
          <w:bCs/>
          <w:sz w:val="24"/>
        </w:rPr>
        <w:t>Figure S4. Restricted Cubic Spline Analysis of the Cross-Sectional Association Between RCII and Prevalent Hypertension in the CHARLS Cohort</w:t>
      </w:r>
      <w:r>
        <w:rPr>
          <w:rFonts w:ascii="Times New Roman" w:eastAsia="宋体" w:hAnsi="Times New Roman" w:cs="Times New Roman" w:hint="eastAsia"/>
          <w:b/>
          <w:bCs/>
          <w:sz w:val="24"/>
        </w:rPr>
        <w:t xml:space="preserve">. </w:t>
      </w:r>
      <w:r>
        <w:rPr>
          <w:rFonts w:ascii="Times New Roman" w:hAnsi="Times New Roman" w:cs="Times New Roman"/>
        </w:rPr>
        <w:t>The restricted cubic spline (RCS) curve illustrates the dose-response relationship between the continuous Remnant Cholesterol-Inflammation Index (RCII) and the prevalence of hypertension at baseline. The solid red line represents the fully adjusted estimated odds ratios (ORs), and the shaded area corresponds to the 95% confidence intervals (CIs). The reference point (OR = 1.00) was set at the median value of RCII. The multivariable logistic regression model was fully adjusted for age, sex, education, hukou, residence, body mass index (BMI), smoking status, drinking status, and baseline comorbidities (including diabetes, heart disease, and stroke</w:t>
      </w:r>
      <w:proofErr w:type="gramStart"/>
      <w:r>
        <w:rPr>
          <w:rFonts w:ascii="Times New Roman" w:hAnsi="Times New Roman" w:cs="Times New Roman"/>
        </w:rPr>
        <w:t>).P</w:t>
      </w:r>
      <w:proofErr w:type="gramEnd"/>
      <w:r>
        <w:rPr>
          <w:rFonts w:ascii="Times New Roman" w:hAnsi="Times New Roman" w:cs="Times New Roman"/>
        </w:rPr>
        <w:t xml:space="preserve"> for overall association and P for non-linearity are reported to assess the significance and the shape of the dose-response relationship, respectively. Abbreviations: RCII, Remnant Cholesterol-Inflammation Index; RCS, restricted cubic spline; OR, odds ratio; CI, confidence interval; BMI, body mass index.</w:t>
      </w:r>
    </w:p>
    <w:p w14:paraId="68DE812B" w14:textId="77777777" w:rsidR="006212E9" w:rsidRPr="0038117D" w:rsidRDefault="006212E9">
      <w:pPr>
        <w:rPr>
          <w:rFonts w:ascii="Times New Roman" w:eastAsia="宋体" w:hAnsi="Times New Roman" w:cs="Times New Roman"/>
          <w:sz w:val="24"/>
        </w:rPr>
      </w:pPr>
    </w:p>
    <w:p w14:paraId="3B0E42D6" w14:textId="77777777" w:rsidR="006212E9" w:rsidRDefault="006212E9">
      <w:pPr>
        <w:rPr>
          <w:rFonts w:ascii="Times New Roman" w:eastAsia="宋体" w:hAnsi="Times New Roman" w:cs="Times New Roman"/>
          <w:sz w:val="24"/>
        </w:rPr>
      </w:pPr>
    </w:p>
    <w:sectPr w:rsidR="006212E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502776" w14:textId="77777777" w:rsidR="005D0FB7" w:rsidRDefault="005D0FB7" w:rsidP="0038117D">
      <w:r>
        <w:separator/>
      </w:r>
    </w:p>
  </w:endnote>
  <w:endnote w:type="continuationSeparator" w:id="0">
    <w:p w14:paraId="086D475C" w14:textId="77777777" w:rsidR="005D0FB7" w:rsidRDefault="005D0FB7" w:rsidP="003811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sans-serif">
    <w:altName w:val="Segoe Print"/>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4DCBF6" w14:textId="77777777" w:rsidR="005D0FB7" w:rsidRDefault="005D0FB7" w:rsidP="0038117D">
      <w:r>
        <w:separator/>
      </w:r>
    </w:p>
  </w:footnote>
  <w:footnote w:type="continuationSeparator" w:id="0">
    <w:p w14:paraId="2E36FAFF" w14:textId="77777777" w:rsidR="005D0FB7" w:rsidRDefault="005D0FB7" w:rsidP="0038117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embedSystemFonts/>
  <w:proofState w:spelling="clean" w:grammar="clean"/>
  <w:defaultTabStop w:val="420"/>
  <w:drawingGridVerticalSpacing w:val="159"/>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13B91407"/>
    <w:rsid w:val="0038117D"/>
    <w:rsid w:val="005D0FB7"/>
    <w:rsid w:val="005F3655"/>
    <w:rsid w:val="006212E9"/>
    <w:rsid w:val="00783335"/>
    <w:rsid w:val="00961EA0"/>
    <w:rsid w:val="00B449EF"/>
    <w:rsid w:val="00F06716"/>
    <w:rsid w:val="02E1567B"/>
    <w:rsid w:val="0F710754"/>
    <w:rsid w:val="13B91407"/>
    <w:rsid w:val="1F807DBA"/>
    <w:rsid w:val="22270481"/>
    <w:rsid w:val="2F4B1946"/>
    <w:rsid w:val="3388587D"/>
    <w:rsid w:val="3B7F12F6"/>
    <w:rsid w:val="4F984279"/>
    <w:rsid w:val="5198027C"/>
    <w:rsid w:val="54DA2B5E"/>
    <w:rsid w:val="64525100"/>
    <w:rsid w:val="65E65B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01403BF5"/>
  <w15:docId w15:val="{A61D1FBF-024A-4090-A310-04558B32D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Normal (Web)"/>
    <w:basedOn w:val="a"/>
    <w:qFormat/>
    <w:pPr>
      <w:spacing w:beforeAutospacing="1" w:afterAutospacing="1"/>
      <w:jc w:val="left"/>
    </w:pPr>
    <w:rPr>
      <w:rFonts w:cs="Times New Roman"/>
      <w:kern w:val="0"/>
      <w:sz w:val="24"/>
    </w:rPr>
  </w:style>
  <w:style w:type="table" w:styleId="a6">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Strong"/>
    <w:basedOn w:val="a0"/>
    <w:qFormat/>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tif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7</Pages>
  <Words>1673</Words>
  <Characters>9537</Characters>
  <Application>Microsoft Office Word</Application>
  <DocSecurity>0</DocSecurity>
  <Lines>79</Lines>
  <Paragraphs>22</Paragraphs>
  <ScaleCrop>false</ScaleCrop>
  <Company/>
  <LinksUpToDate>false</LinksUpToDate>
  <CharactersWithSpaces>11188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Listen</dc:creator>
  <cp:lastModifiedBy>博达 周</cp:lastModifiedBy>
  <cp:revision>4</cp:revision>
  <dcterms:created xsi:type="dcterms:W3CDTF">2026-02-26T14:20:00Z</dcterms:created>
  <dcterms:modified xsi:type="dcterms:W3CDTF">2026-06-26T12:38:00Z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ICV">
    <vt:lpwstr>9E69521E3BBA4569BF01BB7C2891902E_13</vt:lpwstr>
  </property>
  <property fmtid="{D5CDD505-2E9C-101B-9397-08002B2CF9AE}" pid="4" name="KSOTemplateDocerSaveRecord">
    <vt:lpwstr>eyJoZGlkIjoiNWY1NWYyMDNjZWI5YWVkM2Y2ZDExZmQ1MGZiMjE0YWEiLCJ1c2VySWQiOiI2NTU1ODE0MTMifQ==</vt:lpwstr>
  </property>
</Properties>
</file>