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A565">
      <w:pPr>
        <w:spacing w:line="360" w:lineRule="auto"/>
        <w:rPr>
          <w:rFonts w:hint="default" w:ascii="Times New Roman Bold" w:hAnsi="Times New Roman Bold" w:eastAsia="宋体" w:cs="Times New Roman Bold"/>
          <w:b/>
          <w:bCs/>
          <w:szCs w:val="21"/>
          <w:lang w:val="en-US"/>
        </w:rPr>
      </w:pPr>
      <w:r>
        <w:rPr>
          <w:rFonts w:hint="eastAsia" w:ascii="Times New Roman Bold" w:hAnsi="Times New Roman Bold" w:eastAsia="宋体" w:cs="Times New Roman Bold"/>
          <w:b/>
          <w:bCs/>
          <w:szCs w:val="21"/>
        </w:rPr>
        <w:t>Supplementary</w:t>
      </w:r>
      <w:r>
        <w:rPr>
          <w:rFonts w:hint="default" w:ascii="Times New Roman Bold" w:hAnsi="Times New Roman Bold" w:eastAsia="宋体" w:cs="Times New Roman Bold"/>
          <w:b/>
          <w:bCs/>
          <w:szCs w:val="21"/>
          <w:lang w:val="en-US"/>
        </w:rPr>
        <w:t xml:space="preserve"> </w:t>
      </w:r>
      <w:r>
        <w:rPr>
          <w:rFonts w:ascii="Times New Roman Bold" w:hAnsi="Times New Roman Bold" w:eastAsia="宋体" w:cs="Times New Roman Bold"/>
          <w:b/>
          <w:bCs/>
          <w:szCs w:val="21"/>
        </w:rPr>
        <w:t xml:space="preserve">Table </w:t>
      </w:r>
      <w:r>
        <w:rPr>
          <w:rFonts w:hint="default" w:ascii="Times New Roman Bold" w:hAnsi="Times New Roman Bold" w:eastAsia="宋体" w:cs="Times New Roman Bold"/>
          <w:b/>
          <w:bCs/>
          <w:szCs w:val="21"/>
          <w:lang w:val="en-US"/>
        </w:rPr>
        <w:t>1</w:t>
      </w:r>
      <w:r>
        <w:rPr>
          <w:rFonts w:ascii="Times New Roman Bold" w:hAnsi="Times New Roman Bold" w:eastAsia="宋体" w:cs="Times New Roman Bold"/>
          <w:b/>
          <w:bCs/>
          <w:szCs w:val="21"/>
        </w:rPr>
        <w:t xml:space="preserve">. Pharmacologic treatment of </w:t>
      </w:r>
      <w:r>
        <w:rPr>
          <w:rFonts w:hint="eastAsia" w:ascii="Times New Roman Bold" w:hAnsi="Times New Roman Bold" w:eastAsia="宋体" w:cs="Times New Roman Bold"/>
          <w:b/>
          <w:bCs/>
          <w:szCs w:val="21"/>
        </w:rPr>
        <w:t>LV</w:t>
      </w:r>
      <w:r>
        <w:rPr>
          <w:rFonts w:hint="default" w:ascii="Times New Roman Bold" w:hAnsi="Times New Roman Bold" w:eastAsia="宋体" w:cs="Times New Roman Bold"/>
          <w:b/>
          <w:bCs/>
          <w:szCs w:val="21"/>
          <w:lang w:val="en-US"/>
        </w:rPr>
        <w:t>NC</w:t>
      </w:r>
      <w:r>
        <w:rPr>
          <w:rFonts w:hint="eastAsia" w:ascii="Times New Roman Bold" w:hAnsi="Times New Roman Bold" w:eastAsia="宋体" w:cs="Times New Roman Bold"/>
          <w:b/>
          <w:bCs/>
          <w:szCs w:val="21"/>
        </w:rPr>
        <w:t xml:space="preserve"> patients</w:t>
      </w:r>
    </w:p>
    <w:tbl>
      <w:tblPr>
        <w:tblStyle w:val="3"/>
        <w:tblW w:w="8203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2250"/>
        <w:gridCol w:w="1493"/>
        <w:gridCol w:w="1433"/>
        <w:gridCol w:w="1500"/>
        <w:gridCol w:w="953"/>
      </w:tblGrid>
      <w:tr w14:paraId="5394BC5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2824" w:type="dxa"/>
            <w:gridSpan w:val="2"/>
            <w:tcBorders>
              <w:bottom w:val="single" w:color="auto" w:sz="8" w:space="0"/>
            </w:tcBorders>
            <w:vAlign w:val="center"/>
          </w:tcPr>
          <w:p w14:paraId="3DE52F69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  <w:tc>
          <w:tcPr>
            <w:tcW w:w="1493" w:type="dxa"/>
            <w:tcBorders>
              <w:bottom w:val="single" w:color="auto" w:sz="8" w:space="0"/>
            </w:tcBorders>
            <w:vAlign w:val="center"/>
          </w:tcPr>
          <w:p w14:paraId="01815330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O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verall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(n=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448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1433" w:type="dxa"/>
            <w:tcBorders>
              <w:bottom w:val="single" w:color="auto" w:sz="8" w:space="0"/>
            </w:tcBorders>
            <w:vAlign w:val="center"/>
          </w:tcPr>
          <w:p w14:paraId="10923A30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DCM (n=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100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1500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36C821A0">
            <w:pPr>
              <w:jc w:val="center"/>
              <w:rPr>
                <w:rFonts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no DCM (n=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348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953" w:type="dxa"/>
            <w:tcBorders>
              <w:bottom w:val="single" w:color="auto" w:sz="8" w:space="0"/>
            </w:tcBorders>
            <w:vAlign w:val="center"/>
          </w:tcPr>
          <w:p w14:paraId="634EB6E4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p</w:t>
            </w:r>
          </w:p>
        </w:tc>
      </w:tr>
      <w:tr w14:paraId="2861A75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2824" w:type="dxa"/>
            <w:gridSpan w:val="2"/>
            <w:tcBorders>
              <w:top w:val="single" w:color="auto" w:sz="8" w:space="0"/>
            </w:tcBorders>
            <w:vAlign w:val="center"/>
          </w:tcPr>
          <w:p w14:paraId="7349649E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D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rugs to improve heart failure</w:t>
            </w:r>
          </w:p>
        </w:tc>
        <w:tc>
          <w:tcPr>
            <w:tcW w:w="1493" w:type="dxa"/>
            <w:tcBorders>
              <w:top w:val="single" w:color="auto" w:sz="8" w:space="0"/>
            </w:tcBorders>
            <w:vAlign w:val="center"/>
          </w:tcPr>
          <w:p w14:paraId="0D977B89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  <w:tc>
          <w:tcPr>
            <w:tcW w:w="1433" w:type="dxa"/>
            <w:tcBorders>
              <w:top w:val="single" w:color="auto" w:sz="8" w:space="0"/>
            </w:tcBorders>
            <w:vAlign w:val="center"/>
          </w:tcPr>
          <w:p w14:paraId="0A270E03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7E41B2D6">
            <w:pPr>
              <w:jc w:val="center"/>
              <w:rPr>
                <w:rFonts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53" w:type="dxa"/>
            <w:tcBorders>
              <w:top w:val="single" w:color="auto" w:sz="8" w:space="0"/>
            </w:tcBorders>
            <w:vAlign w:val="center"/>
          </w:tcPr>
          <w:p w14:paraId="78163D4A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</w:tr>
      <w:tr w14:paraId="04A5E7F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574" w:type="dxa"/>
            <w:vAlign w:val="center"/>
          </w:tcPr>
          <w:p w14:paraId="6933729C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  <w:tc>
          <w:tcPr>
            <w:tcW w:w="2250" w:type="dxa"/>
            <w:vAlign w:val="center"/>
          </w:tcPr>
          <w:p w14:paraId="49620784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β-blocker</w:t>
            </w:r>
          </w:p>
        </w:tc>
        <w:tc>
          <w:tcPr>
            <w:tcW w:w="1493" w:type="dxa"/>
            <w:vAlign w:val="center"/>
          </w:tcPr>
          <w:p w14:paraId="48D8B9F7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266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59.4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1433" w:type="dxa"/>
            <w:vAlign w:val="center"/>
          </w:tcPr>
          <w:p w14:paraId="7C8BED2D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80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80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.0)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52CC1D78">
            <w:pPr>
              <w:jc w:val="center"/>
              <w:rPr>
                <w:rFonts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186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53.4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953" w:type="dxa"/>
            <w:vAlign w:val="center"/>
          </w:tcPr>
          <w:p w14:paraId="0B3051C4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&lt;0.001</w:t>
            </w:r>
          </w:p>
        </w:tc>
      </w:tr>
      <w:tr w14:paraId="0239E7C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574" w:type="dxa"/>
            <w:vAlign w:val="center"/>
          </w:tcPr>
          <w:p w14:paraId="240D6D75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  <w:tc>
          <w:tcPr>
            <w:tcW w:w="2250" w:type="dxa"/>
            <w:vAlign w:val="center"/>
          </w:tcPr>
          <w:p w14:paraId="5321BB20">
            <w:pPr>
              <w:jc w:val="center"/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ACEI/ARB</w:t>
            </w:r>
          </w:p>
        </w:tc>
        <w:tc>
          <w:tcPr>
            <w:tcW w:w="1493" w:type="dxa"/>
            <w:vAlign w:val="center"/>
          </w:tcPr>
          <w:p w14:paraId="3F6691D1">
            <w:pPr>
              <w:jc w:val="center"/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158</w:t>
            </w:r>
            <w:r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35.3</w:t>
            </w:r>
            <w:r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433" w:type="dxa"/>
            <w:vAlign w:val="center"/>
          </w:tcPr>
          <w:p w14:paraId="445E310B">
            <w:pPr>
              <w:jc w:val="center"/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40 </w:t>
            </w:r>
            <w:r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40.0</w:t>
            </w:r>
            <w:r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1D5316E0">
            <w:pPr>
              <w:jc w:val="center"/>
              <w:rPr>
                <w:rFonts w:ascii="Times New Roman Regular" w:hAnsi="Times New Roman Regular" w:eastAsia="宋体" w:cs="Times New Roman Regular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118</w:t>
            </w:r>
            <w:r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33.9</w:t>
            </w:r>
            <w:r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53" w:type="dxa"/>
            <w:vAlign w:val="center"/>
          </w:tcPr>
          <w:p w14:paraId="613D83B4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0.261</w:t>
            </w:r>
          </w:p>
        </w:tc>
      </w:tr>
      <w:tr w14:paraId="3CD108E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574" w:type="dxa"/>
            <w:vAlign w:val="center"/>
          </w:tcPr>
          <w:p w14:paraId="388F8CDF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  <w:tc>
          <w:tcPr>
            <w:tcW w:w="2250" w:type="dxa"/>
            <w:vAlign w:val="center"/>
          </w:tcPr>
          <w:p w14:paraId="3D66F979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ARNI</w:t>
            </w:r>
          </w:p>
        </w:tc>
        <w:tc>
          <w:tcPr>
            <w:tcW w:w="1493" w:type="dxa"/>
            <w:vAlign w:val="center"/>
          </w:tcPr>
          <w:p w14:paraId="67983E68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 xml:space="preserve">105 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23.4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1433" w:type="dxa"/>
            <w:vAlign w:val="center"/>
          </w:tcPr>
          <w:p w14:paraId="402BC401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36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36.0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29280657">
            <w:pPr>
              <w:jc w:val="center"/>
              <w:rPr>
                <w:rFonts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69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19.8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953" w:type="dxa"/>
            <w:vAlign w:val="center"/>
          </w:tcPr>
          <w:p w14:paraId="5DB6EAD7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0.001</w:t>
            </w:r>
          </w:p>
        </w:tc>
      </w:tr>
      <w:tr w14:paraId="129BD46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574" w:type="dxa"/>
            <w:vAlign w:val="center"/>
          </w:tcPr>
          <w:p w14:paraId="4C7F1904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  <w:tc>
          <w:tcPr>
            <w:tcW w:w="2250" w:type="dxa"/>
            <w:vAlign w:val="center"/>
          </w:tcPr>
          <w:p w14:paraId="31DE8E10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A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ldosterone receptor antagonist</w:t>
            </w:r>
          </w:p>
        </w:tc>
        <w:tc>
          <w:tcPr>
            <w:tcW w:w="1493" w:type="dxa"/>
            <w:vAlign w:val="center"/>
          </w:tcPr>
          <w:p w14:paraId="3FBAD690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236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52.7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1433" w:type="dxa"/>
            <w:vAlign w:val="center"/>
          </w:tcPr>
          <w:p w14:paraId="63DCB103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85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85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.0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2D8D8163">
            <w:pPr>
              <w:jc w:val="center"/>
              <w:rPr>
                <w:rFonts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151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(4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3.4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953" w:type="dxa"/>
            <w:vAlign w:val="center"/>
          </w:tcPr>
          <w:p w14:paraId="1352E2E4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&lt;0.001</w:t>
            </w:r>
          </w:p>
        </w:tc>
      </w:tr>
      <w:tr w14:paraId="632B47E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574" w:type="dxa"/>
            <w:vAlign w:val="center"/>
          </w:tcPr>
          <w:p w14:paraId="5D502410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  <w:tc>
          <w:tcPr>
            <w:tcW w:w="2250" w:type="dxa"/>
            <w:vAlign w:val="center"/>
          </w:tcPr>
          <w:p w14:paraId="45C02357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D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igitalis</w:t>
            </w:r>
          </w:p>
        </w:tc>
        <w:tc>
          <w:tcPr>
            <w:tcW w:w="1493" w:type="dxa"/>
            <w:vAlign w:val="center"/>
          </w:tcPr>
          <w:p w14:paraId="380F3DAF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103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23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0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1433" w:type="dxa"/>
            <w:vAlign w:val="center"/>
          </w:tcPr>
          <w:p w14:paraId="7D0A5602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40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40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.0)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2EB4C397">
            <w:pPr>
              <w:jc w:val="center"/>
              <w:rPr>
                <w:rFonts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63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18.1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953" w:type="dxa"/>
            <w:vAlign w:val="center"/>
          </w:tcPr>
          <w:p w14:paraId="62BE48A6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&lt;0.001</w:t>
            </w:r>
          </w:p>
        </w:tc>
      </w:tr>
      <w:tr w14:paraId="3B3B98F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574" w:type="dxa"/>
            <w:vAlign w:val="center"/>
          </w:tcPr>
          <w:p w14:paraId="6B3348AC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  <w:tc>
          <w:tcPr>
            <w:tcW w:w="2250" w:type="dxa"/>
            <w:vAlign w:val="center"/>
          </w:tcPr>
          <w:p w14:paraId="3CD48169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D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iuretic</w:t>
            </w:r>
          </w:p>
        </w:tc>
        <w:tc>
          <w:tcPr>
            <w:tcW w:w="1493" w:type="dxa"/>
            <w:vAlign w:val="center"/>
          </w:tcPr>
          <w:p w14:paraId="7AE9A975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213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(4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7.5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1433" w:type="dxa"/>
            <w:vAlign w:val="center"/>
          </w:tcPr>
          <w:p w14:paraId="18667407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82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82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.0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2D49DB6B">
            <w:pPr>
              <w:jc w:val="center"/>
              <w:rPr>
                <w:rFonts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131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(37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6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953" w:type="dxa"/>
            <w:vAlign w:val="center"/>
          </w:tcPr>
          <w:p w14:paraId="1766B10F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&lt;0.001</w:t>
            </w:r>
          </w:p>
        </w:tc>
      </w:tr>
      <w:tr w14:paraId="7AD6D13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2824" w:type="dxa"/>
            <w:gridSpan w:val="2"/>
            <w:vAlign w:val="center"/>
          </w:tcPr>
          <w:p w14:paraId="54149F91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A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ntiarrhythmic drug</w:t>
            </w:r>
          </w:p>
        </w:tc>
        <w:tc>
          <w:tcPr>
            <w:tcW w:w="1493" w:type="dxa"/>
            <w:vAlign w:val="center"/>
          </w:tcPr>
          <w:p w14:paraId="6A05CF9F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  <w:tc>
          <w:tcPr>
            <w:tcW w:w="1433" w:type="dxa"/>
            <w:vAlign w:val="center"/>
          </w:tcPr>
          <w:p w14:paraId="2272C9C6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22C2F4EC">
            <w:pPr>
              <w:jc w:val="center"/>
              <w:rPr>
                <w:rFonts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53" w:type="dxa"/>
            <w:vAlign w:val="center"/>
          </w:tcPr>
          <w:p w14:paraId="31C67F45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</w:tr>
      <w:tr w14:paraId="13985DD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574" w:type="dxa"/>
            <w:vAlign w:val="center"/>
          </w:tcPr>
          <w:p w14:paraId="4EB1D7C8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  <w:tc>
          <w:tcPr>
            <w:tcW w:w="2250" w:type="dxa"/>
            <w:vAlign w:val="center"/>
          </w:tcPr>
          <w:p w14:paraId="4761F928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A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miodarone</w:t>
            </w:r>
          </w:p>
        </w:tc>
        <w:tc>
          <w:tcPr>
            <w:tcW w:w="1493" w:type="dxa"/>
            <w:vAlign w:val="center"/>
          </w:tcPr>
          <w:p w14:paraId="32AF538E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10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2.2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1433" w:type="dxa"/>
            <w:vAlign w:val="center"/>
          </w:tcPr>
          <w:p w14:paraId="20ACDA07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 xml:space="preserve">3 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3.0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47726A2F">
            <w:pPr>
              <w:jc w:val="center"/>
              <w:rPr>
                <w:rFonts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7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(2.0)</w:t>
            </w:r>
          </w:p>
        </w:tc>
        <w:tc>
          <w:tcPr>
            <w:tcW w:w="953" w:type="dxa"/>
            <w:vAlign w:val="center"/>
          </w:tcPr>
          <w:p w14:paraId="0FF5926B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0.837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vertAlign w:val="superscript"/>
                <w:lang w:val="en-US" w:eastAsia="zh-CN"/>
              </w:rPr>
              <w:t>a</w:t>
            </w:r>
          </w:p>
        </w:tc>
      </w:tr>
      <w:tr w14:paraId="2E63214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574" w:type="dxa"/>
            <w:vAlign w:val="center"/>
          </w:tcPr>
          <w:p w14:paraId="18C35FE2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  <w:tc>
          <w:tcPr>
            <w:tcW w:w="2250" w:type="dxa"/>
            <w:vAlign w:val="center"/>
          </w:tcPr>
          <w:p w14:paraId="761047A9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M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exiletine</w:t>
            </w:r>
          </w:p>
        </w:tc>
        <w:tc>
          <w:tcPr>
            <w:tcW w:w="1493" w:type="dxa"/>
            <w:vAlign w:val="center"/>
          </w:tcPr>
          <w:p w14:paraId="430B18CF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14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3.1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1433" w:type="dxa"/>
            <w:vAlign w:val="center"/>
          </w:tcPr>
          <w:p w14:paraId="0230C3F4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4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4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0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6C9FDC4D">
            <w:pPr>
              <w:jc w:val="center"/>
              <w:rPr>
                <w:rFonts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10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2.9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953" w:type="dxa"/>
            <w:vAlign w:val="center"/>
          </w:tcPr>
          <w:p w14:paraId="747BE9D5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0.807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vertAlign w:val="superscript"/>
                <w:lang w:val="en-US" w:eastAsia="zh-CN"/>
              </w:rPr>
              <w:t>a</w:t>
            </w:r>
          </w:p>
        </w:tc>
      </w:tr>
      <w:tr w14:paraId="3F19EE2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2824" w:type="dxa"/>
            <w:gridSpan w:val="2"/>
            <w:vAlign w:val="center"/>
          </w:tcPr>
          <w:p w14:paraId="032B19E5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A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ntiplatelet drug</w:t>
            </w:r>
          </w:p>
        </w:tc>
        <w:tc>
          <w:tcPr>
            <w:tcW w:w="1493" w:type="dxa"/>
            <w:vAlign w:val="center"/>
          </w:tcPr>
          <w:p w14:paraId="231EC7C8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  <w:tc>
          <w:tcPr>
            <w:tcW w:w="1433" w:type="dxa"/>
            <w:vAlign w:val="center"/>
          </w:tcPr>
          <w:p w14:paraId="68B8B4E5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2FE05DA1">
            <w:pPr>
              <w:jc w:val="center"/>
              <w:rPr>
                <w:rFonts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53" w:type="dxa"/>
            <w:vAlign w:val="center"/>
          </w:tcPr>
          <w:p w14:paraId="365B2443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</w:tr>
      <w:tr w14:paraId="14D4E1E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574" w:type="dxa"/>
            <w:vAlign w:val="center"/>
          </w:tcPr>
          <w:p w14:paraId="240FE91B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  <w:tc>
          <w:tcPr>
            <w:tcW w:w="2250" w:type="dxa"/>
            <w:vAlign w:val="center"/>
          </w:tcPr>
          <w:p w14:paraId="4535938C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A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spirin </w:t>
            </w:r>
          </w:p>
        </w:tc>
        <w:tc>
          <w:tcPr>
            <w:tcW w:w="1493" w:type="dxa"/>
            <w:vAlign w:val="center"/>
          </w:tcPr>
          <w:p w14:paraId="3FC31118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61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(1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3.6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1433" w:type="dxa"/>
            <w:vAlign w:val="center"/>
          </w:tcPr>
          <w:p w14:paraId="03B2FD6A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14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14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0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61BDB560">
            <w:pPr>
              <w:jc w:val="center"/>
              <w:rPr>
                <w:rFonts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47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(1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3.5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953" w:type="dxa"/>
            <w:vAlign w:val="center"/>
          </w:tcPr>
          <w:p w14:paraId="1FB423FA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0.899</w:t>
            </w:r>
          </w:p>
        </w:tc>
      </w:tr>
      <w:tr w14:paraId="00890D7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2824" w:type="dxa"/>
            <w:gridSpan w:val="2"/>
            <w:vAlign w:val="center"/>
          </w:tcPr>
          <w:p w14:paraId="4FC84AA6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A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nticoagulant</w:t>
            </w:r>
          </w:p>
        </w:tc>
        <w:tc>
          <w:tcPr>
            <w:tcW w:w="1493" w:type="dxa"/>
            <w:vAlign w:val="center"/>
          </w:tcPr>
          <w:p w14:paraId="106AC466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  <w:tc>
          <w:tcPr>
            <w:tcW w:w="1433" w:type="dxa"/>
            <w:vAlign w:val="center"/>
          </w:tcPr>
          <w:p w14:paraId="0ACA9590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6D0ABB3A">
            <w:pPr>
              <w:jc w:val="center"/>
              <w:rPr>
                <w:rFonts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53" w:type="dxa"/>
            <w:vAlign w:val="center"/>
          </w:tcPr>
          <w:p w14:paraId="3295F63B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</w:tr>
      <w:tr w14:paraId="0F22E28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574" w:type="dxa"/>
            <w:vAlign w:val="center"/>
          </w:tcPr>
          <w:p w14:paraId="15370273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  <w:tc>
          <w:tcPr>
            <w:tcW w:w="2250" w:type="dxa"/>
            <w:vAlign w:val="center"/>
          </w:tcPr>
          <w:p w14:paraId="3DCACD83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W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arfarin</w:t>
            </w:r>
          </w:p>
        </w:tc>
        <w:tc>
          <w:tcPr>
            <w:tcW w:w="1493" w:type="dxa"/>
            <w:vAlign w:val="center"/>
          </w:tcPr>
          <w:p w14:paraId="14EB42E2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1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6 (3.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6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1433" w:type="dxa"/>
            <w:vAlign w:val="center"/>
          </w:tcPr>
          <w:p w14:paraId="0C417A86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1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1.0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695B18E1">
            <w:pPr>
              <w:jc w:val="center"/>
              <w:rPr>
                <w:rFonts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15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(4.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3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953" w:type="dxa"/>
            <w:vAlign w:val="center"/>
          </w:tcPr>
          <w:p w14:paraId="55FA0E57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0.205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vertAlign w:val="superscript"/>
                <w:lang w:val="en-US" w:eastAsia="zh-CN"/>
              </w:rPr>
              <w:t>a</w:t>
            </w:r>
          </w:p>
        </w:tc>
      </w:tr>
      <w:tr w14:paraId="2FC79EE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574" w:type="dxa"/>
            <w:vAlign w:val="center"/>
          </w:tcPr>
          <w:p w14:paraId="56C451A4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</w:p>
        </w:tc>
        <w:tc>
          <w:tcPr>
            <w:tcW w:w="2250" w:type="dxa"/>
            <w:vAlign w:val="center"/>
          </w:tcPr>
          <w:p w14:paraId="2142F02D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R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ivaroxaban</w:t>
            </w:r>
          </w:p>
        </w:tc>
        <w:tc>
          <w:tcPr>
            <w:tcW w:w="1493" w:type="dxa"/>
            <w:vAlign w:val="center"/>
          </w:tcPr>
          <w:p w14:paraId="4E8CFB98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22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4.9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1433" w:type="dxa"/>
            <w:vAlign w:val="center"/>
          </w:tcPr>
          <w:p w14:paraId="7C22D60E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8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8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0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408B032A">
            <w:pPr>
              <w:jc w:val="center"/>
              <w:rPr>
                <w:rFonts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14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4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0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953" w:type="dxa"/>
            <w:vAlign w:val="center"/>
          </w:tcPr>
          <w:p w14:paraId="6041E18E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0.105</w:t>
            </w:r>
          </w:p>
        </w:tc>
      </w:tr>
      <w:tr w14:paraId="1397FA8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2824" w:type="dxa"/>
            <w:gridSpan w:val="2"/>
            <w:vAlign w:val="center"/>
          </w:tcPr>
          <w:p w14:paraId="7DE3E418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A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ntihyperlipidemic drug</w:t>
            </w:r>
          </w:p>
        </w:tc>
        <w:tc>
          <w:tcPr>
            <w:tcW w:w="1493" w:type="dxa"/>
            <w:vAlign w:val="center"/>
          </w:tcPr>
          <w:p w14:paraId="2CA50584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77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(17.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2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1433" w:type="dxa"/>
            <w:vAlign w:val="center"/>
          </w:tcPr>
          <w:p w14:paraId="69E06864">
            <w:pPr>
              <w:jc w:val="center"/>
              <w:rPr>
                <w:rFonts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17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(17.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0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4E130104">
            <w:pPr>
              <w:jc w:val="center"/>
              <w:rPr>
                <w:rFonts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60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 xml:space="preserve"> (17.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2</w:t>
            </w:r>
            <w:r>
              <w:rPr>
                <w:rFonts w:ascii="Times New Roman Regular" w:hAnsi="Times New Roman Regular" w:eastAsia="宋体" w:cs="Times New Roman Regular"/>
                <w:sz w:val="18"/>
                <w:szCs w:val="18"/>
              </w:rPr>
              <w:t>)</w:t>
            </w:r>
          </w:p>
        </w:tc>
        <w:tc>
          <w:tcPr>
            <w:tcW w:w="953" w:type="dxa"/>
            <w:vAlign w:val="center"/>
          </w:tcPr>
          <w:p w14:paraId="57A66998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0.955</w:t>
            </w:r>
          </w:p>
        </w:tc>
      </w:tr>
    </w:tbl>
    <w:p w14:paraId="0C854B0F">
      <w:pPr>
        <w:rPr>
          <w:rFonts w:hint="default" w:ascii="Times New Roman Regular" w:hAnsi="Times New Roman Regular" w:eastAsia="宋体" w:cs="Times New Roman Regular"/>
          <w:lang w:val="en-US" w:eastAsia="zh-CN"/>
        </w:rPr>
      </w:pPr>
      <w:r>
        <w:rPr>
          <w:rFonts w:hint="eastAsia" w:ascii="Times New Roman Regular" w:hAnsi="Times New Roman Regular" w:eastAsia="宋体" w:cs="Times New Roman Regular"/>
        </w:rPr>
        <w:t xml:space="preserve">Note: </w:t>
      </w:r>
      <w:r>
        <w:rPr>
          <w:rFonts w:hint="eastAsia" w:ascii="Times New Roman Regular" w:hAnsi="Times New Roman Regular" w:eastAsia="宋体" w:cs="Times New Roman Regular"/>
          <w:vertAlign w:val="superscript"/>
        </w:rPr>
        <w:t>a</w:t>
      </w:r>
      <w:r>
        <w:rPr>
          <w:rFonts w:hint="eastAsia" w:ascii="Times New Roman Regular" w:hAnsi="Times New Roman Regular" w:eastAsia="宋体" w:cs="Times New Roman Regular"/>
        </w:rPr>
        <w:t xml:space="preserve"> refers to continuity correction; </w:t>
      </w:r>
      <w:r>
        <w:rPr>
          <w:rFonts w:ascii="Times New Roman Regular" w:hAnsi="Times New Roman Regular" w:eastAsia="宋体" w:cs="Times New Roman Regular"/>
        </w:rPr>
        <w:t>ACEI: angiotensin-converting enzyme inhibitor; ARB: angiotensin II receptor antagonist; ARNI: angiotensin receptor enkephalinase inhibitor</w:t>
      </w:r>
      <w:r>
        <w:rPr>
          <w:rFonts w:hint="default" w:ascii="Times New Roman Regular" w:hAnsi="Times New Roman Regular" w:eastAsia="宋体" w:cs="Times New Roman Regular"/>
          <w:lang w:val="en-US"/>
        </w:rPr>
        <w:t>.</w:t>
      </w:r>
    </w:p>
    <w:p w14:paraId="136DE586"/>
    <w:p w14:paraId="1B6BD8FD"/>
    <w:p w14:paraId="5F456306"/>
    <w:p w14:paraId="44F9AE62"/>
    <w:p w14:paraId="506B2E8B"/>
    <w:p w14:paraId="7E6B345F"/>
    <w:p w14:paraId="6B2401F9"/>
    <w:p w14:paraId="5DEC9B84"/>
    <w:p w14:paraId="08B812FC"/>
    <w:p w14:paraId="0FA1EF25">
      <w:pPr>
        <w:numPr>
          <w:ilvl w:val="0"/>
          <w:numId w:val="0"/>
        </w:numPr>
        <w:spacing w:line="360" w:lineRule="auto"/>
        <w:jc w:val="both"/>
        <w:rPr>
          <w:rFonts w:hint="default"/>
          <w:lang w:val="en-US" w:eastAsia="zh-CN"/>
        </w:rPr>
      </w:pPr>
      <w:r>
        <w:rPr>
          <w:rFonts w:hint="eastAsia" w:ascii="Times New Roman Bold" w:hAnsi="Times New Roman Bold" w:eastAsia="宋体" w:cs="Times New Roman Bold"/>
          <w:b/>
          <w:bCs/>
          <w:szCs w:val="21"/>
        </w:rPr>
        <w:t>Supplementary</w:t>
      </w:r>
      <w:r>
        <w:rPr>
          <w:rFonts w:hint="default" w:ascii="Times New Roman Bold" w:hAnsi="Times New Roman Bold" w:eastAsia="宋体" w:cs="Times New Roman Bold"/>
          <w:b/>
          <w:bCs/>
          <w:szCs w:val="21"/>
          <w:lang w:val="en-US"/>
        </w:rPr>
        <w:t xml:space="preserve"> </w:t>
      </w:r>
      <w:r>
        <w:rPr>
          <w:rFonts w:ascii="Times New Roman Bold" w:hAnsi="Times New Roman Bold" w:eastAsia="宋体" w:cs="Times New Roman Bold"/>
          <w:b/>
          <w:bCs/>
          <w:szCs w:val="21"/>
        </w:rPr>
        <w:t xml:space="preserve">Table </w:t>
      </w:r>
      <w:r>
        <w:rPr>
          <w:rFonts w:hint="eastAsia" w:ascii="Times New Roman Bold" w:hAnsi="Times New Roman Bold" w:eastAsia="宋体" w:cs="Times New Roman Bold"/>
          <w:b/>
          <w:bCs/>
          <w:szCs w:val="21"/>
          <w:lang w:val="en-US" w:eastAsia="zh-CN"/>
        </w:rPr>
        <w:t>2</w:t>
      </w:r>
      <w:r>
        <w:rPr>
          <w:rFonts w:hint="default" w:ascii="Times New Roman Bold" w:hAnsi="Times New Roman Bold" w:eastAsia="宋体" w:cs="Times New Roman Bold"/>
          <w:b/>
          <w:bCs/>
          <w:sz w:val="21"/>
          <w:szCs w:val="21"/>
          <w:lang w:val="en-US" w:eastAsia="zh-CN"/>
        </w:rPr>
        <w:t xml:space="preserve">. Logistic regression analysis of factors associated with dilated cardiomyopathy phenotype in </w:t>
      </w:r>
      <w:r>
        <w:rPr>
          <w:rFonts w:hint="eastAsia" w:ascii="Times New Roman Bold" w:hAnsi="Times New Roman Bold" w:eastAsia="宋体" w:cs="Times New Roman Bold"/>
          <w:b/>
          <w:bCs/>
          <w:sz w:val="21"/>
          <w:szCs w:val="21"/>
          <w:lang w:val="en-US" w:eastAsia="zh-CN"/>
        </w:rPr>
        <w:t xml:space="preserve">children </w:t>
      </w:r>
      <w:r>
        <w:rPr>
          <w:rFonts w:hint="default" w:ascii="Times New Roman Bold" w:hAnsi="Times New Roman Bold" w:eastAsia="宋体" w:cs="Times New Roman Bold"/>
          <w:b/>
          <w:bCs/>
          <w:sz w:val="21"/>
          <w:szCs w:val="21"/>
          <w:lang w:val="en-US" w:eastAsia="zh-CN"/>
        </w:rPr>
        <w:t>patients with LVNC</w:t>
      </w:r>
    </w:p>
    <w:tbl>
      <w:tblPr>
        <w:tblStyle w:val="3"/>
        <w:tblW w:w="984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4"/>
        <w:gridCol w:w="967"/>
        <w:gridCol w:w="1283"/>
        <w:gridCol w:w="867"/>
        <w:gridCol w:w="485"/>
        <w:gridCol w:w="901"/>
        <w:gridCol w:w="1333"/>
        <w:gridCol w:w="849"/>
      </w:tblGrid>
      <w:tr w14:paraId="1724BC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Merge w:val="restart"/>
            <w:vAlign w:val="center"/>
          </w:tcPr>
          <w:p w14:paraId="55C2BB9C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3117" w:type="dxa"/>
            <w:gridSpan w:val="3"/>
            <w:tcBorders>
              <w:bottom w:val="single" w:color="auto" w:sz="4" w:space="0"/>
            </w:tcBorders>
            <w:vAlign w:val="center"/>
          </w:tcPr>
          <w:p w14:paraId="1630BCE5"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Univariable analysis (DCM n=28)</w:t>
            </w:r>
          </w:p>
        </w:tc>
        <w:tc>
          <w:tcPr>
            <w:tcW w:w="485" w:type="dxa"/>
            <w:vAlign w:val="center"/>
          </w:tcPr>
          <w:p w14:paraId="7E83C77B"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3083" w:type="dxa"/>
            <w:gridSpan w:val="3"/>
            <w:tcBorders>
              <w:bottom w:val="single" w:color="auto" w:sz="4" w:space="0"/>
            </w:tcBorders>
            <w:vAlign w:val="center"/>
          </w:tcPr>
          <w:p w14:paraId="02A8DAEF"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Multivariable analysis (DCM n=28)</w:t>
            </w:r>
          </w:p>
        </w:tc>
      </w:tr>
      <w:tr w14:paraId="49151C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Merge w:val="continue"/>
            <w:tcBorders>
              <w:bottom w:val="single" w:color="auto" w:sz="4" w:space="0"/>
            </w:tcBorders>
            <w:vAlign w:val="center"/>
          </w:tcPr>
          <w:p w14:paraId="23B1E807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6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3805CE"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OR</w:t>
            </w:r>
          </w:p>
        </w:tc>
        <w:tc>
          <w:tcPr>
            <w:tcW w:w="128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0FE2D8A"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95% CI</w:t>
            </w:r>
          </w:p>
        </w:tc>
        <w:tc>
          <w:tcPr>
            <w:tcW w:w="86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220BA24"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P value</w:t>
            </w:r>
          </w:p>
        </w:tc>
        <w:tc>
          <w:tcPr>
            <w:tcW w:w="485" w:type="dxa"/>
            <w:tcBorders>
              <w:bottom w:val="single" w:color="auto" w:sz="4" w:space="0"/>
            </w:tcBorders>
            <w:vAlign w:val="center"/>
          </w:tcPr>
          <w:p w14:paraId="47D0599E"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28EAC4B"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OR</w:t>
            </w:r>
          </w:p>
        </w:tc>
        <w:tc>
          <w:tcPr>
            <w:tcW w:w="133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5EECF96"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95% CI</w:t>
            </w: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32797CA"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P value</w:t>
            </w:r>
          </w:p>
        </w:tc>
      </w:tr>
      <w:tr w14:paraId="563314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tcBorders>
              <w:top w:val="single" w:color="auto" w:sz="4" w:space="0"/>
            </w:tcBorders>
            <w:vAlign w:val="center"/>
          </w:tcPr>
          <w:p w14:paraId="1988CD66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 xml:space="preserve">Body surface area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18"/>
                <w:szCs w:val="18"/>
              </w:rPr>
              <w:t>(m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18"/>
                <w:szCs w:val="18"/>
                <w:vertAlign w:val="superscript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18"/>
                <w:szCs w:val="18"/>
              </w:rPr>
              <w:t>)</w:t>
            </w:r>
          </w:p>
        </w:tc>
        <w:tc>
          <w:tcPr>
            <w:tcW w:w="967" w:type="dxa"/>
            <w:tcBorders>
              <w:top w:val="single" w:color="auto" w:sz="4" w:space="0"/>
            </w:tcBorders>
            <w:vAlign w:val="center"/>
          </w:tcPr>
          <w:p w14:paraId="62840436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1.060</w:t>
            </w:r>
          </w:p>
        </w:tc>
        <w:tc>
          <w:tcPr>
            <w:tcW w:w="1283" w:type="dxa"/>
            <w:tcBorders>
              <w:top w:val="single" w:color="auto" w:sz="4" w:space="0"/>
            </w:tcBorders>
            <w:vAlign w:val="center"/>
          </w:tcPr>
          <w:p w14:paraId="3A51EE94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0.455-2.469</w:t>
            </w:r>
          </w:p>
        </w:tc>
        <w:tc>
          <w:tcPr>
            <w:tcW w:w="867" w:type="dxa"/>
            <w:tcBorders>
              <w:top w:val="single" w:color="auto" w:sz="4" w:space="0"/>
            </w:tcBorders>
            <w:vAlign w:val="center"/>
          </w:tcPr>
          <w:p w14:paraId="21D0EADC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0.892</w:t>
            </w:r>
          </w:p>
        </w:tc>
        <w:tc>
          <w:tcPr>
            <w:tcW w:w="485" w:type="dxa"/>
            <w:tcBorders>
              <w:top w:val="single" w:color="auto" w:sz="4" w:space="0"/>
            </w:tcBorders>
            <w:vAlign w:val="center"/>
          </w:tcPr>
          <w:p w14:paraId="67E089BC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tcBorders>
              <w:top w:val="single" w:color="auto" w:sz="4" w:space="0"/>
            </w:tcBorders>
            <w:vAlign w:val="center"/>
          </w:tcPr>
          <w:p w14:paraId="7FEF80B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33" w:type="dxa"/>
            <w:tcBorders>
              <w:top w:val="single" w:color="auto" w:sz="4" w:space="0"/>
            </w:tcBorders>
            <w:vAlign w:val="center"/>
          </w:tcPr>
          <w:p w14:paraId="6C363DE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849" w:type="dxa"/>
            <w:tcBorders>
              <w:top w:val="single" w:color="auto" w:sz="4" w:space="0"/>
            </w:tcBorders>
            <w:vAlign w:val="center"/>
          </w:tcPr>
          <w:p w14:paraId="622FEA0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</w:tr>
      <w:tr w14:paraId="4A5935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55568313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Dyspnea</w:t>
            </w:r>
          </w:p>
        </w:tc>
        <w:tc>
          <w:tcPr>
            <w:tcW w:w="967" w:type="dxa"/>
            <w:vAlign w:val="center"/>
          </w:tcPr>
          <w:p w14:paraId="528EB6D2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4.267</w:t>
            </w:r>
          </w:p>
        </w:tc>
        <w:tc>
          <w:tcPr>
            <w:tcW w:w="1283" w:type="dxa"/>
            <w:vAlign w:val="center"/>
          </w:tcPr>
          <w:p w14:paraId="6759E4F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1.843-9.875</w:t>
            </w:r>
          </w:p>
        </w:tc>
        <w:tc>
          <w:tcPr>
            <w:tcW w:w="867" w:type="dxa"/>
            <w:vAlign w:val="center"/>
          </w:tcPr>
          <w:p w14:paraId="6B8C297A">
            <w:pPr>
              <w:jc w:val="center"/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0.001</w:t>
            </w:r>
          </w:p>
        </w:tc>
        <w:tc>
          <w:tcPr>
            <w:tcW w:w="485" w:type="dxa"/>
            <w:vAlign w:val="center"/>
          </w:tcPr>
          <w:p w14:paraId="65BD4E4A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vAlign w:val="center"/>
          </w:tcPr>
          <w:p w14:paraId="0B415D8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3D8317C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849" w:type="dxa"/>
            <w:vAlign w:val="center"/>
          </w:tcPr>
          <w:p w14:paraId="61D4AF7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</w:tr>
      <w:tr w14:paraId="23856E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2E7727C5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NYHA Class III/IV</w:t>
            </w:r>
          </w:p>
        </w:tc>
        <w:tc>
          <w:tcPr>
            <w:tcW w:w="967" w:type="dxa"/>
            <w:vAlign w:val="center"/>
          </w:tcPr>
          <w:p w14:paraId="5A9006AB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5.846</w:t>
            </w:r>
          </w:p>
        </w:tc>
        <w:tc>
          <w:tcPr>
            <w:tcW w:w="1283" w:type="dxa"/>
            <w:vAlign w:val="center"/>
          </w:tcPr>
          <w:p w14:paraId="23E9EEB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2.441-14.004</w:t>
            </w:r>
          </w:p>
        </w:tc>
        <w:tc>
          <w:tcPr>
            <w:tcW w:w="867" w:type="dxa"/>
            <w:vAlign w:val="center"/>
          </w:tcPr>
          <w:p w14:paraId="213FCB2E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485" w:type="dxa"/>
            <w:vAlign w:val="center"/>
          </w:tcPr>
          <w:p w14:paraId="30396446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vAlign w:val="center"/>
          </w:tcPr>
          <w:p w14:paraId="7AA522A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046489D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849" w:type="dxa"/>
            <w:vAlign w:val="center"/>
          </w:tcPr>
          <w:p w14:paraId="1969FE7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</w:tr>
      <w:tr w14:paraId="650EC2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51FE8522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F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</w:rPr>
              <w:t>requent ventricular premature</w:t>
            </w:r>
          </w:p>
        </w:tc>
        <w:tc>
          <w:tcPr>
            <w:tcW w:w="967" w:type="dxa"/>
            <w:vAlign w:val="center"/>
          </w:tcPr>
          <w:p w14:paraId="59DD4845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2.591</w:t>
            </w:r>
          </w:p>
        </w:tc>
        <w:tc>
          <w:tcPr>
            <w:tcW w:w="1283" w:type="dxa"/>
            <w:vAlign w:val="center"/>
          </w:tcPr>
          <w:p w14:paraId="27B25D47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0.900-7.459</w:t>
            </w:r>
          </w:p>
        </w:tc>
        <w:tc>
          <w:tcPr>
            <w:tcW w:w="867" w:type="dxa"/>
            <w:vAlign w:val="center"/>
          </w:tcPr>
          <w:p w14:paraId="04392F70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0.078</w:t>
            </w:r>
          </w:p>
        </w:tc>
        <w:tc>
          <w:tcPr>
            <w:tcW w:w="485" w:type="dxa"/>
            <w:vAlign w:val="center"/>
          </w:tcPr>
          <w:p w14:paraId="4F0B9937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vAlign w:val="center"/>
          </w:tcPr>
          <w:p w14:paraId="6A23EB7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33" w:type="dxa"/>
            <w:vAlign w:val="center"/>
          </w:tcPr>
          <w:p w14:paraId="27496AF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49" w:type="dxa"/>
            <w:vAlign w:val="center"/>
          </w:tcPr>
          <w:p w14:paraId="3CC500F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</w:tr>
      <w:tr w14:paraId="6D633C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1420E78D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N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</w:rPr>
              <w:t>on-sustained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</w:rPr>
              <w:t>ventricular tachycardia</w:t>
            </w:r>
          </w:p>
        </w:tc>
        <w:tc>
          <w:tcPr>
            <w:tcW w:w="967" w:type="dxa"/>
            <w:vAlign w:val="center"/>
          </w:tcPr>
          <w:p w14:paraId="76F7569B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2.896</w:t>
            </w:r>
          </w:p>
        </w:tc>
        <w:tc>
          <w:tcPr>
            <w:tcW w:w="1283" w:type="dxa"/>
            <w:vAlign w:val="center"/>
          </w:tcPr>
          <w:p w14:paraId="6658BFC5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0.808-10.374</w:t>
            </w:r>
          </w:p>
        </w:tc>
        <w:tc>
          <w:tcPr>
            <w:tcW w:w="867" w:type="dxa"/>
            <w:vAlign w:val="center"/>
          </w:tcPr>
          <w:p w14:paraId="2D2ED01D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0.102</w:t>
            </w:r>
          </w:p>
        </w:tc>
        <w:tc>
          <w:tcPr>
            <w:tcW w:w="485" w:type="dxa"/>
            <w:vAlign w:val="center"/>
          </w:tcPr>
          <w:p w14:paraId="2D99B0C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vAlign w:val="center"/>
          </w:tcPr>
          <w:p w14:paraId="7F1098E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33" w:type="dxa"/>
            <w:vAlign w:val="center"/>
          </w:tcPr>
          <w:p w14:paraId="6AF5026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49" w:type="dxa"/>
            <w:vAlign w:val="center"/>
          </w:tcPr>
          <w:p w14:paraId="1AC7FA89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</w:tr>
      <w:tr w14:paraId="25BEE3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4EBB7795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LAD (mm,±s)</w:t>
            </w:r>
          </w:p>
        </w:tc>
        <w:tc>
          <w:tcPr>
            <w:tcW w:w="967" w:type="dxa"/>
            <w:vAlign w:val="center"/>
          </w:tcPr>
          <w:p w14:paraId="3BAAF6C6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1.050</w:t>
            </w:r>
          </w:p>
        </w:tc>
        <w:tc>
          <w:tcPr>
            <w:tcW w:w="1283" w:type="dxa"/>
            <w:vAlign w:val="center"/>
          </w:tcPr>
          <w:p w14:paraId="781AAE10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1.010-1.091</w:t>
            </w:r>
          </w:p>
        </w:tc>
        <w:tc>
          <w:tcPr>
            <w:tcW w:w="867" w:type="dxa"/>
            <w:vAlign w:val="center"/>
          </w:tcPr>
          <w:p w14:paraId="0416B2E5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0.014</w:t>
            </w:r>
          </w:p>
        </w:tc>
        <w:tc>
          <w:tcPr>
            <w:tcW w:w="485" w:type="dxa"/>
            <w:vAlign w:val="center"/>
          </w:tcPr>
          <w:p w14:paraId="5F8EACCC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vAlign w:val="center"/>
          </w:tcPr>
          <w:p w14:paraId="189A5CC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3DCE482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849" w:type="dxa"/>
            <w:vAlign w:val="center"/>
          </w:tcPr>
          <w:p w14:paraId="3A66411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</w:tr>
      <w:tr w14:paraId="5D8CEF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1B73150E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LVEDD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(mm,</w:t>
            </w:r>
            <m:oMath>
              <m:bar>
                <m:barPr>
                  <m:pos m:val="top"/>
                  <m:ctrlPr>
                    <w:rPr>
                      <w:rFonts w:hint="default" w:ascii="Cambria Math" w:hAnsi="Cambria Math" w:eastAsia="宋体" w:cs="Times New Roman Regular"/>
                      <w:iCs/>
                      <w:sz w:val="18"/>
                      <w:szCs w:val="18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hint="default" w:ascii="Cambria Math" w:hAnsi="Cambria Math" w:eastAsia="宋体" w:cs="Times New Roman Regular"/>
                      <w:sz w:val="18"/>
                      <w:szCs w:val="18"/>
                    </w:rPr>
                    <m:t>x</m:t>
                  </m:r>
                  <m:ctrlPr>
                    <w:rPr>
                      <w:rFonts w:hint="default" w:ascii="Cambria Math" w:hAnsi="Cambria Math" w:eastAsia="宋体" w:cs="Times New Roman Regular"/>
                      <w:iCs/>
                      <w:sz w:val="18"/>
                      <w:szCs w:val="18"/>
                    </w:rPr>
                  </m:ctrlPr>
                </m:e>
              </m:bar>
            </m:oMath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±s)</w:t>
            </w:r>
          </w:p>
        </w:tc>
        <w:tc>
          <w:tcPr>
            <w:tcW w:w="967" w:type="dxa"/>
            <w:vAlign w:val="center"/>
          </w:tcPr>
          <w:p w14:paraId="4F955B9E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1.131</w:t>
            </w:r>
          </w:p>
        </w:tc>
        <w:tc>
          <w:tcPr>
            <w:tcW w:w="1283" w:type="dxa"/>
            <w:vAlign w:val="center"/>
          </w:tcPr>
          <w:p w14:paraId="27F9A913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1.075-1.190</w:t>
            </w:r>
          </w:p>
        </w:tc>
        <w:tc>
          <w:tcPr>
            <w:tcW w:w="867" w:type="dxa"/>
            <w:vAlign w:val="center"/>
          </w:tcPr>
          <w:p w14:paraId="1264AEAB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485" w:type="dxa"/>
            <w:vAlign w:val="center"/>
          </w:tcPr>
          <w:p w14:paraId="1EB2EAB6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vAlign w:val="center"/>
          </w:tcPr>
          <w:p w14:paraId="41A8E7C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1.140</w:t>
            </w:r>
          </w:p>
        </w:tc>
        <w:tc>
          <w:tcPr>
            <w:tcW w:w="1333" w:type="dxa"/>
            <w:vAlign w:val="center"/>
          </w:tcPr>
          <w:p w14:paraId="4B6EAEA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1.049-1.240</w:t>
            </w:r>
          </w:p>
        </w:tc>
        <w:tc>
          <w:tcPr>
            <w:tcW w:w="849" w:type="dxa"/>
            <w:vAlign w:val="center"/>
          </w:tcPr>
          <w:p w14:paraId="2830981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0.002</w:t>
            </w:r>
          </w:p>
        </w:tc>
      </w:tr>
      <w:tr w14:paraId="093855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6134D6E2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LVEF (%,±s)</w:t>
            </w:r>
          </w:p>
        </w:tc>
        <w:tc>
          <w:tcPr>
            <w:tcW w:w="967" w:type="dxa"/>
            <w:vAlign w:val="center"/>
          </w:tcPr>
          <w:p w14:paraId="49019F1C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0.903</w:t>
            </w:r>
          </w:p>
        </w:tc>
        <w:tc>
          <w:tcPr>
            <w:tcW w:w="1283" w:type="dxa"/>
            <w:vAlign w:val="center"/>
          </w:tcPr>
          <w:p w14:paraId="411FF4CF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0.868-0.939</w:t>
            </w:r>
          </w:p>
        </w:tc>
        <w:tc>
          <w:tcPr>
            <w:tcW w:w="867" w:type="dxa"/>
            <w:vAlign w:val="center"/>
          </w:tcPr>
          <w:p w14:paraId="314D8DCA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485" w:type="dxa"/>
            <w:vAlign w:val="center"/>
          </w:tcPr>
          <w:p w14:paraId="7183617A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vAlign w:val="center"/>
          </w:tcPr>
          <w:p w14:paraId="72307E4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7733902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849" w:type="dxa"/>
            <w:vAlign w:val="center"/>
          </w:tcPr>
          <w:p w14:paraId="1F507D6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</w:tr>
      <w:tr w14:paraId="17DA8D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2BD14FAF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M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oderate/massive mitral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regurgitation</w:t>
            </w:r>
          </w:p>
        </w:tc>
        <w:tc>
          <w:tcPr>
            <w:tcW w:w="967" w:type="dxa"/>
            <w:vAlign w:val="center"/>
          </w:tcPr>
          <w:p w14:paraId="1DAD40F5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4.033</w:t>
            </w:r>
          </w:p>
        </w:tc>
        <w:tc>
          <w:tcPr>
            <w:tcW w:w="1283" w:type="dxa"/>
            <w:vAlign w:val="center"/>
          </w:tcPr>
          <w:p w14:paraId="359780F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1.715-9.484</w:t>
            </w:r>
          </w:p>
        </w:tc>
        <w:tc>
          <w:tcPr>
            <w:tcW w:w="867" w:type="dxa"/>
            <w:vAlign w:val="center"/>
          </w:tcPr>
          <w:p w14:paraId="50BA71A7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485" w:type="dxa"/>
            <w:vAlign w:val="center"/>
          </w:tcPr>
          <w:p w14:paraId="7E47869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vAlign w:val="center"/>
          </w:tcPr>
          <w:p w14:paraId="67F1732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2F895CC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849" w:type="dxa"/>
            <w:vAlign w:val="center"/>
          </w:tcPr>
          <w:p w14:paraId="33109C6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</w:tr>
      <w:tr w14:paraId="4C1BC8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7EAC18CB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LGE (+)</w:t>
            </w:r>
          </w:p>
        </w:tc>
        <w:tc>
          <w:tcPr>
            <w:tcW w:w="967" w:type="dxa"/>
            <w:vAlign w:val="center"/>
          </w:tcPr>
          <w:p w14:paraId="3A365F08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3.743</w:t>
            </w:r>
          </w:p>
        </w:tc>
        <w:tc>
          <w:tcPr>
            <w:tcW w:w="1283" w:type="dxa"/>
            <w:vAlign w:val="center"/>
          </w:tcPr>
          <w:p w14:paraId="0EE37973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1.505-9.306</w:t>
            </w:r>
          </w:p>
        </w:tc>
        <w:tc>
          <w:tcPr>
            <w:tcW w:w="867" w:type="dxa"/>
            <w:vAlign w:val="center"/>
          </w:tcPr>
          <w:p w14:paraId="71B798FE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0.005</w:t>
            </w:r>
          </w:p>
        </w:tc>
        <w:tc>
          <w:tcPr>
            <w:tcW w:w="485" w:type="dxa"/>
            <w:vAlign w:val="center"/>
          </w:tcPr>
          <w:p w14:paraId="0966291D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vAlign w:val="center"/>
          </w:tcPr>
          <w:p w14:paraId="6FCFC3A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4F52D4B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849" w:type="dxa"/>
            <w:vAlign w:val="center"/>
          </w:tcPr>
          <w:p w14:paraId="7014D0B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</w:tr>
      <w:tr w14:paraId="15B6F1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435E1E14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ln NT-proBNP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(pg/ml)</w:t>
            </w:r>
          </w:p>
        </w:tc>
        <w:tc>
          <w:tcPr>
            <w:tcW w:w="967" w:type="dxa"/>
            <w:vAlign w:val="center"/>
          </w:tcPr>
          <w:p w14:paraId="227AFF3A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2.335</w:t>
            </w:r>
          </w:p>
        </w:tc>
        <w:tc>
          <w:tcPr>
            <w:tcW w:w="1283" w:type="dxa"/>
            <w:vAlign w:val="center"/>
          </w:tcPr>
          <w:p w14:paraId="19F8B1B2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1.459-3.739</w:t>
            </w:r>
          </w:p>
        </w:tc>
        <w:tc>
          <w:tcPr>
            <w:tcW w:w="867" w:type="dxa"/>
            <w:vAlign w:val="center"/>
          </w:tcPr>
          <w:p w14:paraId="471E3238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485" w:type="dxa"/>
            <w:vAlign w:val="center"/>
          </w:tcPr>
          <w:p w14:paraId="2BD93AFF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vAlign w:val="center"/>
          </w:tcPr>
          <w:p w14:paraId="3C431F8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732716D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849" w:type="dxa"/>
            <w:vAlign w:val="center"/>
          </w:tcPr>
          <w:p w14:paraId="11F1A4F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</w:tr>
      <w:tr w14:paraId="11AC701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shd w:val="clear" w:color="auto" w:fill="auto"/>
            <w:vAlign w:val="center"/>
          </w:tcPr>
          <w:p w14:paraId="5CCF2FF9">
            <w:pPr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  <w:t xml:space="preserve">Big ET-1 (pmol/L) </w:t>
            </w:r>
          </w:p>
        </w:tc>
        <w:tc>
          <w:tcPr>
            <w:tcW w:w="967" w:type="dxa"/>
            <w:vAlign w:val="center"/>
          </w:tcPr>
          <w:p w14:paraId="6DF7C524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1.516</w:t>
            </w:r>
          </w:p>
        </w:tc>
        <w:tc>
          <w:tcPr>
            <w:tcW w:w="1283" w:type="dxa"/>
            <w:vAlign w:val="center"/>
          </w:tcPr>
          <w:p w14:paraId="142C83D5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0.588-3.909</w:t>
            </w:r>
          </w:p>
        </w:tc>
        <w:tc>
          <w:tcPr>
            <w:tcW w:w="867" w:type="dxa"/>
            <w:vAlign w:val="center"/>
          </w:tcPr>
          <w:p w14:paraId="415E5A76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0.389</w:t>
            </w:r>
          </w:p>
        </w:tc>
        <w:tc>
          <w:tcPr>
            <w:tcW w:w="485" w:type="dxa"/>
            <w:vAlign w:val="center"/>
          </w:tcPr>
          <w:p w14:paraId="2FDE5FA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vAlign w:val="center"/>
          </w:tcPr>
          <w:p w14:paraId="52D7775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33" w:type="dxa"/>
            <w:vAlign w:val="center"/>
          </w:tcPr>
          <w:p w14:paraId="52DEB3E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49" w:type="dxa"/>
            <w:vAlign w:val="center"/>
          </w:tcPr>
          <w:p w14:paraId="0B7D80C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</w:tr>
      <w:tr w14:paraId="3FDAD4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2" w:hRule="atLeast"/>
          <w:jc w:val="center"/>
        </w:trPr>
        <w:tc>
          <w:tcPr>
            <w:tcW w:w="3164" w:type="dxa"/>
            <w:shd w:val="clear" w:color="auto" w:fill="auto"/>
            <w:vAlign w:val="center"/>
          </w:tcPr>
          <w:p w14:paraId="4F059418">
            <w:pPr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  <w:t>ALT (U/L)</w:t>
            </w:r>
          </w:p>
        </w:tc>
        <w:tc>
          <w:tcPr>
            <w:tcW w:w="967" w:type="dxa"/>
            <w:vAlign w:val="center"/>
          </w:tcPr>
          <w:p w14:paraId="6C6C987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1.002</w:t>
            </w:r>
          </w:p>
        </w:tc>
        <w:tc>
          <w:tcPr>
            <w:tcW w:w="1283" w:type="dxa"/>
            <w:vAlign w:val="center"/>
          </w:tcPr>
          <w:p w14:paraId="0A2A098B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0.997-1.006</w:t>
            </w:r>
          </w:p>
        </w:tc>
        <w:tc>
          <w:tcPr>
            <w:tcW w:w="867" w:type="dxa"/>
            <w:vAlign w:val="center"/>
          </w:tcPr>
          <w:p w14:paraId="6358F8E7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0.455</w:t>
            </w:r>
          </w:p>
        </w:tc>
        <w:tc>
          <w:tcPr>
            <w:tcW w:w="485" w:type="dxa"/>
            <w:vAlign w:val="center"/>
          </w:tcPr>
          <w:p w14:paraId="6894043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vAlign w:val="center"/>
          </w:tcPr>
          <w:p w14:paraId="1531A39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33" w:type="dxa"/>
            <w:vAlign w:val="center"/>
          </w:tcPr>
          <w:p w14:paraId="3C7B76C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49" w:type="dxa"/>
            <w:vAlign w:val="center"/>
          </w:tcPr>
          <w:p w14:paraId="3A8D0CA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</w:tr>
      <w:tr w14:paraId="1F20B9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2BBBA8CA">
            <w:pPr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  <w:t>AST (U/L)</w:t>
            </w:r>
          </w:p>
        </w:tc>
        <w:tc>
          <w:tcPr>
            <w:tcW w:w="967" w:type="dxa"/>
            <w:vAlign w:val="center"/>
          </w:tcPr>
          <w:p w14:paraId="48F777AF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1.004</w:t>
            </w:r>
          </w:p>
        </w:tc>
        <w:tc>
          <w:tcPr>
            <w:tcW w:w="1283" w:type="dxa"/>
            <w:vAlign w:val="center"/>
          </w:tcPr>
          <w:p w14:paraId="6A9CA184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0.997-1.010</w:t>
            </w:r>
          </w:p>
        </w:tc>
        <w:tc>
          <w:tcPr>
            <w:tcW w:w="867" w:type="dxa"/>
            <w:vAlign w:val="center"/>
          </w:tcPr>
          <w:p w14:paraId="5BE0EF35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0.257</w:t>
            </w:r>
          </w:p>
        </w:tc>
        <w:tc>
          <w:tcPr>
            <w:tcW w:w="485" w:type="dxa"/>
            <w:vAlign w:val="center"/>
          </w:tcPr>
          <w:p w14:paraId="42FE4CEB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vAlign w:val="center"/>
          </w:tcPr>
          <w:p w14:paraId="371EF97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33" w:type="dxa"/>
            <w:vAlign w:val="center"/>
          </w:tcPr>
          <w:p w14:paraId="001766E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49" w:type="dxa"/>
            <w:vAlign w:val="center"/>
          </w:tcPr>
          <w:p w14:paraId="0609F9C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</w:tr>
      <w:tr w14:paraId="232892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1205677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LDH (U/L)</w:t>
            </w:r>
          </w:p>
        </w:tc>
        <w:tc>
          <w:tcPr>
            <w:tcW w:w="967" w:type="dxa"/>
            <w:vAlign w:val="center"/>
          </w:tcPr>
          <w:p w14:paraId="78F699AB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1.003</w:t>
            </w:r>
          </w:p>
        </w:tc>
        <w:tc>
          <w:tcPr>
            <w:tcW w:w="1283" w:type="dxa"/>
            <w:vAlign w:val="center"/>
          </w:tcPr>
          <w:p w14:paraId="4DF30D3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1.000-1.006</w:t>
            </w:r>
          </w:p>
        </w:tc>
        <w:tc>
          <w:tcPr>
            <w:tcW w:w="867" w:type="dxa"/>
            <w:vAlign w:val="center"/>
          </w:tcPr>
          <w:p w14:paraId="73080038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0.026</w:t>
            </w:r>
          </w:p>
        </w:tc>
        <w:tc>
          <w:tcPr>
            <w:tcW w:w="485" w:type="dxa"/>
            <w:vAlign w:val="center"/>
          </w:tcPr>
          <w:p w14:paraId="6D6D4392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vAlign w:val="center"/>
          </w:tcPr>
          <w:p w14:paraId="2CA88A6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332A895C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849" w:type="dxa"/>
            <w:vAlign w:val="center"/>
          </w:tcPr>
          <w:p w14:paraId="1FC088AF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-</w:t>
            </w:r>
          </w:p>
        </w:tc>
      </w:tr>
    </w:tbl>
    <w:p w14:paraId="21A67C09">
      <w:pPr>
        <w:rPr>
          <w:rFonts w:hint="default" w:ascii="Times New Roman Regular" w:hAnsi="Times New Roman Regular" w:eastAsia="宋体" w:cs="Times New Roman Regular"/>
          <w:szCs w:val="21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t>N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ote: </w:t>
      </w:r>
      <w:r>
        <w:rPr>
          <w:rFonts w:ascii="Times New Roman Regular" w:hAnsi="Times New Roman Regular" w:eastAsia="宋体" w:cs="Times New Roman Regular"/>
          <w:szCs w:val="21"/>
        </w:rPr>
        <w:t>ALT: alanine aminotransferase; AST: aspartate aminotransferase;</w:t>
      </w:r>
      <w:r>
        <w:rPr>
          <w:rFonts w:hint="eastAsia" w:ascii="Times New Roman Regular" w:hAnsi="Times New Roman Regular" w:eastAsia="宋体" w:cs="Times New Roman Regular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Cs w:val="21"/>
          <w:lang w:val="en-US"/>
        </w:rPr>
        <w:t>CI: confidence interval; DCM: dilated cardiomyopathy; ET-1: endothelin-1;</w:t>
      </w:r>
      <w:r>
        <w:rPr>
          <w:rFonts w:hint="eastAsia" w:ascii="Times New Roman Regular" w:hAnsi="Times New Roman Regular" w:eastAsia="宋体" w:cs="Times New Roman Regular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Cs w:val="21"/>
          <w:lang w:val="en-US"/>
        </w:rPr>
        <w:t xml:space="preserve">LVNC: left ventricular non-compaction; </w:t>
      </w:r>
      <w:r>
        <w:rPr>
          <w:rFonts w:ascii="Times New Roman Regular" w:hAnsi="Times New Roman Regular" w:eastAsia="宋体" w:cs="Times New Roman Regular"/>
        </w:rPr>
        <w:t>LAD: left atrial diameter;</w:t>
      </w:r>
      <w:r>
        <w:rPr>
          <w:rFonts w:hint="eastAsia" w:ascii="Times New Roman Regular" w:hAnsi="Times New Roman Regular" w:eastAsia="宋体" w:cs="Times New Roman Regular"/>
          <w:lang w:val="en-US" w:eastAsia="zh-CN"/>
        </w:rPr>
        <w:t xml:space="preserve"> </w:t>
      </w:r>
      <w:r>
        <w:rPr>
          <w:rFonts w:ascii="Times New Roman Regular" w:hAnsi="Times New Roman Regular" w:eastAsia="宋体" w:cs="Times New Roman Regular"/>
        </w:rPr>
        <w:t>LVEDD: left ventricular end-diastolic diameter; LVEF: left ventricular ejection fraction;</w:t>
      </w:r>
      <w:r>
        <w:rPr>
          <w:rFonts w:hint="default" w:ascii="Times New Roman Regular" w:hAnsi="Times New Roman Regular" w:eastAsia="宋体" w:cs="Times New Roman Regular"/>
          <w:lang w:val="en-US"/>
        </w:rPr>
        <w:t xml:space="preserve"> </w:t>
      </w:r>
      <w:r>
        <w:rPr>
          <w:rFonts w:hint="eastAsia" w:ascii="Times New Roman Regular" w:hAnsi="Times New Roman Regular" w:eastAsia="宋体" w:cs="Times New Roman Regular"/>
        </w:rPr>
        <w:t>LGE</w:t>
      </w:r>
      <w:r>
        <w:rPr>
          <w:rFonts w:hint="default" w:ascii="Times New Roman Regular" w:hAnsi="Times New Roman Regular" w:eastAsia="宋体" w:cs="Times New Roman Regular"/>
          <w:lang w:val="en-US"/>
        </w:rPr>
        <w:t xml:space="preserve"> </w:t>
      </w:r>
      <w:r>
        <w:rPr>
          <w:rFonts w:hint="eastAsia" w:ascii="Times New Roman Regular" w:hAnsi="Times New Roman Regular" w:eastAsia="宋体" w:cs="Times New Roman Regular"/>
        </w:rPr>
        <w:t>(+)</w:t>
      </w:r>
      <w:r>
        <w:rPr>
          <w:rFonts w:hint="default" w:ascii="Times New Roman Regular" w:hAnsi="Times New Roman Regular" w:eastAsia="宋体" w:cs="Times New Roman Regular"/>
          <w:lang w:val="en-US"/>
        </w:rPr>
        <w:t>:</w:t>
      </w:r>
      <w:r>
        <w:rPr>
          <w:rFonts w:hint="eastAsia" w:ascii="Times New Roman Regular" w:hAnsi="Times New Roman Regular" w:eastAsia="宋体" w:cs="Times New Roman Regular"/>
        </w:rPr>
        <w:t xml:space="preserve"> positive late gadolinium enhancemen</w:t>
      </w:r>
      <w:r>
        <w:rPr>
          <w:rFonts w:hint="default" w:ascii="Times New Roman Regular" w:hAnsi="Times New Roman Regular" w:eastAsia="宋体" w:cs="Times New Roman Regular"/>
          <w:szCs w:val="21"/>
          <w:lang w:val="en-US"/>
        </w:rPr>
        <w:t xml:space="preserve">; </w:t>
      </w:r>
      <w:r>
        <w:rPr>
          <w:rFonts w:ascii="Times New Roman Regular" w:hAnsi="Times New Roman Regular" w:eastAsia="宋体" w:cs="Times New Roman Regular"/>
          <w:szCs w:val="21"/>
        </w:rPr>
        <w:t>ln: natural logarithm;</w:t>
      </w:r>
      <w:r>
        <w:rPr>
          <w:rFonts w:hint="default" w:ascii="Times New Roman Regular" w:hAnsi="Times New Roman Regular" w:eastAsia="宋体" w:cs="Times New Roman Regular"/>
          <w:szCs w:val="21"/>
          <w:lang w:val="en-US"/>
        </w:rPr>
        <w:t xml:space="preserve"> </w:t>
      </w:r>
      <w:r>
        <w:rPr>
          <w:rFonts w:ascii="Times New Roman Regular" w:hAnsi="Times New Roman Regular" w:eastAsia="宋体" w:cs="Times New Roman Regular"/>
          <w:szCs w:val="21"/>
        </w:rPr>
        <w:t>LDH: lactate dehydrogenase;</w:t>
      </w:r>
      <w:r>
        <w:rPr>
          <w:rFonts w:hint="eastAsia" w:ascii="Times New Roman Regular" w:hAnsi="Times New Roman Regular" w:eastAsia="宋体" w:cs="Times New Roman Regular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Cs w:val="21"/>
          <w:lang w:val="en-US"/>
        </w:rPr>
        <w:t>NYHA: New York Heart Association; NT-proBNP: N-terminal pro B-type natriuretic peptide; OR: o</w:t>
      </w:r>
      <w:r>
        <w:rPr>
          <w:rFonts w:hint="eastAsia" w:ascii="Times New Roman Regular" w:hAnsi="Times New Roman Regular" w:eastAsia="宋体" w:cs="Times New Roman Regular"/>
          <w:szCs w:val="21"/>
          <w:lang w:val="en-US"/>
        </w:rPr>
        <w:t>dds</w:t>
      </w:r>
      <w:r>
        <w:rPr>
          <w:rFonts w:hint="default" w:ascii="Times New Roman Regular" w:hAnsi="Times New Roman Regular" w:eastAsia="宋体" w:cs="Times New Roman Regular"/>
          <w:szCs w:val="21"/>
          <w:lang w:val="en-US"/>
        </w:rPr>
        <w:t xml:space="preserve"> ratio.</w:t>
      </w:r>
    </w:p>
    <w:p w14:paraId="390D27E7"/>
    <w:p w14:paraId="482C00DF"/>
    <w:p w14:paraId="0C443DC9"/>
    <w:p w14:paraId="529E90A7"/>
    <w:p w14:paraId="0F1F2791">
      <w:pPr>
        <w:numPr>
          <w:ilvl w:val="0"/>
          <w:numId w:val="0"/>
        </w:numPr>
        <w:spacing w:line="360" w:lineRule="auto"/>
        <w:jc w:val="both"/>
        <w:rPr>
          <w:rFonts w:hint="default"/>
          <w:lang w:val="en-US" w:eastAsia="zh-CN"/>
        </w:rPr>
      </w:pPr>
      <w:r>
        <w:rPr>
          <w:rFonts w:hint="eastAsia" w:ascii="Times New Roman Bold" w:hAnsi="Times New Roman Bold" w:eastAsia="宋体" w:cs="Times New Roman Bold"/>
          <w:b/>
          <w:bCs/>
          <w:szCs w:val="21"/>
        </w:rPr>
        <w:t>Supplementary</w:t>
      </w:r>
      <w:r>
        <w:rPr>
          <w:rFonts w:hint="default" w:ascii="Times New Roman Bold" w:hAnsi="Times New Roman Bold" w:eastAsia="宋体" w:cs="Times New Roman Bold"/>
          <w:b/>
          <w:bCs/>
          <w:szCs w:val="21"/>
          <w:lang w:val="en-US"/>
        </w:rPr>
        <w:t xml:space="preserve"> </w:t>
      </w:r>
      <w:r>
        <w:rPr>
          <w:rFonts w:ascii="Times New Roman Bold" w:hAnsi="Times New Roman Bold" w:eastAsia="宋体" w:cs="Times New Roman Bold"/>
          <w:b/>
          <w:bCs/>
          <w:szCs w:val="21"/>
        </w:rPr>
        <w:t xml:space="preserve">Table </w:t>
      </w:r>
      <w:r>
        <w:rPr>
          <w:rFonts w:hint="eastAsia" w:ascii="Times New Roman Bold" w:hAnsi="Times New Roman Bold" w:eastAsia="宋体" w:cs="Times New Roman Bold"/>
          <w:b/>
          <w:bCs/>
          <w:szCs w:val="21"/>
          <w:lang w:val="en-US" w:eastAsia="zh-CN"/>
        </w:rPr>
        <w:t>3</w:t>
      </w:r>
      <w:r>
        <w:rPr>
          <w:rFonts w:hint="default" w:ascii="Times New Roman Bold" w:hAnsi="Times New Roman Bold" w:eastAsia="宋体" w:cs="Times New Roman Bold"/>
          <w:b/>
          <w:bCs/>
          <w:sz w:val="21"/>
          <w:szCs w:val="21"/>
          <w:lang w:val="en-US" w:eastAsia="zh-CN"/>
        </w:rPr>
        <w:t xml:space="preserve">. Logistic regression analysis of factors associated with dilated cardiomyopathy phenotype in </w:t>
      </w:r>
      <w:r>
        <w:rPr>
          <w:rFonts w:hint="eastAsia" w:ascii="Times New Roman Bold" w:hAnsi="Times New Roman Bold" w:eastAsia="宋体" w:cs="Times New Roman Bold"/>
          <w:b/>
          <w:bCs/>
          <w:sz w:val="21"/>
          <w:szCs w:val="21"/>
          <w:lang w:val="en-US" w:eastAsia="zh-CN"/>
        </w:rPr>
        <w:t xml:space="preserve">adult </w:t>
      </w:r>
      <w:r>
        <w:rPr>
          <w:rFonts w:hint="default" w:ascii="Times New Roman Bold" w:hAnsi="Times New Roman Bold" w:eastAsia="宋体" w:cs="Times New Roman Bold"/>
          <w:b/>
          <w:bCs/>
          <w:sz w:val="21"/>
          <w:szCs w:val="21"/>
          <w:lang w:val="en-US" w:eastAsia="zh-CN"/>
        </w:rPr>
        <w:t>patients with LVNC</w:t>
      </w:r>
    </w:p>
    <w:tbl>
      <w:tblPr>
        <w:tblStyle w:val="3"/>
        <w:tblW w:w="984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4"/>
        <w:gridCol w:w="967"/>
        <w:gridCol w:w="1283"/>
        <w:gridCol w:w="867"/>
        <w:gridCol w:w="485"/>
        <w:gridCol w:w="901"/>
        <w:gridCol w:w="1333"/>
        <w:gridCol w:w="849"/>
      </w:tblGrid>
      <w:tr w14:paraId="6C1D4D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Merge w:val="restart"/>
            <w:vAlign w:val="center"/>
          </w:tcPr>
          <w:p w14:paraId="0C21DDC7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3117" w:type="dxa"/>
            <w:gridSpan w:val="3"/>
            <w:tcBorders>
              <w:bottom w:val="single" w:color="auto" w:sz="4" w:space="0"/>
            </w:tcBorders>
            <w:vAlign w:val="center"/>
          </w:tcPr>
          <w:p w14:paraId="5838F7E1"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Univariable analysis (DCM n=72)</w:t>
            </w:r>
          </w:p>
        </w:tc>
        <w:tc>
          <w:tcPr>
            <w:tcW w:w="485" w:type="dxa"/>
            <w:vAlign w:val="center"/>
          </w:tcPr>
          <w:p w14:paraId="74EF9D5F"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3083" w:type="dxa"/>
            <w:gridSpan w:val="3"/>
            <w:tcBorders>
              <w:bottom w:val="single" w:color="auto" w:sz="4" w:space="0"/>
            </w:tcBorders>
            <w:vAlign w:val="center"/>
          </w:tcPr>
          <w:p w14:paraId="75950F90"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Multivariable analysis (DCM n=72)</w:t>
            </w:r>
          </w:p>
        </w:tc>
      </w:tr>
      <w:tr w14:paraId="1F09D4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Merge w:val="continue"/>
            <w:tcBorders>
              <w:bottom w:val="single" w:color="auto" w:sz="4" w:space="0"/>
            </w:tcBorders>
            <w:vAlign w:val="center"/>
          </w:tcPr>
          <w:p w14:paraId="70237538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6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E8716DD"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OR</w:t>
            </w:r>
          </w:p>
        </w:tc>
        <w:tc>
          <w:tcPr>
            <w:tcW w:w="128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345F6D7"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95% CI</w:t>
            </w:r>
          </w:p>
        </w:tc>
        <w:tc>
          <w:tcPr>
            <w:tcW w:w="86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E65DEAB"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P value</w:t>
            </w:r>
          </w:p>
        </w:tc>
        <w:tc>
          <w:tcPr>
            <w:tcW w:w="485" w:type="dxa"/>
            <w:tcBorders>
              <w:bottom w:val="single" w:color="auto" w:sz="4" w:space="0"/>
            </w:tcBorders>
            <w:vAlign w:val="center"/>
          </w:tcPr>
          <w:p w14:paraId="6307D2F2"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E0AEF74"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OR</w:t>
            </w:r>
          </w:p>
        </w:tc>
        <w:tc>
          <w:tcPr>
            <w:tcW w:w="133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F1FBE06"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95% CI</w:t>
            </w: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179FF0A"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P value</w:t>
            </w:r>
          </w:p>
        </w:tc>
      </w:tr>
      <w:tr w14:paraId="239AE7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tcBorders>
              <w:top w:val="single" w:color="auto" w:sz="4" w:space="0"/>
            </w:tcBorders>
            <w:vAlign w:val="center"/>
          </w:tcPr>
          <w:p w14:paraId="0E294516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 xml:space="preserve">Body surface area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18"/>
                <w:szCs w:val="18"/>
              </w:rPr>
              <w:t>(m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18"/>
                <w:szCs w:val="18"/>
                <w:vertAlign w:val="superscript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18"/>
                <w:szCs w:val="18"/>
              </w:rPr>
              <w:t>)</w:t>
            </w:r>
          </w:p>
        </w:tc>
        <w:tc>
          <w:tcPr>
            <w:tcW w:w="967" w:type="dxa"/>
            <w:tcBorders>
              <w:top w:val="single" w:color="auto" w:sz="4" w:space="0"/>
            </w:tcBorders>
            <w:vAlign w:val="center"/>
          </w:tcPr>
          <w:p w14:paraId="6A53DF0B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3.017</w:t>
            </w:r>
          </w:p>
        </w:tc>
        <w:tc>
          <w:tcPr>
            <w:tcW w:w="1283" w:type="dxa"/>
            <w:tcBorders>
              <w:top w:val="single" w:color="auto" w:sz="4" w:space="0"/>
            </w:tcBorders>
            <w:vAlign w:val="center"/>
          </w:tcPr>
          <w:p w14:paraId="43F920DF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0.764-11.917</w:t>
            </w:r>
          </w:p>
        </w:tc>
        <w:tc>
          <w:tcPr>
            <w:tcW w:w="867" w:type="dxa"/>
            <w:tcBorders>
              <w:top w:val="single" w:color="auto" w:sz="4" w:space="0"/>
            </w:tcBorders>
            <w:vAlign w:val="center"/>
          </w:tcPr>
          <w:p w14:paraId="6D8F16D4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0.115</w:t>
            </w:r>
          </w:p>
        </w:tc>
        <w:tc>
          <w:tcPr>
            <w:tcW w:w="485" w:type="dxa"/>
            <w:tcBorders>
              <w:top w:val="single" w:color="auto" w:sz="4" w:space="0"/>
            </w:tcBorders>
            <w:vAlign w:val="center"/>
          </w:tcPr>
          <w:p w14:paraId="4C3C2CDE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tcBorders>
              <w:top w:val="single" w:color="auto" w:sz="4" w:space="0"/>
            </w:tcBorders>
            <w:vAlign w:val="center"/>
          </w:tcPr>
          <w:p w14:paraId="0274A84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33" w:type="dxa"/>
            <w:tcBorders>
              <w:top w:val="single" w:color="auto" w:sz="4" w:space="0"/>
            </w:tcBorders>
            <w:vAlign w:val="center"/>
          </w:tcPr>
          <w:p w14:paraId="6CBC0DF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849" w:type="dxa"/>
            <w:tcBorders>
              <w:top w:val="single" w:color="auto" w:sz="4" w:space="0"/>
            </w:tcBorders>
            <w:vAlign w:val="center"/>
          </w:tcPr>
          <w:p w14:paraId="1333A0E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</w:tr>
      <w:tr w14:paraId="7C0897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78C2BF9A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Dyspnea</w:t>
            </w:r>
          </w:p>
        </w:tc>
        <w:tc>
          <w:tcPr>
            <w:tcW w:w="967" w:type="dxa"/>
            <w:vAlign w:val="center"/>
          </w:tcPr>
          <w:p w14:paraId="73A508F7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5.868</w:t>
            </w:r>
          </w:p>
        </w:tc>
        <w:tc>
          <w:tcPr>
            <w:tcW w:w="1283" w:type="dxa"/>
            <w:vAlign w:val="center"/>
          </w:tcPr>
          <w:p w14:paraId="7B20FC1A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3.109-11.077</w:t>
            </w:r>
          </w:p>
        </w:tc>
        <w:tc>
          <w:tcPr>
            <w:tcW w:w="867" w:type="dxa"/>
            <w:vAlign w:val="center"/>
          </w:tcPr>
          <w:p w14:paraId="0B1C044F">
            <w:pPr>
              <w:jc w:val="center"/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485" w:type="dxa"/>
            <w:vAlign w:val="center"/>
          </w:tcPr>
          <w:p w14:paraId="226A654E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vAlign w:val="center"/>
          </w:tcPr>
          <w:p w14:paraId="00FA77F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78EB554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849" w:type="dxa"/>
            <w:vAlign w:val="center"/>
          </w:tcPr>
          <w:p w14:paraId="3082132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</w:tr>
      <w:tr w14:paraId="544AED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75FFBD5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NYHA Class III/IV</w:t>
            </w:r>
          </w:p>
        </w:tc>
        <w:tc>
          <w:tcPr>
            <w:tcW w:w="967" w:type="dxa"/>
            <w:vAlign w:val="center"/>
          </w:tcPr>
          <w:p w14:paraId="125A62EF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7.334</w:t>
            </w:r>
          </w:p>
        </w:tc>
        <w:tc>
          <w:tcPr>
            <w:tcW w:w="1283" w:type="dxa"/>
            <w:vAlign w:val="center"/>
          </w:tcPr>
          <w:p w14:paraId="28CC917F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4.023-13.370</w:t>
            </w:r>
          </w:p>
        </w:tc>
        <w:tc>
          <w:tcPr>
            <w:tcW w:w="867" w:type="dxa"/>
            <w:vAlign w:val="center"/>
          </w:tcPr>
          <w:p w14:paraId="63E8E50A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485" w:type="dxa"/>
            <w:vAlign w:val="center"/>
          </w:tcPr>
          <w:p w14:paraId="04E66800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vAlign w:val="center"/>
          </w:tcPr>
          <w:p w14:paraId="3DEB9BF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4339765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849" w:type="dxa"/>
            <w:vAlign w:val="center"/>
          </w:tcPr>
          <w:p w14:paraId="61BFDDA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</w:tr>
      <w:tr w14:paraId="12B016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198207A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F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</w:rPr>
              <w:t>requent ventricular premature</w:t>
            </w:r>
          </w:p>
        </w:tc>
        <w:tc>
          <w:tcPr>
            <w:tcW w:w="967" w:type="dxa"/>
            <w:vAlign w:val="center"/>
          </w:tcPr>
          <w:p w14:paraId="6FC18068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2.792</w:t>
            </w:r>
          </w:p>
        </w:tc>
        <w:tc>
          <w:tcPr>
            <w:tcW w:w="1283" w:type="dxa"/>
            <w:vAlign w:val="center"/>
          </w:tcPr>
          <w:p w14:paraId="13AD026A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1.598-4.881</w:t>
            </w:r>
          </w:p>
        </w:tc>
        <w:tc>
          <w:tcPr>
            <w:tcW w:w="867" w:type="dxa"/>
            <w:vAlign w:val="center"/>
          </w:tcPr>
          <w:p w14:paraId="71C7D1E5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485" w:type="dxa"/>
            <w:vAlign w:val="center"/>
          </w:tcPr>
          <w:p w14:paraId="27B602D8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vAlign w:val="center"/>
          </w:tcPr>
          <w:p w14:paraId="6880395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7F80FD6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849" w:type="dxa"/>
            <w:vAlign w:val="center"/>
          </w:tcPr>
          <w:p w14:paraId="4D3835D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</w:tr>
      <w:tr w14:paraId="1A6475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142019A0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N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</w:rPr>
              <w:t>on-sustained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</w:rPr>
              <w:t>ventricular tachycardia</w:t>
            </w:r>
          </w:p>
        </w:tc>
        <w:tc>
          <w:tcPr>
            <w:tcW w:w="967" w:type="dxa"/>
            <w:vAlign w:val="center"/>
          </w:tcPr>
          <w:p w14:paraId="51A94C58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3.274</w:t>
            </w:r>
          </w:p>
        </w:tc>
        <w:tc>
          <w:tcPr>
            <w:tcW w:w="1283" w:type="dxa"/>
            <w:vAlign w:val="center"/>
          </w:tcPr>
          <w:p w14:paraId="5F06D7A4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1.813-5.913</w:t>
            </w:r>
          </w:p>
        </w:tc>
        <w:tc>
          <w:tcPr>
            <w:tcW w:w="867" w:type="dxa"/>
            <w:vAlign w:val="center"/>
          </w:tcPr>
          <w:p w14:paraId="188C77A2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485" w:type="dxa"/>
            <w:vAlign w:val="center"/>
          </w:tcPr>
          <w:p w14:paraId="4F956036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vAlign w:val="center"/>
          </w:tcPr>
          <w:p w14:paraId="297616C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2EBB7B3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849" w:type="dxa"/>
            <w:vAlign w:val="center"/>
          </w:tcPr>
          <w:p w14:paraId="4FA2894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</w:tr>
      <w:tr w14:paraId="286C9E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2688C510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LAD (mm,±s)</w:t>
            </w:r>
          </w:p>
        </w:tc>
        <w:tc>
          <w:tcPr>
            <w:tcW w:w="967" w:type="dxa"/>
            <w:vAlign w:val="center"/>
          </w:tcPr>
          <w:p w14:paraId="3FFE04B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1.077</w:t>
            </w:r>
          </w:p>
        </w:tc>
        <w:tc>
          <w:tcPr>
            <w:tcW w:w="1283" w:type="dxa"/>
            <w:vAlign w:val="center"/>
          </w:tcPr>
          <w:p w14:paraId="0A1098A8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1.040-1.115</w:t>
            </w:r>
          </w:p>
        </w:tc>
        <w:tc>
          <w:tcPr>
            <w:tcW w:w="867" w:type="dxa"/>
            <w:vAlign w:val="center"/>
          </w:tcPr>
          <w:p w14:paraId="441DFCE4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485" w:type="dxa"/>
            <w:vAlign w:val="center"/>
          </w:tcPr>
          <w:p w14:paraId="08828E6D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vAlign w:val="center"/>
          </w:tcPr>
          <w:p w14:paraId="7896533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71D6798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849" w:type="dxa"/>
            <w:vAlign w:val="center"/>
          </w:tcPr>
          <w:p w14:paraId="0BFED1E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</w:tr>
      <w:tr w14:paraId="6533DE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247CC295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LVEDD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(mm,</w:t>
            </w:r>
            <m:oMath>
              <m:bar>
                <m:barPr>
                  <m:pos m:val="top"/>
                  <m:ctrlPr>
                    <w:rPr>
                      <w:rFonts w:hint="default" w:ascii="Cambria Math" w:hAnsi="Cambria Math" w:eastAsia="宋体" w:cs="Times New Roman Regular"/>
                      <w:iCs/>
                      <w:sz w:val="18"/>
                      <w:szCs w:val="18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hint="default" w:ascii="Cambria Math" w:hAnsi="Cambria Math" w:eastAsia="宋体" w:cs="Times New Roman Regular"/>
                      <w:sz w:val="18"/>
                      <w:szCs w:val="18"/>
                    </w:rPr>
                    <m:t>x</m:t>
                  </m:r>
                  <m:ctrlPr>
                    <w:rPr>
                      <w:rFonts w:hint="default" w:ascii="Cambria Math" w:hAnsi="Cambria Math" w:eastAsia="宋体" w:cs="Times New Roman Regular"/>
                      <w:iCs/>
                      <w:sz w:val="18"/>
                      <w:szCs w:val="18"/>
                    </w:rPr>
                  </m:ctrlPr>
                </m:e>
              </m:bar>
            </m:oMath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±s)</w:t>
            </w:r>
          </w:p>
        </w:tc>
        <w:tc>
          <w:tcPr>
            <w:tcW w:w="967" w:type="dxa"/>
            <w:vAlign w:val="center"/>
          </w:tcPr>
          <w:p w14:paraId="7B69FB7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1.101</w:t>
            </w:r>
          </w:p>
        </w:tc>
        <w:tc>
          <w:tcPr>
            <w:tcW w:w="1283" w:type="dxa"/>
            <w:vAlign w:val="center"/>
          </w:tcPr>
          <w:p w14:paraId="3EAE0BE8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1.067-1.136</w:t>
            </w:r>
          </w:p>
        </w:tc>
        <w:tc>
          <w:tcPr>
            <w:tcW w:w="867" w:type="dxa"/>
            <w:vAlign w:val="center"/>
          </w:tcPr>
          <w:p w14:paraId="70F3D98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485" w:type="dxa"/>
            <w:vAlign w:val="center"/>
          </w:tcPr>
          <w:p w14:paraId="1CE84EF2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vAlign w:val="center"/>
          </w:tcPr>
          <w:p w14:paraId="7044001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1.049</w:t>
            </w:r>
          </w:p>
        </w:tc>
        <w:tc>
          <w:tcPr>
            <w:tcW w:w="1333" w:type="dxa"/>
            <w:vAlign w:val="center"/>
          </w:tcPr>
          <w:p w14:paraId="4DAF5D2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1.000-1.100</w:t>
            </w:r>
          </w:p>
        </w:tc>
        <w:tc>
          <w:tcPr>
            <w:tcW w:w="849" w:type="dxa"/>
            <w:vAlign w:val="center"/>
          </w:tcPr>
          <w:p w14:paraId="436914F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0.048</w:t>
            </w:r>
          </w:p>
        </w:tc>
      </w:tr>
      <w:tr w14:paraId="2121AE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6F9AE3F5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LVEF (%,±s)</w:t>
            </w:r>
          </w:p>
        </w:tc>
        <w:tc>
          <w:tcPr>
            <w:tcW w:w="967" w:type="dxa"/>
            <w:vAlign w:val="center"/>
          </w:tcPr>
          <w:p w14:paraId="0B1FE9B8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0.904</w:t>
            </w:r>
          </w:p>
        </w:tc>
        <w:tc>
          <w:tcPr>
            <w:tcW w:w="1283" w:type="dxa"/>
            <w:vAlign w:val="center"/>
          </w:tcPr>
          <w:p w14:paraId="5F835F2D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0.879-0.931</w:t>
            </w:r>
          </w:p>
        </w:tc>
        <w:tc>
          <w:tcPr>
            <w:tcW w:w="867" w:type="dxa"/>
            <w:vAlign w:val="center"/>
          </w:tcPr>
          <w:p w14:paraId="2FE48640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485" w:type="dxa"/>
            <w:vAlign w:val="center"/>
          </w:tcPr>
          <w:p w14:paraId="541609BC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vAlign w:val="center"/>
          </w:tcPr>
          <w:p w14:paraId="250B01C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0.941</w:t>
            </w:r>
          </w:p>
        </w:tc>
        <w:tc>
          <w:tcPr>
            <w:tcW w:w="1333" w:type="dxa"/>
            <w:vAlign w:val="center"/>
          </w:tcPr>
          <w:p w14:paraId="63FE5E0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0.904-0.979</w:t>
            </w:r>
          </w:p>
        </w:tc>
        <w:tc>
          <w:tcPr>
            <w:tcW w:w="849" w:type="dxa"/>
            <w:vAlign w:val="center"/>
          </w:tcPr>
          <w:p w14:paraId="74B4292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0.003</w:t>
            </w:r>
          </w:p>
        </w:tc>
      </w:tr>
      <w:tr w14:paraId="70803E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47C785DE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M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oderate/massive mitral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regurgitation</w:t>
            </w:r>
          </w:p>
        </w:tc>
        <w:tc>
          <w:tcPr>
            <w:tcW w:w="967" w:type="dxa"/>
            <w:vAlign w:val="center"/>
          </w:tcPr>
          <w:p w14:paraId="69E79507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3.515</w:t>
            </w:r>
          </w:p>
        </w:tc>
        <w:tc>
          <w:tcPr>
            <w:tcW w:w="1283" w:type="dxa"/>
            <w:vAlign w:val="center"/>
          </w:tcPr>
          <w:p w14:paraId="5085D380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1.967-6.281</w:t>
            </w:r>
          </w:p>
        </w:tc>
        <w:tc>
          <w:tcPr>
            <w:tcW w:w="867" w:type="dxa"/>
            <w:vAlign w:val="center"/>
          </w:tcPr>
          <w:p w14:paraId="2DE79F80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485" w:type="dxa"/>
            <w:vAlign w:val="center"/>
          </w:tcPr>
          <w:p w14:paraId="282781EB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vAlign w:val="center"/>
          </w:tcPr>
          <w:p w14:paraId="6AB0B2E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2BB6644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849" w:type="dxa"/>
            <w:vAlign w:val="center"/>
          </w:tcPr>
          <w:p w14:paraId="4E7F8E7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</w:tr>
      <w:tr w14:paraId="36E0AF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61994B9B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LGE (+)</w:t>
            </w:r>
          </w:p>
        </w:tc>
        <w:tc>
          <w:tcPr>
            <w:tcW w:w="967" w:type="dxa"/>
            <w:vAlign w:val="center"/>
          </w:tcPr>
          <w:p w14:paraId="516A3F4F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4.258</w:t>
            </w:r>
          </w:p>
        </w:tc>
        <w:tc>
          <w:tcPr>
            <w:tcW w:w="1283" w:type="dxa"/>
            <w:vAlign w:val="center"/>
          </w:tcPr>
          <w:p w14:paraId="2290515D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2.411-7.520</w:t>
            </w:r>
          </w:p>
        </w:tc>
        <w:tc>
          <w:tcPr>
            <w:tcW w:w="867" w:type="dxa"/>
            <w:vAlign w:val="center"/>
          </w:tcPr>
          <w:p w14:paraId="71FEAEF7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485" w:type="dxa"/>
            <w:vAlign w:val="center"/>
          </w:tcPr>
          <w:p w14:paraId="679C2D63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vAlign w:val="center"/>
          </w:tcPr>
          <w:p w14:paraId="2D8767B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3B20505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849" w:type="dxa"/>
            <w:vAlign w:val="center"/>
          </w:tcPr>
          <w:p w14:paraId="3DDB23C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</w:tr>
      <w:tr w14:paraId="559319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1B489006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ln NT-proBNP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(pg/ml)</w:t>
            </w:r>
          </w:p>
        </w:tc>
        <w:tc>
          <w:tcPr>
            <w:tcW w:w="967" w:type="dxa"/>
            <w:vAlign w:val="center"/>
          </w:tcPr>
          <w:p w14:paraId="2E496924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1.483</w:t>
            </w:r>
          </w:p>
        </w:tc>
        <w:tc>
          <w:tcPr>
            <w:tcW w:w="1283" w:type="dxa"/>
            <w:vAlign w:val="center"/>
          </w:tcPr>
          <w:p w14:paraId="30990408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1.224-1.796</w:t>
            </w:r>
          </w:p>
        </w:tc>
        <w:tc>
          <w:tcPr>
            <w:tcW w:w="867" w:type="dxa"/>
            <w:vAlign w:val="center"/>
          </w:tcPr>
          <w:p w14:paraId="6A684214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485" w:type="dxa"/>
            <w:vAlign w:val="center"/>
          </w:tcPr>
          <w:p w14:paraId="375BC7EF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vAlign w:val="center"/>
          </w:tcPr>
          <w:p w14:paraId="67ECC5B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22DE084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849" w:type="dxa"/>
            <w:vAlign w:val="center"/>
          </w:tcPr>
          <w:p w14:paraId="20729D9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</w:tr>
      <w:tr w14:paraId="4975D8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shd w:val="clear" w:color="auto" w:fill="auto"/>
            <w:vAlign w:val="center"/>
          </w:tcPr>
          <w:p w14:paraId="196FB25A">
            <w:pPr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  <w:t xml:space="preserve">Big ET-1 (pmol/L) </w:t>
            </w:r>
          </w:p>
        </w:tc>
        <w:tc>
          <w:tcPr>
            <w:tcW w:w="967" w:type="dxa"/>
            <w:vAlign w:val="center"/>
          </w:tcPr>
          <w:p w14:paraId="6DA206F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0.986</w:t>
            </w:r>
          </w:p>
        </w:tc>
        <w:tc>
          <w:tcPr>
            <w:tcW w:w="1283" w:type="dxa"/>
            <w:vAlign w:val="center"/>
          </w:tcPr>
          <w:p w14:paraId="71933E3A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0.925-1.050</w:t>
            </w:r>
          </w:p>
        </w:tc>
        <w:tc>
          <w:tcPr>
            <w:tcW w:w="867" w:type="dxa"/>
            <w:vAlign w:val="center"/>
          </w:tcPr>
          <w:p w14:paraId="5B5EB94A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0.658</w:t>
            </w:r>
          </w:p>
        </w:tc>
        <w:tc>
          <w:tcPr>
            <w:tcW w:w="485" w:type="dxa"/>
            <w:vAlign w:val="center"/>
          </w:tcPr>
          <w:p w14:paraId="54904BEF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vAlign w:val="center"/>
          </w:tcPr>
          <w:p w14:paraId="4273261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33" w:type="dxa"/>
            <w:vAlign w:val="center"/>
          </w:tcPr>
          <w:p w14:paraId="1CFA37C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49" w:type="dxa"/>
            <w:vAlign w:val="center"/>
          </w:tcPr>
          <w:p w14:paraId="73CD6A5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</w:tr>
      <w:tr w14:paraId="150FBC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2" w:hRule="atLeast"/>
          <w:jc w:val="center"/>
        </w:trPr>
        <w:tc>
          <w:tcPr>
            <w:tcW w:w="3164" w:type="dxa"/>
            <w:shd w:val="clear" w:color="auto" w:fill="auto"/>
            <w:vAlign w:val="center"/>
          </w:tcPr>
          <w:p w14:paraId="39CC7E3D">
            <w:pPr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  <w:t>ALT (U/L)</w:t>
            </w:r>
          </w:p>
        </w:tc>
        <w:tc>
          <w:tcPr>
            <w:tcW w:w="967" w:type="dxa"/>
            <w:vAlign w:val="center"/>
          </w:tcPr>
          <w:p w14:paraId="1D0D9F97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1.002</w:t>
            </w:r>
          </w:p>
        </w:tc>
        <w:tc>
          <w:tcPr>
            <w:tcW w:w="1283" w:type="dxa"/>
            <w:vAlign w:val="center"/>
          </w:tcPr>
          <w:p w14:paraId="462CCD9A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0.996-1.009</w:t>
            </w:r>
          </w:p>
        </w:tc>
        <w:tc>
          <w:tcPr>
            <w:tcW w:w="867" w:type="dxa"/>
            <w:vAlign w:val="center"/>
          </w:tcPr>
          <w:p w14:paraId="502A613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0.517</w:t>
            </w:r>
          </w:p>
        </w:tc>
        <w:tc>
          <w:tcPr>
            <w:tcW w:w="485" w:type="dxa"/>
            <w:vAlign w:val="center"/>
          </w:tcPr>
          <w:p w14:paraId="16749F46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vAlign w:val="center"/>
          </w:tcPr>
          <w:p w14:paraId="1E18781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33" w:type="dxa"/>
            <w:vAlign w:val="center"/>
          </w:tcPr>
          <w:p w14:paraId="02F2A81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49" w:type="dxa"/>
            <w:vAlign w:val="center"/>
          </w:tcPr>
          <w:p w14:paraId="6518633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</w:tr>
      <w:tr w14:paraId="6E52DA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50B2050E">
            <w:pPr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  <w:t>AST (U/L)</w:t>
            </w:r>
          </w:p>
        </w:tc>
        <w:tc>
          <w:tcPr>
            <w:tcW w:w="967" w:type="dxa"/>
            <w:vAlign w:val="center"/>
          </w:tcPr>
          <w:p w14:paraId="19E63B3A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1.005</w:t>
            </w:r>
          </w:p>
        </w:tc>
        <w:tc>
          <w:tcPr>
            <w:tcW w:w="1283" w:type="dxa"/>
            <w:vAlign w:val="center"/>
          </w:tcPr>
          <w:p w14:paraId="4ECFC63A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0.994-1.016</w:t>
            </w:r>
          </w:p>
        </w:tc>
        <w:tc>
          <w:tcPr>
            <w:tcW w:w="867" w:type="dxa"/>
            <w:vAlign w:val="center"/>
          </w:tcPr>
          <w:p w14:paraId="4F98C4AD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0.406</w:t>
            </w:r>
          </w:p>
        </w:tc>
        <w:tc>
          <w:tcPr>
            <w:tcW w:w="485" w:type="dxa"/>
            <w:vAlign w:val="center"/>
          </w:tcPr>
          <w:p w14:paraId="4EE8744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vAlign w:val="center"/>
          </w:tcPr>
          <w:p w14:paraId="3491E62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33" w:type="dxa"/>
            <w:vAlign w:val="center"/>
          </w:tcPr>
          <w:p w14:paraId="69C0275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49" w:type="dxa"/>
            <w:vAlign w:val="center"/>
          </w:tcPr>
          <w:p w14:paraId="3A88FD1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</w:tr>
      <w:tr w14:paraId="38F90F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164" w:type="dxa"/>
            <w:vAlign w:val="center"/>
          </w:tcPr>
          <w:p w14:paraId="2B61D1F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LDH (U/L)</w:t>
            </w:r>
          </w:p>
        </w:tc>
        <w:tc>
          <w:tcPr>
            <w:tcW w:w="967" w:type="dxa"/>
            <w:vAlign w:val="center"/>
          </w:tcPr>
          <w:p w14:paraId="6BF79900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1.007</w:t>
            </w:r>
          </w:p>
        </w:tc>
        <w:tc>
          <w:tcPr>
            <w:tcW w:w="1283" w:type="dxa"/>
            <w:vAlign w:val="center"/>
          </w:tcPr>
          <w:p w14:paraId="7638948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1.002-1.013</w:t>
            </w:r>
          </w:p>
        </w:tc>
        <w:tc>
          <w:tcPr>
            <w:tcW w:w="867" w:type="dxa"/>
            <w:vAlign w:val="center"/>
          </w:tcPr>
          <w:p w14:paraId="3FF8521B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0.010</w:t>
            </w:r>
          </w:p>
        </w:tc>
        <w:tc>
          <w:tcPr>
            <w:tcW w:w="485" w:type="dxa"/>
            <w:vAlign w:val="center"/>
          </w:tcPr>
          <w:p w14:paraId="7882D227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901" w:type="dxa"/>
            <w:vAlign w:val="center"/>
          </w:tcPr>
          <w:p w14:paraId="4BED27E4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0E0188C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849" w:type="dxa"/>
            <w:vAlign w:val="center"/>
          </w:tcPr>
          <w:p w14:paraId="6B5DC23E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-</w:t>
            </w:r>
          </w:p>
        </w:tc>
      </w:tr>
    </w:tbl>
    <w:p w14:paraId="039F24EE">
      <w:pPr>
        <w:rPr>
          <w:rFonts w:hint="default" w:ascii="Times New Roman Regular" w:hAnsi="Times New Roman Regular" w:eastAsia="宋体" w:cs="Times New Roman Regular"/>
          <w:szCs w:val="21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t>N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ote: </w:t>
      </w:r>
      <w:r>
        <w:rPr>
          <w:rFonts w:ascii="Times New Roman Regular" w:hAnsi="Times New Roman Regular" w:eastAsia="宋体" w:cs="Times New Roman Regular"/>
          <w:szCs w:val="21"/>
        </w:rPr>
        <w:t>ALT: alanine aminotransferase; AST: aspartate aminotransferase;</w:t>
      </w:r>
      <w:r>
        <w:rPr>
          <w:rFonts w:hint="eastAsia" w:ascii="Times New Roman Regular" w:hAnsi="Times New Roman Regular" w:eastAsia="宋体" w:cs="Times New Roman Regular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Cs w:val="21"/>
          <w:lang w:val="en-US"/>
        </w:rPr>
        <w:t>CI: confidence interval; DCM: dilated cardiomyopathy; ET-1: endothelin-1;</w:t>
      </w:r>
      <w:r>
        <w:rPr>
          <w:rFonts w:hint="eastAsia" w:ascii="Times New Roman Regular" w:hAnsi="Times New Roman Regular" w:eastAsia="宋体" w:cs="Times New Roman Regular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Cs w:val="21"/>
          <w:lang w:val="en-US"/>
        </w:rPr>
        <w:t xml:space="preserve">LVNC: left ventricular non-compaction; </w:t>
      </w:r>
      <w:r>
        <w:rPr>
          <w:rFonts w:ascii="Times New Roman Regular" w:hAnsi="Times New Roman Regular" w:eastAsia="宋体" w:cs="Times New Roman Regular"/>
        </w:rPr>
        <w:t>LAD: left atrial diameter;</w:t>
      </w:r>
      <w:r>
        <w:rPr>
          <w:rFonts w:hint="eastAsia" w:ascii="Times New Roman Regular" w:hAnsi="Times New Roman Regular" w:eastAsia="宋体" w:cs="Times New Roman Regular"/>
          <w:lang w:val="en-US" w:eastAsia="zh-CN"/>
        </w:rPr>
        <w:t xml:space="preserve"> </w:t>
      </w:r>
      <w:r>
        <w:rPr>
          <w:rFonts w:ascii="Times New Roman Regular" w:hAnsi="Times New Roman Regular" w:eastAsia="宋体" w:cs="Times New Roman Regular"/>
        </w:rPr>
        <w:t>LVEDD: left ventricular end-diastolic diameter; LVEF: left ventricular ejection fraction;</w:t>
      </w:r>
      <w:r>
        <w:rPr>
          <w:rFonts w:hint="default" w:ascii="Times New Roman Regular" w:hAnsi="Times New Roman Regular" w:eastAsia="宋体" w:cs="Times New Roman Regular"/>
          <w:lang w:val="en-US"/>
        </w:rPr>
        <w:t xml:space="preserve"> </w:t>
      </w:r>
      <w:r>
        <w:rPr>
          <w:rFonts w:hint="eastAsia" w:ascii="Times New Roman Regular" w:hAnsi="Times New Roman Regular" w:eastAsia="宋体" w:cs="Times New Roman Regular"/>
        </w:rPr>
        <w:t>LGE</w:t>
      </w:r>
      <w:r>
        <w:rPr>
          <w:rFonts w:hint="default" w:ascii="Times New Roman Regular" w:hAnsi="Times New Roman Regular" w:eastAsia="宋体" w:cs="Times New Roman Regular"/>
          <w:lang w:val="en-US"/>
        </w:rPr>
        <w:t xml:space="preserve"> </w:t>
      </w:r>
      <w:r>
        <w:rPr>
          <w:rFonts w:hint="eastAsia" w:ascii="Times New Roman Regular" w:hAnsi="Times New Roman Regular" w:eastAsia="宋体" w:cs="Times New Roman Regular"/>
        </w:rPr>
        <w:t>(+)</w:t>
      </w:r>
      <w:r>
        <w:rPr>
          <w:rFonts w:hint="default" w:ascii="Times New Roman Regular" w:hAnsi="Times New Roman Regular" w:eastAsia="宋体" w:cs="Times New Roman Regular"/>
          <w:lang w:val="en-US"/>
        </w:rPr>
        <w:t>:</w:t>
      </w:r>
      <w:r>
        <w:rPr>
          <w:rFonts w:hint="eastAsia" w:ascii="Times New Roman Regular" w:hAnsi="Times New Roman Regular" w:eastAsia="宋体" w:cs="Times New Roman Regular"/>
        </w:rPr>
        <w:t xml:space="preserve"> positive late gadolinium enhancemen</w:t>
      </w:r>
      <w:r>
        <w:rPr>
          <w:rFonts w:hint="default" w:ascii="Times New Roman Regular" w:hAnsi="Times New Roman Regular" w:eastAsia="宋体" w:cs="Times New Roman Regular"/>
          <w:szCs w:val="21"/>
          <w:lang w:val="en-US"/>
        </w:rPr>
        <w:t xml:space="preserve">; </w:t>
      </w:r>
      <w:r>
        <w:rPr>
          <w:rFonts w:ascii="Times New Roman Regular" w:hAnsi="Times New Roman Regular" w:eastAsia="宋体" w:cs="Times New Roman Regular"/>
          <w:szCs w:val="21"/>
        </w:rPr>
        <w:t>ln: natural logarithm;</w:t>
      </w:r>
      <w:r>
        <w:rPr>
          <w:rFonts w:hint="default" w:ascii="Times New Roman Regular" w:hAnsi="Times New Roman Regular" w:eastAsia="宋体" w:cs="Times New Roman Regular"/>
          <w:szCs w:val="21"/>
          <w:lang w:val="en-US"/>
        </w:rPr>
        <w:t xml:space="preserve"> </w:t>
      </w:r>
      <w:r>
        <w:rPr>
          <w:rFonts w:ascii="Times New Roman Regular" w:hAnsi="Times New Roman Regular" w:eastAsia="宋体" w:cs="Times New Roman Regular"/>
          <w:szCs w:val="21"/>
        </w:rPr>
        <w:t>LDH: lactate dehydrogenase;</w:t>
      </w:r>
      <w:r>
        <w:rPr>
          <w:rFonts w:hint="eastAsia" w:ascii="Times New Roman Regular" w:hAnsi="Times New Roman Regular" w:eastAsia="宋体" w:cs="Times New Roman Regular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Cs w:val="21"/>
          <w:lang w:val="en-US"/>
        </w:rPr>
        <w:t>NYHA: New York Heart Association; NT-proBNP: N-terminal pro B-type natriuretic peptide; OR: o</w:t>
      </w:r>
      <w:r>
        <w:rPr>
          <w:rFonts w:hint="eastAsia" w:ascii="Times New Roman Regular" w:hAnsi="Times New Roman Regular" w:eastAsia="宋体" w:cs="Times New Roman Regular"/>
          <w:szCs w:val="21"/>
          <w:lang w:val="en-US"/>
        </w:rPr>
        <w:t>dds</w:t>
      </w:r>
      <w:r>
        <w:rPr>
          <w:rFonts w:hint="default" w:ascii="Times New Roman Regular" w:hAnsi="Times New Roman Regular" w:eastAsia="宋体" w:cs="Times New Roman Regular"/>
          <w:szCs w:val="21"/>
          <w:lang w:val="en-US"/>
        </w:rPr>
        <w:t xml:space="preserve"> ratio.</w:t>
      </w:r>
    </w:p>
    <w:p w14:paraId="0A7A347D"/>
    <w:p w14:paraId="48B8A397"/>
    <w:p w14:paraId="5CE57E0B"/>
    <w:p w14:paraId="224138ED"/>
    <w:p w14:paraId="399B990E">
      <w:pPr>
        <w:spacing w:line="360" w:lineRule="auto"/>
        <w:rPr>
          <w:rFonts w:hint="default"/>
          <w:lang w:val="en-US"/>
        </w:rPr>
      </w:pPr>
      <w:r>
        <w:rPr>
          <w:rFonts w:hint="eastAsia" w:ascii="Times New Roman Bold" w:hAnsi="Times New Roman Bold" w:eastAsia="宋体" w:cs="Times New Roman Bold"/>
          <w:b/>
          <w:bCs/>
          <w:szCs w:val="21"/>
        </w:rPr>
        <w:t>Supplementary</w:t>
      </w:r>
      <w:r>
        <w:rPr>
          <w:rFonts w:hint="default" w:ascii="Times New Roman Bold" w:hAnsi="Times New Roman Bold" w:eastAsia="宋体" w:cs="Times New Roman Bold"/>
          <w:b/>
          <w:bCs/>
          <w:szCs w:val="21"/>
          <w:lang w:val="en-US"/>
        </w:rPr>
        <w:t xml:space="preserve"> </w:t>
      </w:r>
      <w:r>
        <w:rPr>
          <w:rFonts w:ascii="Times New Roman Bold" w:hAnsi="Times New Roman Bold" w:eastAsia="宋体" w:cs="Times New Roman Bold"/>
          <w:b/>
          <w:bCs/>
          <w:szCs w:val="21"/>
        </w:rPr>
        <w:t xml:space="preserve">Table </w:t>
      </w:r>
      <w:r>
        <w:rPr>
          <w:rFonts w:hint="eastAsia" w:ascii="Times New Roman Bold" w:hAnsi="Times New Roman Bold" w:eastAsia="宋体" w:cs="Times New Roman Bold"/>
          <w:b/>
          <w:bCs/>
          <w:szCs w:val="21"/>
          <w:lang w:val="en-US" w:eastAsia="zh-CN"/>
        </w:rPr>
        <w:t>4</w:t>
      </w:r>
      <w:r>
        <w:rPr>
          <w:rFonts w:ascii="Times New Roman Bold" w:hAnsi="Times New Roman Bold" w:eastAsia="宋体" w:cs="Times New Roman Bold"/>
          <w:b/>
          <w:bCs/>
          <w:szCs w:val="21"/>
        </w:rPr>
        <w:t xml:space="preserve">. </w:t>
      </w:r>
      <w:r>
        <w:rPr>
          <w:rFonts w:hint="default" w:ascii="Times New Roman Bold" w:hAnsi="Times New Roman Bold" w:eastAsia="宋体" w:cs="Times New Roman Bold"/>
          <w:b/>
          <w:bCs/>
          <w:szCs w:val="21"/>
          <w:lang w:val="en-US"/>
        </w:rPr>
        <w:t xml:space="preserve">Collinearity diagnosis of variables in the multivariable logistic regression model for </w:t>
      </w:r>
      <w:r>
        <w:rPr>
          <w:rFonts w:hint="default" w:ascii="Times New Roman Bold" w:hAnsi="Times New Roman Bold" w:eastAsia="宋体" w:cs="Times New Roman Bold"/>
          <w:b/>
          <w:bCs/>
          <w:sz w:val="21"/>
          <w:szCs w:val="21"/>
          <w:lang w:val="en-US" w:eastAsia="zh-CN"/>
        </w:rPr>
        <w:t>dilated cardiomyopathy phenotype in the overall LVNC cohort</w:t>
      </w:r>
    </w:p>
    <w:tbl>
      <w:tblPr>
        <w:tblStyle w:val="3"/>
        <w:tblW w:w="7326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6"/>
        <w:gridCol w:w="2067"/>
        <w:gridCol w:w="2203"/>
      </w:tblGrid>
      <w:tr w14:paraId="2087CB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7" w:hRule="atLeast"/>
          <w:jc w:val="center"/>
        </w:trPr>
        <w:tc>
          <w:tcPr>
            <w:tcW w:w="3056" w:type="dxa"/>
            <w:vMerge w:val="restart"/>
            <w:vAlign w:val="center"/>
          </w:tcPr>
          <w:p w14:paraId="287892B2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Variables</w:t>
            </w:r>
          </w:p>
        </w:tc>
        <w:tc>
          <w:tcPr>
            <w:tcW w:w="427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DE7D63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DCM (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=100)</w:t>
            </w:r>
          </w:p>
        </w:tc>
      </w:tr>
      <w:tr w14:paraId="67C9DC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1" w:hRule="atLeast"/>
          <w:jc w:val="center"/>
        </w:trPr>
        <w:tc>
          <w:tcPr>
            <w:tcW w:w="3056" w:type="dxa"/>
            <w:vMerge w:val="continue"/>
            <w:tcBorders>
              <w:bottom w:val="single" w:color="auto" w:sz="4" w:space="0"/>
            </w:tcBorders>
            <w:vAlign w:val="center"/>
          </w:tcPr>
          <w:p w14:paraId="7886AEF1">
            <w:pPr>
              <w:jc w:val="center"/>
            </w:pPr>
          </w:p>
        </w:tc>
        <w:tc>
          <w:tcPr>
            <w:tcW w:w="206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B52AA5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Tolerance</w:t>
            </w:r>
          </w:p>
        </w:tc>
        <w:tc>
          <w:tcPr>
            <w:tcW w:w="22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34094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VIF</w:t>
            </w:r>
          </w:p>
        </w:tc>
      </w:tr>
      <w:tr w14:paraId="68523B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tcBorders>
              <w:top w:val="single" w:color="auto" w:sz="4" w:space="0"/>
            </w:tcBorders>
            <w:vAlign w:val="center"/>
          </w:tcPr>
          <w:p w14:paraId="44DB34FC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 xml:space="preserve">Body surface area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18"/>
                <w:szCs w:val="18"/>
              </w:rPr>
              <w:t>(m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18"/>
                <w:szCs w:val="18"/>
                <w:vertAlign w:val="superscript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18"/>
                <w:szCs w:val="18"/>
              </w:rPr>
              <w:t>)</w:t>
            </w:r>
          </w:p>
        </w:tc>
        <w:tc>
          <w:tcPr>
            <w:tcW w:w="2067" w:type="dxa"/>
            <w:tcBorders>
              <w:top w:val="single" w:color="auto" w:sz="4" w:space="0"/>
            </w:tcBorders>
            <w:vAlign w:val="center"/>
          </w:tcPr>
          <w:p w14:paraId="473B890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516</w:t>
            </w:r>
          </w:p>
        </w:tc>
        <w:tc>
          <w:tcPr>
            <w:tcW w:w="2203" w:type="dxa"/>
            <w:tcBorders>
              <w:top w:val="single" w:color="auto" w:sz="4" w:space="0"/>
            </w:tcBorders>
            <w:vAlign w:val="center"/>
          </w:tcPr>
          <w:p w14:paraId="6F25CFF7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938</w:t>
            </w:r>
          </w:p>
        </w:tc>
      </w:tr>
      <w:tr w14:paraId="367439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7EE3204A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Dyspnea</w:t>
            </w:r>
          </w:p>
        </w:tc>
        <w:tc>
          <w:tcPr>
            <w:tcW w:w="2067" w:type="dxa"/>
            <w:vAlign w:val="center"/>
          </w:tcPr>
          <w:p w14:paraId="650C0E9E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0.7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09</w:t>
            </w:r>
          </w:p>
        </w:tc>
        <w:tc>
          <w:tcPr>
            <w:tcW w:w="2203" w:type="dxa"/>
            <w:vAlign w:val="center"/>
          </w:tcPr>
          <w:p w14:paraId="53B2465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1.4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11</w:t>
            </w:r>
          </w:p>
        </w:tc>
      </w:tr>
      <w:tr w14:paraId="3272B0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17B704AB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NYHA Class III/IV</w:t>
            </w:r>
          </w:p>
        </w:tc>
        <w:tc>
          <w:tcPr>
            <w:tcW w:w="2067" w:type="dxa"/>
            <w:vAlign w:val="center"/>
          </w:tcPr>
          <w:p w14:paraId="0E8E3FAA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0.5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71</w:t>
            </w:r>
          </w:p>
        </w:tc>
        <w:tc>
          <w:tcPr>
            <w:tcW w:w="2203" w:type="dxa"/>
            <w:vAlign w:val="center"/>
          </w:tcPr>
          <w:p w14:paraId="1F41C7E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752</w:t>
            </w:r>
          </w:p>
        </w:tc>
      </w:tr>
      <w:tr w14:paraId="7CB2F9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282DA4E4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F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</w:rPr>
              <w:t>requent ventricular premature</w:t>
            </w:r>
          </w:p>
        </w:tc>
        <w:tc>
          <w:tcPr>
            <w:tcW w:w="2067" w:type="dxa"/>
            <w:vAlign w:val="center"/>
          </w:tcPr>
          <w:p w14:paraId="23DC962B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0.6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86</w:t>
            </w:r>
          </w:p>
        </w:tc>
        <w:tc>
          <w:tcPr>
            <w:tcW w:w="2203" w:type="dxa"/>
            <w:vAlign w:val="center"/>
          </w:tcPr>
          <w:p w14:paraId="5D79498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1.4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57</w:t>
            </w:r>
          </w:p>
        </w:tc>
      </w:tr>
      <w:tr w14:paraId="0B2B8D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73BFDE42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N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</w:rPr>
              <w:t>on-sustained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</w:rPr>
              <w:t>ventricular tachycardia</w:t>
            </w:r>
          </w:p>
        </w:tc>
        <w:tc>
          <w:tcPr>
            <w:tcW w:w="2067" w:type="dxa"/>
            <w:vAlign w:val="center"/>
          </w:tcPr>
          <w:p w14:paraId="63FCDC3D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0.613</w:t>
            </w:r>
          </w:p>
        </w:tc>
        <w:tc>
          <w:tcPr>
            <w:tcW w:w="2203" w:type="dxa"/>
            <w:vAlign w:val="center"/>
          </w:tcPr>
          <w:p w14:paraId="0B8AB6F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1.632</w:t>
            </w:r>
          </w:p>
        </w:tc>
      </w:tr>
      <w:tr w14:paraId="04C2F9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0F101164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LAD (mm,±s)</w:t>
            </w:r>
          </w:p>
        </w:tc>
        <w:tc>
          <w:tcPr>
            <w:tcW w:w="2067" w:type="dxa"/>
            <w:vAlign w:val="center"/>
          </w:tcPr>
          <w:p w14:paraId="4E360AAF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386</w:t>
            </w:r>
          </w:p>
        </w:tc>
        <w:tc>
          <w:tcPr>
            <w:tcW w:w="2203" w:type="dxa"/>
            <w:vAlign w:val="center"/>
          </w:tcPr>
          <w:p w14:paraId="5952725C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2.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591</w:t>
            </w:r>
          </w:p>
        </w:tc>
      </w:tr>
      <w:tr w14:paraId="4648F7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45A616DF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LVEDD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(mm,</w:t>
            </w:r>
            <m:oMath>
              <m:bar>
                <m:barPr>
                  <m:pos m:val="top"/>
                  <m:ctrlPr>
                    <w:rPr>
                      <w:rFonts w:hint="default" w:ascii="Cambria Math" w:hAnsi="Cambria Math" w:eastAsia="宋体" w:cs="Times New Roman Regular"/>
                      <w:iCs/>
                      <w:sz w:val="18"/>
                      <w:szCs w:val="18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hint="default" w:ascii="Cambria Math" w:hAnsi="Cambria Math" w:eastAsia="宋体" w:cs="Times New Roman Regular"/>
                      <w:sz w:val="18"/>
                      <w:szCs w:val="18"/>
                    </w:rPr>
                    <m:t>x</m:t>
                  </m:r>
                  <m:ctrlPr>
                    <w:rPr>
                      <w:rFonts w:hint="default" w:ascii="Cambria Math" w:hAnsi="Cambria Math" w:eastAsia="宋体" w:cs="Times New Roman Regular"/>
                      <w:iCs/>
                      <w:sz w:val="18"/>
                      <w:szCs w:val="18"/>
                    </w:rPr>
                  </m:ctrlPr>
                </m:e>
              </m:bar>
            </m:oMath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±s)</w:t>
            </w:r>
          </w:p>
        </w:tc>
        <w:tc>
          <w:tcPr>
            <w:tcW w:w="2067" w:type="dxa"/>
            <w:vAlign w:val="center"/>
          </w:tcPr>
          <w:p w14:paraId="3617AB97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398</w:t>
            </w:r>
          </w:p>
        </w:tc>
        <w:tc>
          <w:tcPr>
            <w:tcW w:w="2203" w:type="dxa"/>
            <w:vAlign w:val="center"/>
          </w:tcPr>
          <w:p w14:paraId="0DC7B20D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2.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510</w:t>
            </w:r>
          </w:p>
        </w:tc>
      </w:tr>
      <w:tr w14:paraId="554A1D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shd w:val="clear" w:color="auto" w:fill="auto"/>
            <w:vAlign w:val="center"/>
          </w:tcPr>
          <w:p w14:paraId="1D46128F">
            <w:pPr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LVEF (%,±s)</w:t>
            </w:r>
          </w:p>
        </w:tc>
        <w:tc>
          <w:tcPr>
            <w:tcW w:w="2067" w:type="dxa"/>
            <w:vAlign w:val="center"/>
          </w:tcPr>
          <w:p w14:paraId="7FFEA0ED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0.44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203" w:type="dxa"/>
            <w:vAlign w:val="center"/>
          </w:tcPr>
          <w:p w14:paraId="1AFB43AB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2.2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74</w:t>
            </w:r>
          </w:p>
        </w:tc>
      </w:tr>
      <w:tr w14:paraId="237B8F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2" w:hRule="atLeast"/>
          <w:jc w:val="center"/>
        </w:trPr>
        <w:tc>
          <w:tcPr>
            <w:tcW w:w="3056" w:type="dxa"/>
            <w:shd w:val="clear" w:color="auto" w:fill="auto"/>
            <w:vAlign w:val="center"/>
          </w:tcPr>
          <w:p w14:paraId="3E04AD89">
            <w:pPr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M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oderate/massive mitral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regurgitation</w:t>
            </w:r>
          </w:p>
        </w:tc>
        <w:tc>
          <w:tcPr>
            <w:tcW w:w="2067" w:type="dxa"/>
            <w:vAlign w:val="center"/>
          </w:tcPr>
          <w:p w14:paraId="2E110180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0.6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37</w:t>
            </w:r>
          </w:p>
        </w:tc>
        <w:tc>
          <w:tcPr>
            <w:tcW w:w="2203" w:type="dxa"/>
            <w:vAlign w:val="center"/>
          </w:tcPr>
          <w:p w14:paraId="1BDDDD38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570</w:t>
            </w:r>
          </w:p>
        </w:tc>
      </w:tr>
      <w:tr w14:paraId="32B2E5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64E69C7A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LGE (+)</w:t>
            </w:r>
          </w:p>
        </w:tc>
        <w:tc>
          <w:tcPr>
            <w:tcW w:w="2067" w:type="dxa"/>
            <w:vAlign w:val="center"/>
          </w:tcPr>
          <w:p w14:paraId="5BBD598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0.681</w:t>
            </w:r>
          </w:p>
        </w:tc>
        <w:tc>
          <w:tcPr>
            <w:tcW w:w="2203" w:type="dxa"/>
            <w:vAlign w:val="center"/>
          </w:tcPr>
          <w:p w14:paraId="4DDCFDCC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1.469</w:t>
            </w:r>
          </w:p>
        </w:tc>
      </w:tr>
      <w:tr w14:paraId="27AE21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3C1963DA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ln NT-proBNP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(pg/ml)</w:t>
            </w:r>
          </w:p>
        </w:tc>
        <w:tc>
          <w:tcPr>
            <w:tcW w:w="2067" w:type="dxa"/>
            <w:vAlign w:val="center"/>
          </w:tcPr>
          <w:p w14:paraId="6820F1AB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0.7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2203" w:type="dxa"/>
            <w:vAlign w:val="center"/>
          </w:tcPr>
          <w:p w14:paraId="696C2787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400</w:t>
            </w:r>
          </w:p>
        </w:tc>
      </w:tr>
      <w:tr w14:paraId="5F4181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7CA24E4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LDH (U/L)</w:t>
            </w:r>
          </w:p>
        </w:tc>
        <w:tc>
          <w:tcPr>
            <w:tcW w:w="2067" w:type="dxa"/>
            <w:vAlign w:val="center"/>
          </w:tcPr>
          <w:p w14:paraId="0DD45F1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0.82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203" w:type="dxa"/>
            <w:vAlign w:val="center"/>
          </w:tcPr>
          <w:p w14:paraId="3595A07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1.2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11</w:t>
            </w:r>
          </w:p>
        </w:tc>
      </w:tr>
    </w:tbl>
    <w:p w14:paraId="1ACFEBD6">
      <w:pPr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t>N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ote: VIF &lt;5: collinearity not significant, 5 ≤ VIF ≤ 10: moderate collinearity, VIF &gt;10: severe collinearity. </w:t>
      </w:r>
      <w:r>
        <w:rPr>
          <w:rFonts w:hint="default" w:ascii="Times New Roman Regular" w:hAnsi="Times New Roman Regular" w:cs="Times New Roman Regular"/>
          <w:lang w:val="en-US"/>
        </w:rPr>
        <w:t xml:space="preserve">DCM: dilated cardiomyopathy; LVNC: left ventricular non-compaction; LAD: left atrial diameter; LVEDD: left ventricular end-diastolic diameter; LVEF: left ventricular ejection fraction; </w:t>
      </w:r>
      <w:r>
        <w:rPr>
          <w:rFonts w:hint="eastAsia" w:ascii="Times New Roman Regular" w:hAnsi="Times New Roman Regular" w:cs="Times New Roman Regular"/>
          <w:lang w:val="en-US"/>
        </w:rPr>
        <w:t>LGE</w:t>
      </w:r>
      <w:r>
        <w:rPr>
          <w:rFonts w:hint="default" w:ascii="Times New Roman Regular" w:hAnsi="Times New Roman Regular" w:cs="Times New Roman Regular"/>
          <w:lang w:val="en-US"/>
        </w:rPr>
        <w:t xml:space="preserve"> </w:t>
      </w:r>
      <w:r>
        <w:rPr>
          <w:rFonts w:hint="eastAsia" w:ascii="Times New Roman Regular" w:hAnsi="Times New Roman Regular" w:cs="Times New Roman Regular"/>
          <w:lang w:val="en-US"/>
        </w:rPr>
        <w:t>(+)</w:t>
      </w:r>
      <w:r>
        <w:rPr>
          <w:rFonts w:hint="default" w:ascii="Times New Roman Regular" w:hAnsi="Times New Roman Regular" w:cs="Times New Roman Regular"/>
          <w:lang w:val="en-US"/>
        </w:rPr>
        <w:t>:</w:t>
      </w:r>
      <w:r>
        <w:rPr>
          <w:rFonts w:hint="eastAsia" w:ascii="Times New Roman Regular" w:hAnsi="Times New Roman Regular" w:cs="Times New Roman Regular"/>
          <w:lang w:val="en-US"/>
        </w:rPr>
        <w:t xml:space="preserve"> positive late gadolinium enhancemen</w:t>
      </w:r>
      <w:r>
        <w:rPr>
          <w:rFonts w:hint="default" w:ascii="Times New Roman Regular" w:hAnsi="Times New Roman Regular" w:cs="Times New Roman Regular"/>
          <w:lang w:val="en-US"/>
        </w:rPr>
        <w:t xml:space="preserve">; ln: natural logarithm; LDH: lactate dehydrogenase; NYHA: New York Heart Association; NT-proBNP: N-terminal pro B-type natriuretic peptide; </w:t>
      </w:r>
      <w:r>
        <w:rPr>
          <w:rFonts w:hint="default" w:ascii="Times New Roman Regular" w:hAnsi="Times New Roman Regular" w:cs="Times New Roman Regular"/>
          <w:lang w:val="en-US" w:eastAsia="zh-CN"/>
        </w:rPr>
        <w:t>VIF: variance inflation factor</w:t>
      </w:r>
      <w:r>
        <w:rPr>
          <w:rFonts w:hint="default" w:ascii="Times New Roman Regular" w:hAnsi="Times New Roman Regular" w:cs="Times New Roman Regular"/>
          <w:lang w:val="en-US"/>
        </w:rPr>
        <w:t>.</w:t>
      </w:r>
    </w:p>
    <w:p w14:paraId="447059EB">
      <w:pPr>
        <w:rPr>
          <w:rFonts w:hint="default" w:ascii="Times New Roman Regular" w:hAnsi="Times New Roman Regular" w:cs="Times New Roman Regular"/>
          <w:lang w:val="en-US"/>
        </w:rPr>
      </w:pPr>
    </w:p>
    <w:p w14:paraId="0986F021">
      <w:pPr>
        <w:rPr>
          <w:rFonts w:hint="default" w:ascii="Times New Roman Regular" w:hAnsi="Times New Roman Regular" w:cs="Times New Roman Regular"/>
          <w:lang w:val="en-US"/>
        </w:rPr>
      </w:pPr>
    </w:p>
    <w:p w14:paraId="7BFB6307">
      <w:pPr>
        <w:rPr>
          <w:rFonts w:hint="default" w:ascii="Times New Roman Regular" w:hAnsi="Times New Roman Regular" w:cs="Times New Roman Regular"/>
          <w:lang w:val="en-US"/>
        </w:rPr>
      </w:pPr>
    </w:p>
    <w:p w14:paraId="2743F40D">
      <w:pPr>
        <w:rPr>
          <w:rFonts w:hint="default" w:ascii="Times New Roman Regular" w:hAnsi="Times New Roman Regular" w:cs="Times New Roman Regular"/>
          <w:lang w:val="en-US"/>
        </w:rPr>
      </w:pPr>
    </w:p>
    <w:p w14:paraId="183E6739">
      <w:pPr>
        <w:rPr>
          <w:rFonts w:hint="default" w:ascii="Times New Roman Regular" w:hAnsi="Times New Roman Regular" w:cs="Times New Roman Regular"/>
          <w:lang w:val="en-US"/>
        </w:rPr>
      </w:pPr>
    </w:p>
    <w:p w14:paraId="7602DD64">
      <w:pPr>
        <w:rPr>
          <w:rFonts w:hint="default" w:ascii="Times New Roman Regular" w:hAnsi="Times New Roman Regular" w:cs="Times New Roman Regular"/>
          <w:lang w:val="en-US"/>
        </w:rPr>
      </w:pPr>
    </w:p>
    <w:p w14:paraId="2BE31D86">
      <w:pPr>
        <w:rPr>
          <w:rFonts w:hint="default" w:ascii="Times New Roman Regular" w:hAnsi="Times New Roman Regular" w:cs="Times New Roman Regular"/>
          <w:lang w:val="en-US"/>
        </w:rPr>
      </w:pPr>
    </w:p>
    <w:p w14:paraId="117ACA54">
      <w:pPr>
        <w:rPr>
          <w:rFonts w:hint="default" w:ascii="Times New Roman Regular" w:hAnsi="Times New Roman Regular" w:cs="Times New Roman Regular"/>
          <w:lang w:val="en-US"/>
        </w:rPr>
      </w:pPr>
    </w:p>
    <w:p w14:paraId="4FBF1D6D">
      <w:pPr>
        <w:rPr>
          <w:rFonts w:hint="default" w:ascii="Times New Roman Regular" w:hAnsi="Times New Roman Regular" w:cs="Times New Roman Regular"/>
          <w:lang w:val="en-US"/>
        </w:rPr>
      </w:pPr>
    </w:p>
    <w:p w14:paraId="5591F24F">
      <w:pPr>
        <w:rPr>
          <w:rFonts w:hint="default" w:ascii="Times New Roman Regular" w:hAnsi="Times New Roman Regular" w:eastAsia="宋体" w:cs="Times New Roman Regular"/>
          <w:szCs w:val="21"/>
          <w:lang w:val="en-US"/>
        </w:rPr>
      </w:pPr>
    </w:p>
    <w:p w14:paraId="61713774">
      <w:pPr>
        <w:spacing w:line="360" w:lineRule="auto"/>
        <w:rPr>
          <w:rFonts w:hint="default"/>
          <w:lang w:val="en-US"/>
        </w:rPr>
      </w:pPr>
      <w:r>
        <w:rPr>
          <w:rFonts w:hint="eastAsia" w:ascii="Times New Roman Bold" w:hAnsi="Times New Roman Bold" w:eastAsia="宋体" w:cs="Times New Roman Bold"/>
          <w:b/>
          <w:bCs/>
          <w:szCs w:val="21"/>
        </w:rPr>
        <w:t>Supplementary</w:t>
      </w:r>
      <w:r>
        <w:rPr>
          <w:rFonts w:hint="default" w:ascii="Times New Roman Bold" w:hAnsi="Times New Roman Bold" w:eastAsia="宋体" w:cs="Times New Roman Bold"/>
          <w:b/>
          <w:bCs/>
          <w:szCs w:val="21"/>
          <w:lang w:val="en-US"/>
        </w:rPr>
        <w:t xml:space="preserve"> </w:t>
      </w:r>
      <w:r>
        <w:rPr>
          <w:rFonts w:ascii="Times New Roman Bold" w:hAnsi="Times New Roman Bold" w:eastAsia="宋体" w:cs="Times New Roman Bold"/>
          <w:b/>
          <w:bCs/>
          <w:szCs w:val="21"/>
        </w:rPr>
        <w:t xml:space="preserve">Table </w:t>
      </w:r>
      <w:r>
        <w:rPr>
          <w:rFonts w:hint="eastAsia" w:ascii="Times New Roman Bold" w:hAnsi="Times New Roman Bold" w:eastAsia="宋体" w:cs="Times New Roman Bold"/>
          <w:b/>
          <w:bCs/>
          <w:szCs w:val="21"/>
          <w:lang w:val="en-US" w:eastAsia="zh-CN"/>
        </w:rPr>
        <w:t>5</w:t>
      </w:r>
      <w:r>
        <w:rPr>
          <w:rFonts w:ascii="Times New Roman Bold" w:hAnsi="Times New Roman Bold" w:eastAsia="宋体" w:cs="Times New Roman Bold"/>
          <w:b/>
          <w:bCs/>
          <w:szCs w:val="21"/>
        </w:rPr>
        <w:t xml:space="preserve">. </w:t>
      </w:r>
      <w:r>
        <w:rPr>
          <w:rFonts w:hint="default" w:ascii="Times New Roman Bold" w:hAnsi="Times New Roman Bold" w:eastAsia="宋体" w:cs="Times New Roman Bold"/>
          <w:b/>
          <w:bCs/>
          <w:szCs w:val="21"/>
          <w:lang w:val="en-US"/>
        </w:rPr>
        <w:t xml:space="preserve">Collinearity diagnosis of variables in the multivariable logistic regression model for </w:t>
      </w:r>
      <w:r>
        <w:rPr>
          <w:rFonts w:hint="default" w:ascii="Times New Roman Bold" w:hAnsi="Times New Roman Bold" w:eastAsia="宋体" w:cs="Times New Roman Bold"/>
          <w:b/>
          <w:bCs/>
          <w:sz w:val="21"/>
          <w:szCs w:val="21"/>
          <w:lang w:val="en-US" w:eastAsia="zh-CN"/>
        </w:rPr>
        <w:t>dilated cardiomyopathy</w:t>
      </w:r>
      <w:r>
        <w:rPr>
          <w:rFonts w:hint="eastAsia" w:ascii="Times New Roman Bold" w:hAnsi="Times New Roman Bold" w:eastAsia="宋体" w:cs="Times New Roman Bold"/>
          <w:b/>
          <w:bCs/>
          <w:sz w:val="21"/>
          <w:szCs w:val="21"/>
          <w:lang w:val="en-US" w:eastAsia="zh-CN"/>
        </w:rPr>
        <w:t xml:space="preserve"> phenotype</w:t>
      </w:r>
      <w:r>
        <w:rPr>
          <w:rFonts w:hint="default" w:ascii="Times New Roman Bold" w:hAnsi="Times New Roman Bold" w:eastAsia="宋体" w:cs="Times New Roman Bold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Times New Roman Bold" w:hAnsi="Times New Roman Bold" w:eastAsia="宋体" w:cs="Times New Roman Bold"/>
          <w:b/>
          <w:bCs/>
          <w:sz w:val="21"/>
          <w:szCs w:val="21"/>
          <w:lang w:val="en-US" w:eastAsia="zh-CN"/>
        </w:rPr>
        <w:t>in children</w:t>
      </w:r>
      <w:r>
        <w:rPr>
          <w:rFonts w:hint="default" w:ascii="Times New Roman Bold" w:hAnsi="Times New Roman Bold" w:eastAsia="宋体" w:cs="Times New Roman Bold"/>
          <w:b/>
          <w:bCs/>
          <w:sz w:val="21"/>
          <w:szCs w:val="21"/>
          <w:lang w:val="en-US" w:eastAsia="zh-CN"/>
        </w:rPr>
        <w:t xml:space="preserve"> with LVNC</w:t>
      </w:r>
    </w:p>
    <w:tbl>
      <w:tblPr>
        <w:tblStyle w:val="3"/>
        <w:tblW w:w="7326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6"/>
        <w:gridCol w:w="2067"/>
        <w:gridCol w:w="2203"/>
      </w:tblGrid>
      <w:tr w14:paraId="5292C7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35" w:hRule="atLeast"/>
          <w:jc w:val="center"/>
        </w:trPr>
        <w:tc>
          <w:tcPr>
            <w:tcW w:w="3056" w:type="dxa"/>
            <w:vMerge w:val="restart"/>
            <w:vAlign w:val="center"/>
          </w:tcPr>
          <w:p w14:paraId="098A21E7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Variables</w:t>
            </w:r>
          </w:p>
        </w:tc>
        <w:tc>
          <w:tcPr>
            <w:tcW w:w="427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6982F8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DCM (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=28)</w:t>
            </w:r>
          </w:p>
        </w:tc>
      </w:tr>
      <w:tr w14:paraId="3A5402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35" w:hRule="atLeast"/>
          <w:jc w:val="center"/>
        </w:trPr>
        <w:tc>
          <w:tcPr>
            <w:tcW w:w="3056" w:type="dxa"/>
            <w:vMerge w:val="continue"/>
            <w:tcBorders>
              <w:bottom w:val="single" w:color="auto" w:sz="4" w:space="0"/>
            </w:tcBorders>
            <w:vAlign w:val="center"/>
          </w:tcPr>
          <w:p w14:paraId="6CB4881A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</w:p>
        </w:tc>
        <w:tc>
          <w:tcPr>
            <w:tcW w:w="206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FF5D174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Tolerance</w:t>
            </w:r>
          </w:p>
        </w:tc>
        <w:tc>
          <w:tcPr>
            <w:tcW w:w="22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9565A7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VIF</w:t>
            </w:r>
          </w:p>
        </w:tc>
      </w:tr>
      <w:tr w14:paraId="0F2D28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tcBorders>
              <w:top w:val="single" w:color="auto" w:sz="4" w:space="0"/>
            </w:tcBorders>
            <w:vAlign w:val="center"/>
          </w:tcPr>
          <w:p w14:paraId="7B6EB81D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 xml:space="preserve">Body surface area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18"/>
                <w:szCs w:val="18"/>
              </w:rPr>
              <w:t>(m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18"/>
                <w:szCs w:val="18"/>
                <w:vertAlign w:val="superscript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18"/>
                <w:szCs w:val="18"/>
              </w:rPr>
              <w:t>)</w:t>
            </w:r>
          </w:p>
        </w:tc>
        <w:tc>
          <w:tcPr>
            <w:tcW w:w="2067" w:type="dxa"/>
            <w:tcBorders>
              <w:top w:val="single" w:color="auto" w:sz="4" w:space="0"/>
            </w:tcBorders>
            <w:vAlign w:val="center"/>
          </w:tcPr>
          <w:p w14:paraId="67239E2D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0.539</w:t>
            </w:r>
          </w:p>
        </w:tc>
        <w:tc>
          <w:tcPr>
            <w:tcW w:w="2203" w:type="dxa"/>
            <w:tcBorders>
              <w:top w:val="single" w:color="auto" w:sz="4" w:space="0"/>
            </w:tcBorders>
            <w:vAlign w:val="center"/>
          </w:tcPr>
          <w:p w14:paraId="21BB8684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1.856</w:t>
            </w:r>
          </w:p>
        </w:tc>
      </w:tr>
      <w:tr w14:paraId="4FF335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07BE377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Dyspnea</w:t>
            </w:r>
          </w:p>
        </w:tc>
        <w:tc>
          <w:tcPr>
            <w:tcW w:w="2067" w:type="dxa"/>
            <w:vAlign w:val="center"/>
          </w:tcPr>
          <w:p w14:paraId="6D83D617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0.768</w:t>
            </w:r>
          </w:p>
        </w:tc>
        <w:tc>
          <w:tcPr>
            <w:tcW w:w="2203" w:type="dxa"/>
            <w:vAlign w:val="center"/>
          </w:tcPr>
          <w:p w14:paraId="0EC65B28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1.302</w:t>
            </w:r>
          </w:p>
        </w:tc>
      </w:tr>
      <w:tr w14:paraId="01A497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2C8223CF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NYHA Class III/IV</w:t>
            </w:r>
          </w:p>
        </w:tc>
        <w:tc>
          <w:tcPr>
            <w:tcW w:w="2067" w:type="dxa"/>
            <w:vAlign w:val="center"/>
          </w:tcPr>
          <w:p w14:paraId="603337FE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0.617</w:t>
            </w:r>
          </w:p>
        </w:tc>
        <w:tc>
          <w:tcPr>
            <w:tcW w:w="2203" w:type="dxa"/>
            <w:vAlign w:val="center"/>
          </w:tcPr>
          <w:p w14:paraId="1B8DF5C4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1.620</w:t>
            </w:r>
          </w:p>
        </w:tc>
      </w:tr>
      <w:tr w14:paraId="5D194E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4E7B6E33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LAD (mm,±s)</w:t>
            </w:r>
          </w:p>
        </w:tc>
        <w:tc>
          <w:tcPr>
            <w:tcW w:w="2067" w:type="dxa"/>
            <w:vAlign w:val="center"/>
          </w:tcPr>
          <w:p w14:paraId="3916E693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0.423</w:t>
            </w:r>
          </w:p>
        </w:tc>
        <w:tc>
          <w:tcPr>
            <w:tcW w:w="2203" w:type="dxa"/>
            <w:vAlign w:val="center"/>
          </w:tcPr>
          <w:p w14:paraId="0E682013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2.364</w:t>
            </w:r>
          </w:p>
        </w:tc>
      </w:tr>
      <w:tr w14:paraId="297885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0968DEE2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LVEDD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(mm,</w:t>
            </w:r>
            <m:oMath>
              <m:bar>
                <m:barPr>
                  <m:pos m:val="top"/>
                  <m:ctrlPr>
                    <w:rPr>
                      <w:rFonts w:hint="default" w:ascii="Cambria Math" w:hAnsi="Cambria Math" w:eastAsia="宋体" w:cs="Times New Roman Regular"/>
                      <w:iCs/>
                      <w:sz w:val="18"/>
                      <w:szCs w:val="18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hint="default" w:ascii="Cambria Math" w:hAnsi="Cambria Math" w:eastAsia="宋体" w:cs="Times New Roman Regular"/>
                      <w:sz w:val="18"/>
                      <w:szCs w:val="18"/>
                    </w:rPr>
                    <m:t>x</m:t>
                  </m:r>
                  <m:ctrlPr>
                    <w:rPr>
                      <w:rFonts w:hint="default" w:ascii="Cambria Math" w:hAnsi="Cambria Math" w:eastAsia="宋体" w:cs="Times New Roman Regular"/>
                      <w:iCs/>
                      <w:sz w:val="18"/>
                      <w:szCs w:val="18"/>
                    </w:rPr>
                  </m:ctrlPr>
                </m:e>
              </m:bar>
            </m:oMath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±s)</w:t>
            </w:r>
          </w:p>
        </w:tc>
        <w:tc>
          <w:tcPr>
            <w:tcW w:w="2067" w:type="dxa"/>
            <w:vAlign w:val="center"/>
          </w:tcPr>
          <w:p w14:paraId="2801F657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0.379</w:t>
            </w:r>
          </w:p>
        </w:tc>
        <w:tc>
          <w:tcPr>
            <w:tcW w:w="2203" w:type="dxa"/>
            <w:vAlign w:val="center"/>
          </w:tcPr>
          <w:p w14:paraId="322CAE33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2.641</w:t>
            </w:r>
          </w:p>
        </w:tc>
      </w:tr>
      <w:tr w14:paraId="58A4CD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shd w:val="clear" w:color="auto" w:fill="auto"/>
            <w:vAlign w:val="center"/>
          </w:tcPr>
          <w:p w14:paraId="576995C6">
            <w:pPr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LVEF (%,±s)</w:t>
            </w:r>
          </w:p>
        </w:tc>
        <w:tc>
          <w:tcPr>
            <w:tcW w:w="2067" w:type="dxa"/>
            <w:vAlign w:val="center"/>
          </w:tcPr>
          <w:p w14:paraId="3070793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0.423</w:t>
            </w:r>
          </w:p>
        </w:tc>
        <w:tc>
          <w:tcPr>
            <w:tcW w:w="2203" w:type="dxa"/>
            <w:vAlign w:val="center"/>
          </w:tcPr>
          <w:p w14:paraId="2A721E8E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2.362</w:t>
            </w:r>
          </w:p>
        </w:tc>
      </w:tr>
      <w:tr w14:paraId="264E8B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2" w:hRule="atLeast"/>
          <w:jc w:val="center"/>
        </w:trPr>
        <w:tc>
          <w:tcPr>
            <w:tcW w:w="3056" w:type="dxa"/>
            <w:shd w:val="clear" w:color="auto" w:fill="auto"/>
            <w:vAlign w:val="center"/>
          </w:tcPr>
          <w:p w14:paraId="475D59B9">
            <w:pPr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M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oderate/massive mitral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regurgitation</w:t>
            </w:r>
          </w:p>
        </w:tc>
        <w:tc>
          <w:tcPr>
            <w:tcW w:w="2067" w:type="dxa"/>
            <w:vAlign w:val="center"/>
          </w:tcPr>
          <w:p w14:paraId="51C059E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0.616</w:t>
            </w:r>
          </w:p>
        </w:tc>
        <w:tc>
          <w:tcPr>
            <w:tcW w:w="2203" w:type="dxa"/>
            <w:vAlign w:val="center"/>
          </w:tcPr>
          <w:p w14:paraId="397F4682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1.622</w:t>
            </w:r>
          </w:p>
        </w:tc>
      </w:tr>
      <w:tr w14:paraId="0F5E07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6E93D82D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LGE (+)</w:t>
            </w:r>
          </w:p>
        </w:tc>
        <w:tc>
          <w:tcPr>
            <w:tcW w:w="2067" w:type="dxa"/>
            <w:vAlign w:val="center"/>
          </w:tcPr>
          <w:p w14:paraId="72DBC833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0.805</w:t>
            </w:r>
          </w:p>
        </w:tc>
        <w:tc>
          <w:tcPr>
            <w:tcW w:w="2203" w:type="dxa"/>
            <w:vAlign w:val="center"/>
          </w:tcPr>
          <w:p w14:paraId="39E3A433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1.242</w:t>
            </w:r>
          </w:p>
        </w:tc>
      </w:tr>
      <w:tr w14:paraId="571A27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7CE19F84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ln NT-proBNP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(pg/ml)</w:t>
            </w:r>
          </w:p>
        </w:tc>
        <w:tc>
          <w:tcPr>
            <w:tcW w:w="2067" w:type="dxa"/>
            <w:vAlign w:val="center"/>
          </w:tcPr>
          <w:p w14:paraId="555602F3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0.735</w:t>
            </w:r>
          </w:p>
        </w:tc>
        <w:tc>
          <w:tcPr>
            <w:tcW w:w="2203" w:type="dxa"/>
            <w:vAlign w:val="center"/>
          </w:tcPr>
          <w:p w14:paraId="3BEB955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1.361</w:t>
            </w:r>
          </w:p>
        </w:tc>
      </w:tr>
      <w:tr w14:paraId="557B3F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3120132B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LDH (U/L)</w:t>
            </w:r>
          </w:p>
        </w:tc>
        <w:tc>
          <w:tcPr>
            <w:tcW w:w="2067" w:type="dxa"/>
            <w:vAlign w:val="center"/>
          </w:tcPr>
          <w:p w14:paraId="49E1DC90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0.819</w:t>
            </w:r>
          </w:p>
        </w:tc>
        <w:tc>
          <w:tcPr>
            <w:tcW w:w="2203" w:type="dxa"/>
            <w:vAlign w:val="center"/>
          </w:tcPr>
          <w:p w14:paraId="61D38F63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1.222</w:t>
            </w:r>
          </w:p>
        </w:tc>
      </w:tr>
    </w:tbl>
    <w:p w14:paraId="0C79B686">
      <w:pPr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t>N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ote: VIF &lt;5: collinearity not significant, 5 ≤ VIF ≤ 10: moderate collinearity, VIF &gt;10: severe collinearity. </w:t>
      </w:r>
      <w:r>
        <w:rPr>
          <w:rFonts w:hint="default" w:ascii="Times New Roman Regular" w:hAnsi="Times New Roman Regular" w:cs="Times New Roman Regular"/>
          <w:lang w:val="en-US"/>
        </w:rPr>
        <w:t xml:space="preserve">DCM: dilated cardiomyopathy; LVNC: left ventricular non-compaction; LAD: left atrial diameter; LVEDD: left ventricular end-diastolic diameter; LVEF: left ventricular ejection fraction; </w:t>
      </w:r>
      <w:r>
        <w:rPr>
          <w:rFonts w:hint="eastAsia" w:ascii="Times New Roman Regular" w:hAnsi="Times New Roman Regular" w:cs="Times New Roman Regular"/>
          <w:lang w:val="en-US"/>
        </w:rPr>
        <w:t>LGE</w:t>
      </w:r>
      <w:r>
        <w:rPr>
          <w:rFonts w:hint="default" w:ascii="Times New Roman Regular" w:hAnsi="Times New Roman Regular" w:cs="Times New Roman Regular"/>
          <w:lang w:val="en-US"/>
        </w:rPr>
        <w:t xml:space="preserve"> </w:t>
      </w:r>
      <w:r>
        <w:rPr>
          <w:rFonts w:hint="eastAsia" w:ascii="Times New Roman Regular" w:hAnsi="Times New Roman Regular" w:cs="Times New Roman Regular"/>
          <w:lang w:val="en-US"/>
        </w:rPr>
        <w:t>(+)</w:t>
      </w:r>
      <w:r>
        <w:rPr>
          <w:rFonts w:hint="default" w:ascii="Times New Roman Regular" w:hAnsi="Times New Roman Regular" w:cs="Times New Roman Regular"/>
          <w:lang w:val="en-US"/>
        </w:rPr>
        <w:t>:</w:t>
      </w:r>
      <w:r>
        <w:rPr>
          <w:rFonts w:hint="eastAsia" w:ascii="Times New Roman Regular" w:hAnsi="Times New Roman Regular" w:cs="Times New Roman Regular"/>
          <w:lang w:val="en-US"/>
        </w:rPr>
        <w:t xml:space="preserve"> positive late gadolinium enhancemen</w:t>
      </w:r>
      <w:r>
        <w:rPr>
          <w:rFonts w:hint="default" w:ascii="Times New Roman Regular" w:hAnsi="Times New Roman Regular" w:cs="Times New Roman Regular"/>
          <w:lang w:val="en-US"/>
        </w:rPr>
        <w:t xml:space="preserve">; ln: natural logarithm; LDH: lactate dehydrogenase; NYHA: New York Heart Association; NT-proBNP: N-terminal pro B-type natriuretic peptide; </w:t>
      </w:r>
      <w:r>
        <w:rPr>
          <w:rFonts w:hint="default" w:ascii="Times New Roman Regular" w:hAnsi="Times New Roman Regular" w:cs="Times New Roman Regular"/>
          <w:lang w:val="en-US" w:eastAsia="zh-CN"/>
        </w:rPr>
        <w:t>VIF: variance inflation factor</w:t>
      </w:r>
      <w:r>
        <w:rPr>
          <w:rFonts w:hint="default" w:ascii="Times New Roman Regular" w:hAnsi="Times New Roman Regular" w:cs="Times New Roman Regular"/>
          <w:lang w:val="en-US"/>
        </w:rPr>
        <w:t>.</w:t>
      </w:r>
    </w:p>
    <w:p w14:paraId="132269A4">
      <w:pPr>
        <w:rPr>
          <w:rFonts w:hint="default" w:ascii="Times New Roman Regular" w:hAnsi="Times New Roman Regular" w:eastAsia="宋体" w:cs="Times New Roman Regular"/>
          <w:szCs w:val="21"/>
          <w:lang w:val="en-US"/>
        </w:rPr>
      </w:pPr>
    </w:p>
    <w:p w14:paraId="0F99A284">
      <w:pPr>
        <w:rPr>
          <w:rFonts w:hint="default" w:ascii="Times New Roman Regular" w:hAnsi="Times New Roman Regular" w:eastAsia="宋体" w:cs="Times New Roman Regular"/>
          <w:szCs w:val="21"/>
          <w:lang w:val="en-US"/>
        </w:rPr>
      </w:pPr>
    </w:p>
    <w:p w14:paraId="648646DA">
      <w:pPr>
        <w:rPr>
          <w:rFonts w:hint="default" w:ascii="Times New Roman Regular" w:hAnsi="Times New Roman Regular" w:eastAsia="宋体" w:cs="Times New Roman Regular"/>
          <w:szCs w:val="21"/>
          <w:lang w:val="en-US"/>
        </w:rPr>
      </w:pPr>
    </w:p>
    <w:p w14:paraId="3B8FFCB6">
      <w:pPr>
        <w:rPr>
          <w:rFonts w:hint="default" w:ascii="Times New Roman Regular" w:hAnsi="Times New Roman Regular" w:eastAsia="宋体" w:cs="Times New Roman Regular"/>
          <w:szCs w:val="21"/>
          <w:lang w:val="en-US"/>
        </w:rPr>
      </w:pPr>
    </w:p>
    <w:p w14:paraId="0CC46671">
      <w:pPr>
        <w:rPr>
          <w:rFonts w:hint="default" w:ascii="Times New Roman Regular" w:hAnsi="Times New Roman Regular" w:eastAsia="宋体" w:cs="Times New Roman Regular"/>
          <w:szCs w:val="21"/>
          <w:lang w:val="en-US"/>
        </w:rPr>
      </w:pPr>
    </w:p>
    <w:p w14:paraId="39D6997A">
      <w:pPr>
        <w:rPr>
          <w:rFonts w:hint="default" w:ascii="Times New Roman Regular" w:hAnsi="Times New Roman Regular" w:eastAsia="宋体" w:cs="Times New Roman Regular"/>
          <w:szCs w:val="21"/>
          <w:lang w:val="en-US"/>
        </w:rPr>
      </w:pPr>
    </w:p>
    <w:p w14:paraId="0B6F408D">
      <w:pPr>
        <w:rPr>
          <w:rFonts w:hint="default" w:ascii="Times New Roman Regular" w:hAnsi="Times New Roman Regular" w:eastAsia="宋体" w:cs="Times New Roman Regular"/>
          <w:szCs w:val="21"/>
          <w:lang w:val="en-US"/>
        </w:rPr>
      </w:pPr>
    </w:p>
    <w:p w14:paraId="04CBD18E">
      <w:pPr>
        <w:rPr>
          <w:rFonts w:hint="default" w:ascii="Times New Roman Regular" w:hAnsi="Times New Roman Regular" w:eastAsia="宋体" w:cs="Times New Roman Regular"/>
          <w:szCs w:val="21"/>
          <w:lang w:val="en-US"/>
        </w:rPr>
      </w:pPr>
    </w:p>
    <w:p w14:paraId="003A13FA">
      <w:pPr>
        <w:rPr>
          <w:rFonts w:hint="default" w:ascii="Times New Roman Regular" w:hAnsi="Times New Roman Regular" w:eastAsia="宋体" w:cs="Times New Roman Regular"/>
          <w:szCs w:val="21"/>
          <w:lang w:val="en-US"/>
        </w:rPr>
      </w:pPr>
    </w:p>
    <w:p w14:paraId="2043965B">
      <w:pPr>
        <w:rPr>
          <w:rFonts w:hint="default" w:ascii="Times New Roman Regular" w:hAnsi="Times New Roman Regular" w:eastAsia="宋体" w:cs="Times New Roman Regular"/>
          <w:szCs w:val="21"/>
          <w:lang w:val="en-US"/>
        </w:rPr>
      </w:pPr>
    </w:p>
    <w:p w14:paraId="757CD474">
      <w:pPr>
        <w:rPr>
          <w:rFonts w:hint="default" w:ascii="Times New Roman Regular" w:hAnsi="Times New Roman Regular" w:eastAsia="宋体" w:cs="Times New Roman Regular"/>
          <w:szCs w:val="21"/>
          <w:lang w:val="en-US"/>
        </w:rPr>
      </w:pPr>
    </w:p>
    <w:p w14:paraId="16C74C27">
      <w:pPr>
        <w:rPr>
          <w:rFonts w:hint="default" w:ascii="Times New Roman Regular" w:hAnsi="Times New Roman Regular" w:eastAsia="宋体" w:cs="Times New Roman Regular"/>
          <w:szCs w:val="21"/>
          <w:lang w:val="en-US"/>
        </w:rPr>
      </w:pPr>
    </w:p>
    <w:p w14:paraId="72E09273">
      <w:pPr>
        <w:rPr>
          <w:rFonts w:hint="default" w:ascii="Times New Roman Regular" w:hAnsi="Times New Roman Regular" w:eastAsia="宋体" w:cs="Times New Roman Regular"/>
          <w:szCs w:val="21"/>
          <w:lang w:val="en-US"/>
        </w:rPr>
      </w:pPr>
    </w:p>
    <w:p w14:paraId="5500AF70">
      <w:pPr>
        <w:rPr>
          <w:rFonts w:hint="default" w:ascii="Times New Roman Regular" w:hAnsi="Times New Roman Regular" w:eastAsia="宋体" w:cs="Times New Roman Regular"/>
          <w:szCs w:val="21"/>
          <w:lang w:val="en-US"/>
        </w:rPr>
      </w:pPr>
    </w:p>
    <w:p w14:paraId="3EDA48E0">
      <w:pPr>
        <w:spacing w:line="360" w:lineRule="auto"/>
        <w:rPr>
          <w:rFonts w:hint="default"/>
          <w:lang w:val="en-US"/>
        </w:rPr>
      </w:pPr>
      <w:r>
        <w:rPr>
          <w:rFonts w:hint="eastAsia" w:ascii="Times New Roman Bold" w:hAnsi="Times New Roman Bold" w:eastAsia="宋体" w:cs="Times New Roman Bold"/>
          <w:b/>
          <w:bCs/>
          <w:szCs w:val="21"/>
        </w:rPr>
        <w:t>Supplementary</w:t>
      </w:r>
      <w:r>
        <w:rPr>
          <w:rFonts w:hint="default" w:ascii="Times New Roman Bold" w:hAnsi="Times New Roman Bold" w:eastAsia="宋体" w:cs="Times New Roman Bold"/>
          <w:b/>
          <w:bCs/>
          <w:szCs w:val="21"/>
          <w:lang w:val="en-US"/>
        </w:rPr>
        <w:t xml:space="preserve"> </w:t>
      </w:r>
      <w:r>
        <w:rPr>
          <w:rFonts w:ascii="Times New Roman Bold" w:hAnsi="Times New Roman Bold" w:eastAsia="宋体" w:cs="Times New Roman Bold"/>
          <w:b/>
          <w:bCs/>
          <w:szCs w:val="21"/>
        </w:rPr>
        <w:t xml:space="preserve">Table </w:t>
      </w:r>
      <w:r>
        <w:rPr>
          <w:rFonts w:hint="default" w:ascii="Times New Roman Bold" w:hAnsi="Times New Roman Bold" w:eastAsia="宋体" w:cs="Times New Roman Bold"/>
          <w:b/>
          <w:bCs/>
          <w:szCs w:val="21"/>
          <w:lang w:val="en-US"/>
        </w:rPr>
        <w:t>6</w:t>
      </w:r>
      <w:r>
        <w:rPr>
          <w:rFonts w:ascii="Times New Roman Bold" w:hAnsi="Times New Roman Bold" w:eastAsia="宋体" w:cs="Times New Roman Bold"/>
          <w:b/>
          <w:bCs/>
          <w:szCs w:val="21"/>
        </w:rPr>
        <w:t xml:space="preserve">. </w:t>
      </w:r>
      <w:r>
        <w:rPr>
          <w:rFonts w:hint="default" w:ascii="Times New Roman Bold" w:hAnsi="Times New Roman Bold" w:eastAsia="宋体" w:cs="Times New Roman Bold"/>
          <w:b/>
          <w:bCs/>
          <w:szCs w:val="21"/>
          <w:lang w:val="en-US"/>
        </w:rPr>
        <w:t xml:space="preserve">Collinearity diagnosis of variables in the multivariable logistic regression model for </w:t>
      </w:r>
      <w:r>
        <w:rPr>
          <w:rFonts w:hint="default" w:ascii="Times New Roman Bold" w:hAnsi="Times New Roman Bold" w:eastAsia="宋体" w:cs="Times New Roman Bold"/>
          <w:b/>
          <w:bCs/>
          <w:sz w:val="21"/>
          <w:szCs w:val="21"/>
          <w:lang w:val="en-US" w:eastAsia="zh-CN"/>
        </w:rPr>
        <w:t>dilated cardiomyopathy phenotype</w:t>
      </w:r>
      <w:r>
        <w:rPr>
          <w:rFonts w:hint="eastAsia" w:ascii="Times New Roman Bold" w:hAnsi="Times New Roman Bold" w:eastAsia="宋体" w:cs="Times New Roman Bold"/>
          <w:b/>
          <w:bCs/>
          <w:sz w:val="21"/>
          <w:szCs w:val="21"/>
          <w:lang w:val="en-US" w:eastAsia="zh-CN"/>
        </w:rPr>
        <w:t xml:space="preserve"> in </w:t>
      </w:r>
      <w:r>
        <w:rPr>
          <w:rFonts w:hint="default" w:ascii="Times New Roman Bold" w:hAnsi="Times New Roman Bold" w:eastAsia="宋体" w:cs="Times New Roman Bold"/>
          <w:b/>
          <w:bCs/>
          <w:sz w:val="21"/>
          <w:szCs w:val="21"/>
          <w:lang w:val="en-US" w:eastAsia="zh-CN"/>
        </w:rPr>
        <w:t>adult with</w:t>
      </w:r>
      <w:bookmarkStart w:id="0" w:name="_GoBack"/>
      <w:bookmarkEnd w:id="0"/>
      <w:r>
        <w:rPr>
          <w:rFonts w:hint="default" w:ascii="Times New Roman Bold" w:hAnsi="Times New Roman Bold" w:eastAsia="宋体" w:cs="Times New Roman Bold"/>
          <w:b/>
          <w:bCs/>
          <w:sz w:val="21"/>
          <w:szCs w:val="21"/>
          <w:lang w:val="en-US" w:eastAsia="zh-CN"/>
        </w:rPr>
        <w:t xml:space="preserve"> LVNC</w:t>
      </w:r>
    </w:p>
    <w:tbl>
      <w:tblPr>
        <w:tblStyle w:val="3"/>
        <w:tblW w:w="7326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6"/>
        <w:gridCol w:w="2067"/>
        <w:gridCol w:w="2203"/>
      </w:tblGrid>
      <w:tr w14:paraId="19501A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20" w:hRule="atLeast"/>
          <w:jc w:val="center"/>
        </w:trPr>
        <w:tc>
          <w:tcPr>
            <w:tcW w:w="3056" w:type="dxa"/>
            <w:vMerge w:val="restart"/>
            <w:vAlign w:val="center"/>
          </w:tcPr>
          <w:p w14:paraId="6CFD8036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Variables</w:t>
            </w:r>
          </w:p>
        </w:tc>
        <w:tc>
          <w:tcPr>
            <w:tcW w:w="427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573659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DCM (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=72)</w:t>
            </w:r>
          </w:p>
        </w:tc>
      </w:tr>
      <w:tr w14:paraId="2408E6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35" w:hRule="atLeast"/>
          <w:jc w:val="center"/>
        </w:trPr>
        <w:tc>
          <w:tcPr>
            <w:tcW w:w="3056" w:type="dxa"/>
            <w:vMerge w:val="continue"/>
            <w:tcBorders>
              <w:bottom w:val="single" w:color="auto" w:sz="4" w:space="0"/>
            </w:tcBorders>
            <w:vAlign w:val="center"/>
          </w:tcPr>
          <w:p w14:paraId="0FAABEA2">
            <w:pPr>
              <w:jc w:val="center"/>
            </w:pPr>
          </w:p>
        </w:tc>
        <w:tc>
          <w:tcPr>
            <w:tcW w:w="206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392895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Tolerance</w:t>
            </w:r>
          </w:p>
        </w:tc>
        <w:tc>
          <w:tcPr>
            <w:tcW w:w="22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4E32C0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VIF</w:t>
            </w:r>
          </w:p>
        </w:tc>
      </w:tr>
      <w:tr w14:paraId="304491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tcBorders>
              <w:top w:val="single" w:color="auto" w:sz="4" w:space="0"/>
            </w:tcBorders>
            <w:vAlign w:val="center"/>
          </w:tcPr>
          <w:p w14:paraId="58961725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 xml:space="preserve">Body surface area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18"/>
                <w:szCs w:val="18"/>
              </w:rPr>
              <w:t>(m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18"/>
                <w:szCs w:val="18"/>
                <w:vertAlign w:val="superscript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18"/>
                <w:szCs w:val="18"/>
              </w:rPr>
              <w:t>)</w:t>
            </w:r>
          </w:p>
        </w:tc>
        <w:tc>
          <w:tcPr>
            <w:tcW w:w="2067" w:type="dxa"/>
            <w:tcBorders>
              <w:top w:val="single" w:color="auto" w:sz="4" w:space="0"/>
            </w:tcBorders>
            <w:vAlign w:val="center"/>
          </w:tcPr>
          <w:p w14:paraId="28771064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0.810</w:t>
            </w:r>
          </w:p>
        </w:tc>
        <w:tc>
          <w:tcPr>
            <w:tcW w:w="2203" w:type="dxa"/>
            <w:tcBorders>
              <w:top w:val="single" w:color="auto" w:sz="4" w:space="0"/>
            </w:tcBorders>
            <w:vAlign w:val="center"/>
          </w:tcPr>
          <w:p w14:paraId="081027CA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1.235</w:t>
            </w:r>
          </w:p>
        </w:tc>
      </w:tr>
      <w:tr w14:paraId="23B60F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601623EB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Dyspnea</w:t>
            </w:r>
          </w:p>
        </w:tc>
        <w:tc>
          <w:tcPr>
            <w:tcW w:w="2067" w:type="dxa"/>
            <w:vAlign w:val="center"/>
          </w:tcPr>
          <w:p w14:paraId="6FDCA7C3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0.689</w:t>
            </w:r>
          </w:p>
        </w:tc>
        <w:tc>
          <w:tcPr>
            <w:tcW w:w="2203" w:type="dxa"/>
            <w:vAlign w:val="center"/>
          </w:tcPr>
          <w:p w14:paraId="54F61DB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1.451</w:t>
            </w:r>
          </w:p>
        </w:tc>
      </w:tr>
      <w:tr w14:paraId="407A77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1DB3EB4F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NYHA Class III/IV</w:t>
            </w:r>
          </w:p>
        </w:tc>
        <w:tc>
          <w:tcPr>
            <w:tcW w:w="2067" w:type="dxa"/>
            <w:vAlign w:val="center"/>
          </w:tcPr>
          <w:p w14:paraId="6C934B7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0.517</w:t>
            </w:r>
          </w:p>
        </w:tc>
        <w:tc>
          <w:tcPr>
            <w:tcW w:w="2203" w:type="dxa"/>
            <w:vAlign w:val="center"/>
          </w:tcPr>
          <w:p w14:paraId="3EA9BE24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1.933</w:t>
            </w:r>
          </w:p>
        </w:tc>
      </w:tr>
      <w:tr w14:paraId="782140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5F39DA3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F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</w:rPr>
              <w:t>requent ventricular premature</w:t>
            </w:r>
          </w:p>
        </w:tc>
        <w:tc>
          <w:tcPr>
            <w:tcW w:w="2067" w:type="dxa"/>
            <w:vAlign w:val="center"/>
          </w:tcPr>
          <w:p w14:paraId="71D3A402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0.716</w:t>
            </w:r>
          </w:p>
        </w:tc>
        <w:tc>
          <w:tcPr>
            <w:tcW w:w="2203" w:type="dxa"/>
            <w:vAlign w:val="center"/>
          </w:tcPr>
          <w:p w14:paraId="407E7F35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1.396</w:t>
            </w:r>
          </w:p>
        </w:tc>
      </w:tr>
      <w:tr w14:paraId="17CB66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67DAEF0C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N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</w:rPr>
              <w:t>on-sustained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</w:rPr>
              <w:t>ventricular tachycardia</w:t>
            </w:r>
          </w:p>
        </w:tc>
        <w:tc>
          <w:tcPr>
            <w:tcW w:w="2067" w:type="dxa"/>
            <w:vAlign w:val="center"/>
          </w:tcPr>
          <w:p w14:paraId="105B55E7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0.612</w:t>
            </w:r>
          </w:p>
        </w:tc>
        <w:tc>
          <w:tcPr>
            <w:tcW w:w="2203" w:type="dxa"/>
            <w:vAlign w:val="center"/>
          </w:tcPr>
          <w:p w14:paraId="320643BA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1.635</w:t>
            </w:r>
          </w:p>
        </w:tc>
      </w:tr>
      <w:tr w14:paraId="5F38AF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23712B78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LAD (mm,±s)</w:t>
            </w:r>
          </w:p>
        </w:tc>
        <w:tc>
          <w:tcPr>
            <w:tcW w:w="2067" w:type="dxa"/>
            <w:vAlign w:val="center"/>
          </w:tcPr>
          <w:p w14:paraId="5A9822CF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0.428</w:t>
            </w:r>
          </w:p>
        </w:tc>
        <w:tc>
          <w:tcPr>
            <w:tcW w:w="2203" w:type="dxa"/>
            <w:vAlign w:val="center"/>
          </w:tcPr>
          <w:p w14:paraId="06A8AEF7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2.335</w:t>
            </w:r>
          </w:p>
        </w:tc>
      </w:tr>
      <w:tr w14:paraId="0F6524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517C7C25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LVEDD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(mm,</w:t>
            </w:r>
            <m:oMath>
              <m:bar>
                <m:barPr>
                  <m:pos m:val="top"/>
                  <m:ctrlPr>
                    <w:rPr>
                      <w:rFonts w:hint="default" w:ascii="Cambria Math" w:hAnsi="Cambria Math" w:eastAsia="宋体" w:cs="Times New Roman Regular"/>
                      <w:iCs/>
                      <w:sz w:val="18"/>
                      <w:szCs w:val="18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hint="default" w:ascii="Cambria Math" w:hAnsi="Cambria Math" w:eastAsia="宋体" w:cs="Times New Roman Regular"/>
                      <w:sz w:val="18"/>
                      <w:szCs w:val="18"/>
                    </w:rPr>
                    <m:t>x</m:t>
                  </m:r>
                  <m:ctrlPr>
                    <w:rPr>
                      <w:rFonts w:hint="default" w:ascii="Cambria Math" w:hAnsi="Cambria Math" w:eastAsia="宋体" w:cs="Times New Roman Regular"/>
                      <w:iCs/>
                      <w:sz w:val="18"/>
                      <w:szCs w:val="18"/>
                    </w:rPr>
                  </m:ctrlPr>
                </m:e>
              </m:bar>
            </m:oMath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±s)</w:t>
            </w:r>
          </w:p>
        </w:tc>
        <w:tc>
          <w:tcPr>
            <w:tcW w:w="2067" w:type="dxa"/>
            <w:vAlign w:val="center"/>
          </w:tcPr>
          <w:p w14:paraId="2C68E2CE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0.478</w:t>
            </w:r>
          </w:p>
        </w:tc>
        <w:tc>
          <w:tcPr>
            <w:tcW w:w="2203" w:type="dxa"/>
            <w:vAlign w:val="center"/>
          </w:tcPr>
          <w:p w14:paraId="59EA97FC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2.090</w:t>
            </w:r>
          </w:p>
        </w:tc>
      </w:tr>
      <w:tr w14:paraId="0B4CDD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shd w:val="clear" w:color="auto" w:fill="auto"/>
            <w:vAlign w:val="center"/>
          </w:tcPr>
          <w:p w14:paraId="66370342">
            <w:pPr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LVEF (%,±s)</w:t>
            </w:r>
          </w:p>
        </w:tc>
        <w:tc>
          <w:tcPr>
            <w:tcW w:w="2067" w:type="dxa"/>
            <w:vAlign w:val="center"/>
          </w:tcPr>
          <w:p w14:paraId="1853EB9E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0.420</w:t>
            </w:r>
          </w:p>
        </w:tc>
        <w:tc>
          <w:tcPr>
            <w:tcW w:w="2203" w:type="dxa"/>
            <w:vAlign w:val="center"/>
          </w:tcPr>
          <w:p w14:paraId="4AF001D2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2.383</w:t>
            </w:r>
          </w:p>
        </w:tc>
      </w:tr>
      <w:tr w14:paraId="0C4567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2" w:hRule="atLeast"/>
          <w:jc w:val="center"/>
        </w:trPr>
        <w:tc>
          <w:tcPr>
            <w:tcW w:w="3056" w:type="dxa"/>
            <w:shd w:val="clear" w:color="auto" w:fill="auto"/>
            <w:vAlign w:val="center"/>
          </w:tcPr>
          <w:p w14:paraId="5910F9C3">
            <w:pPr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>M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oderate/massive mitral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regurgitation</w:t>
            </w:r>
          </w:p>
        </w:tc>
        <w:tc>
          <w:tcPr>
            <w:tcW w:w="2067" w:type="dxa"/>
            <w:vAlign w:val="center"/>
          </w:tcPr>
          <w:p w14:paraId="37CF7E5A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0.601</w:t>
            </w:r>
          </w:p>
        </w:tc>
        <w:tc>
          <w:tcPr>
            <w:tcW w:w="2203" w:type="dxa"/>
            <w:vAlign w:val="center"/>
          </w:tcPr>
          <w:p w14:paraId="6FCFDF2B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1.664</w:t>
            </w:r>
          </w:p>
        </w:tc>
      </w:tr>
      <w:tr w14:paraId="2F0AD9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37615101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LGE (+)</w:t>
            </w:r>
          </w:p>
        </w:tc>
        <w:tc>
          <w:tcPr>
            <w:tcW w:w="2067" w:type="dxa"/>
            <w:vAlign w:val="center"/>
          </w:tcPr>
          <w:p w14:paraId="7CF81929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0.664</w:t>
            </w:r>
          </w:p>
        </w:tc>
        <w:tc>
          <w:tcPr>
            <w:tcW w:w="2203" w:type="dxa"/>
            <w:vAlign w:val="center"/>
          </w:tcPr>
          <w:p w14:paraId="7B9365E2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1.507</w:t>
            </w:r>
          </w:p>
        </w:tc>
      </w:tr>
      <w:tr w14:paraId="1F7EFD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1C7626D2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ln NT-proBNP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(pg/ml)</w:t>
            </w:r>
          </w:p>
        </w:tc>
        <w:tc>
          <w:tcPr>
            <w:tcW w:w="2067" w:type="dxa"/>
            <w:vAlign w:val="center"/>
          </w:tcPr>
          <w:p w14:paraId="2C84EC45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0.645</w:t>
            </w:r>
          </w:p>
        </w:tc>
        <w:tc>
          <w:tcPr>
            <w:tcW w:w="2203" w:type="dxa"/>
            <w:vAlign w:val="center"/>
          </w:tcPr>
          <w:p w14:paraId="70BA4E06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1.551</w:t>
            </w:r>
          </w:p>
        </w:tc>
      </w:tr>
      <w:tr w14:paraId="28409D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3056" w:type="dxa"/>
            <w:vAlign w:val="center"/>
          </w:tcPr>
          <w:p w14:paraId="6FFEF6C2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</w:rPr>
              <w:t>LDH (U/L)</w:t>
            </w:r>
          </w:p>
        </w:tc>
        <w:tc>
          <w:tcPr>
            <w:tcW w:w="2067" w:type="dxa"/>
            <w:vAlign w:val="center"/>
          </w:tcPr>
          <w:p w14:paraId="06526C5C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0.788</w:t>
            </w:r>
          </w:p>
        </w:tc>
        <w:tc>
          <w:tcPr>
            <w:tcW w:w="2203" w:type="dxa"/>
            <w:vAlign w:val="center"/>
          </w:tcPr>
          <w:p w14:paraId="3F71B08B">
            <w:pPr>
              <w:jc w:val="center"/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1.269</w:t>
            </w:r>
          </w:p>
        </w:tc>
      </w:tr>
    </w:tbl>
    <w:p w14:paraId="68C47767">
      <w:pPr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t>N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ote: VIF &lt;5: collinearity not significant, 5 ≤ VIF ≤ 10: moderate collinearity, VIF &gt;10: severe collinearity. </w:t>
      </w:r>
      <w:r>
        <w:rPr>
          <w:rFonts w:hint="default" w:ascii="Times New Roman Regular" w:hAnsi="Times New Roman Regular" w:cs="Times New Roman Regular"/>
          <w:lang w:val="en-US"/>
        </w:rPr>
        <w:t xml:space="preserve">DCM: dilated cardiomyopathy; LVNC: left ventricular non-compaction; LAD: left atrial diameter; LVEDD: left ventricular end-diastolic diameter; LVEF: left ventricular ejection fraction; </w:t>
      </w:r>
      <w:r>
        <w:rPr>
          <w:rFonts w:hint="eastAsia" w:ascii="Times New Roman Regular" w:hAnsi="Times New Roman Regular" w:cs="Times New Roman Regular"/>
          <w:lang w:val="en-US"/>
        </w:rPr>
        <w:t>LGE</w:t>
      </w:r>
      <w:r>
        <w:rPr>
          <w:rFonts w:hint="default" w:ascii="Times New Roman Regular" w:hAnsi="Times New Roman Regular" w:cs="Times New Roman Regular"/>
          <w:lang w:val="en-US"/>
        </w:rPr>
        <w:t xml:space="preserve"> </w:t>
      </w:r>
      <w:r>
        <w:rPr>
          <w:rFonts w:hint="eastAsia" w:ascii="Times New Roman Regular" w:hAnsi="Times New Roman Regular" w:cs="Times New Roman Regular"/>
          <w:lang w:val="en-US"/>
        </w:rPr>
        <w:t>(+)</w:t>
      </w:r>
      <w:r>
        <w:rPr>
          <w:rFonts w:hint="default" w:ascii="Times New Roman Regular" w:hAnsi="Times New Roman Regular" w:cs="Times New Roman Regular"/>
          <w:lang w:val="en-US"/>
        </w:rPr>
        <w:t>:</w:t>
      </w:r>
      <w:r>
        <w:rPr>
          <w:rFonts w:hint="eastAsia" w:ascii="Times New Roman Regular" w:hAnsi="Times New Roman Regular" w:cs="Times New Roman Regular"/>
          <w:lang w:val="en-US"/>
        </w:rPr>
        <w:t xml:space="preserve"> positive late gadolinium enhancemen</w:t>
      </w:r>
      <w:r>
        <w:rPr>
          <w:rFonts w:hint="default" w:ascii="Times New Roman Regular" w:hAnsi="Times New Roman Regular" w:cs="Times New Roman Regular"/>
          <w:lang w:val="en-US"/>
        </w:rPr>
        <w:t xml:space="preserve">; ln: natural logarithm; LDH: lactate dehydrogenase; NYHA: New York Heart Association; NT-proBNP: N-terminal pro B-type natriuretic peptide; </w:t>
      </w:r>
      <w:r>
        <w:rPr>
          <w:rFonts w:hint="default" w:ascii="Times New Roman Regular" w:hAnsi="Times New Roman Regular" w:cs="Times New Roman Regular"/>
          <w:lang w:val="en-US" w:eastAsia="zh-CN"/>
        </w:rPr>
        <w:t>VIF: variance inflation factor</w:t>
      </w:r>
      <w:r>
        <w:rPr>
          <w:rFonts w:hint="default" w:ascii="Times New Roman Regular" w:hAnsi="Times New Roman Regular" w:cs="Times New Roman Regular"/>
          <w:lang w:val="en-US"/>
        </w:rPr>
        <w:t>.</w:t>
      </w:r>
    </w:p>
    <w:p w14:paraId="6A2762FD">
      <w:pPr>
        <w:rPr>
          <w:rFonts w:hint="default" w:ascii="Times New Roman Regular" w:hAnsi="Times New Roman Regular" w:cs="Times New Roman Regular"/>
          <w:lang w:val="en-US"/>
        </w:rPr>
      </w:pPr>
    </w:p>
    <w:p w14:paraId="46660D49">
      <w:pPr>
        <w:rPr>
          <w:rFonts w:hint="default" w:ascii="Times New Roman Regular" w:hAnsi="Times New Roman Regular" w:cs="Times New Roman Regular"/>
          <w:lang w:val="en-US"/>
        </w:rPr>
      </w:pPr>
    </w:p>
    <w:p w14:paraId="1A1C0063">
      <w:pPr>
        <w:rPr>
          <w:rFonts w:hint="default" w:ascii="Times New Roman Regular" w:hAnsi="Times New Roman Regular" w:cs="Times New Roman Regular"/>
          <w:lang w:val="en-US"/>
        </w:rPr>
      </w:pPr>
    </w:p>
    <w:p w14:paraId="0076327C">
      <w:pPr>
        <w:rPr>
          <w:rFonts w:hint="default" w:ascii="Times New Roman Regular" w:hAnsi="Times New Roman Regular" w:cs="Times New Roman Regular"/>
          <w:lang w:val="en-US"/>
        </w:rPr>
      </w:pPr>
    </w:p>
    <w:p w14:paraId="5B6EDCA6">
      <w:pPr>
        <w:rPr>
          <w:rFonts w:hint="default" w:ascii="Times New Roman Regular" w:hAnsi="Times New Roman Regular" w:cs="Times New Roman Regular"/>
          <w:lang w:val="en-US"/>
        </w:rPr>
      </w:pPr>
    </w:p>
    <w:p w14:paraId="1E95D401">
      <w:pPr>
        <w:rPr>
          <w:rFonts w:hint="default" w:ascii="Times New Roman Regular" w:hAnsi="Times New Roman Regular" w:cs="Times New Roman Regular"/>
          <w:lang w:val="en-US"/>
        </w:rPr>
      </w:pPr>
    </w:p>
    <w:p w14:paraId="41911EF8">
      <w:pPr>
        <w:rPr>
          <w:rFonts w:hint="default" w:ascii="Times New Roman Regular" w:hAnsi="Times New Roman Regular" w:cs="Times New Roman Regular"/>
          <w:lang w:val="en-US"/>
        </w:rPr>
      </w:pPr>
    </w:p>
    <w:p w14:paraId="113C83D2">
      <w:pPr>
        <w:rPr>
          <w:rFonts w:hint="default" w:ascii="Times New Roman Regular" w:hAnsi="Times New Roman Regular" w:cs="Times New Roman Regular"/>
          <w:lang w:val="en-US"/>
        </w:rPr>
      </w:pPr>
    </w:p>
    <w:p w14:paraId="166E49A3">
      <w:pPr>
        <w:rPr>
          <w:rFonts w:hint="default" w:ascii="Times New Roman Regular" w:hAnsi="Times New Roman Regular" w:cs="Times New Roman Regular"/>
          <w:lang w:val="en-US"/>
        </w:rPr>
      </w:pPr>
    </w:p>
    <w:p w14:paraId="513BB74E">
      <w:pPr>
        <w:rPr>
          <w:rFonts w:hint="default" w:ascii="Times New Roman Regular" w:hAnsi="Times New Roman Regular" w:cs="Times New Roman Regular"/>
          <w:lang w:val="en-US"/>
        </w:rPr>
      </w:pPr>
    </w:p>
    <w:p w14:paraId="3395823B">
      <w:pPr>
        <w:rPr>
          <w:rFonts w:hint="default" w:ascii="Times New Roman Regular" w:hAnsi="Times New Roman Regular" w:cs="Times New Roman Regular"/>
          <w:lang w:val="en-US"/>
        </w:rPr>
      </w:pPr>
    </w:p>
    <w:p w14:paraId="40C395D2">
      <w:pPr>
        <w:tabs>
          <w:tab w:val="left" w:pos="1162"/>
        </w:tabs>
        <w:bidi w:val="0"/>
        <w:jc w:val="left"/>
        <w:rPr>
          <w:rFonts w:hint="default"/>
          <w:lang w:val="en-US" w:eastAsia="zh-CN"/>
        </w:rPr>
      </w:pPr>
      <w:r>
        <w:rPr>
          <w:rFonts w:hint="default" w:ascii="Times New Roman Bold" w:hAnsi="Times New Roman Bold" w:cs="Times New Roman Bold"/>
          <w:b/>
          <w:bCs w:val="0"/>
          <w:lang w:val="en-US" w:eastAsia="zh-CN"/>
        </w:rPr>
        <w:t xml:space="preserve">Supplementary Figure </w:t>
      </w:r>
      <w:r>
        <w:rPr>
          <w:rFonts w:hint="eastAsia" w:ascii="Times New Roman Bold" w:hAnsi="Times New Roman Bold" w:cs="Times New Roman Bold"/>
          <w:b/>
          <w:bCs w:val="0"/>
          <w:lang w:val="en-US" w:eastAsia="zh-CN"/>
        </w:rPr>
        <w:t>1</w:t>
      </w:r>
      <w:r>
        <w:rPr>
          <w:rFonts w:hint="default" w:ascii="Times New Roman Bold" w:hAnsi="Times New Roman Bold" w:cs="Times New Roman Bold"/>
          <w:b/>
          <w:bCs w:val="0"/>
          <w:lang w:val="en-US" w:eastAsia="zh-CN"/>
        </w:rPr>
        <w:t>. ROC curves of LVEDD and LVEDD/BSA for identifying dilated cardiomyopathy phenotype in LVNC patients</w:t>
      </w:r>
    </w:p>
    <w:p w14:paraId="099D306B">
      <w:pPr>
        <w:numPr>
          <w:ilvl w:val="0"/>
          <w:numId w:val="1"/>
        </w:numPr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                              B.</w:t>
      </w:r>
    </w:p>
    <w:p w14:paraId="11D8CC57">
      <w:pPr>
        <w:jc w:val="center"/>
      </w:pPr>
      <w:r>
        <w:drawing>
          <wp:inline distT="0" distB="0" distL="114300" distR="114300">
            <wp:extent cx="2533650" cy="2428875"/>
            <wp:effectExtent l="0" t="0" r="635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87625" cy="2439670"/>
            <wp:effectExtent l="0" t="0" r="3175" b="2413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87625" cy="243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3FAF4">
      <w:pPr>
        <w:jc w:val="both"/>
        <w:rPr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/>
        </w:rPr>
        <w:t>N</w:t>
      </w:r>
      <w:r>
        <w:rPr>
          <w:rFonts w:hint="default" w:ascii="Times New Roman Regular" w:hAnsi="Times New Roman Regular" w:cs="Times New Roman Regular"/>
          <w:lang w:val="en-US" w:eastAsia="zh-CN"/>
        </w:rPr>
        <w:t>ote: AUC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lang w:val="en-US" w:eastAsia="zh-CN"/>
        </w:rPr>
        <w:t>&gt;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lang w:val="en-US" w:eastAsia="zh-CN"/>
        </w:rPr>
        <w:t>0.7 indicates clinical or application value. A: The optimal cut-off point for LVEDD to predict DCM in LVNC was 56.05 mm, with a specificity of 54.3% and a sensitivity of 80.0%. B: The optimal cut-off point for LVEDD/BSA to predict DCM in LVNC was 33.02 mm</w:t>
      </w:r>
      <w:r>
        <w:rPr>
          <w:rFonts w:hint="eastAsia" w:ascii="Times New Roman Regular" w:hAnsi="Times New Roman Regular" w:cs="Times New Roman Regular"/>
          <w:lang w:val="en-US" w:eastAsia="zh-CN"/>
        </w:rPr>
        <w:t>/m</w:t>
      </w:r>
      <w:r>
        <w:rPr>
          <w:rFonts w:hint="eastAsia" w:ascii="Times New Roman Regular" w:hAnsi="Times New Roman Regular" w:cs="Times New Roman Regular"/>
          <w:vertAlign w:val="superscript"/>
          <w:lang w:val="en-US" w:eastAsia="zh-CN"/>
        </w:rPr>
        <w:t>2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, with a specificity of 69.8% and a sensitivity of 86.0%. AUC: area under the curve; CI: confidence interval; </w:t>
      </w:r>
      <w:r>
        <w:rPr>
          <w:rFonts w:hint="default" w:ascii="Times New Roman Regular" w:hAnsi="Times New Roman Regular" w:cs="Times New Roman Regular"/>
          <w:lang w:val="en-US"/>
        </w:rPr>
        <w:t xml:space="preserve">DCM: dilated cardiomyopathy; 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LVNC: left ventricular non-compaction; </w:t>
      </w:r>
      <w:r>
        <w:rPr>
          <w:rFonts w:hint="default" w:ascii="Times New Roman Regular" w:hAnsi="Times New Roman Regular" w:cs="Times New Roman Regular"/>
          <w:lang w:val="en-US"/>
        </w:rPr>
        <w:t xml:space="preserve">LVEDD: left ventricular end-diastolic diameter; </w:t>
      </w:r>
      <w:r>
        <w:rPr>
          <w:rFonts w:hint="default" w:ascii="Times New Roman Regular" w:hAnsi="Times New Roman Regular" w:cs="Times New Roman Regular"/>
          <w:lang w:val="en-US" w:eastAsia="zh-CN"/>
        </w:rPr>
        <w:t>ROC: receiver-operating characteristic</w:t>
      </w:r>
      <w:r>
        <w:rPr>
          <w:rFonts w:hint="default" w:ascii="Times New Roman Regular" w:hAnsi="Times New Roman Regular" w:eastAsia="宋体" w:cs="Times New Roman Regular"/>
          <w:szCs w:val="21"/>
          <w:lang w:val="en-US"/>
        </w:rPr>
        <w:t>.</w:t>
      </w:r>
    </w:p>
    <w:p w14:paraId="6AC79B9A"/>
    <w:sectPr>
      <w:type w:val="continuous"/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Cambria Math">
    <w:altName w:val="Kingsoft Math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7BF123"/>
    <w:multiLevelType w:val="singleLevel"/>
    <w:tmpl w:val="EB7BF123"/>
    <w:lvl w:ilvl="0" w:tentative="0">
      <w:start w:val="1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jYTQ5ZTM3NmZmNjgzZTI0YWM4YWE0NjdiM2MzYTIifQ=="/>
  </w:docVars>
  <w:rsids>
    <w:rsidRoot w:val="FBFBB9C3"/>
    <w:rsid w:val="1E7FB187"/>
    <w:rsid w:val="1F73269D"/>
    <w:rsid w:val="4B9B4B5F"/>
    <w:rsid w:val="4EBD977C"/>
    <w:rsid w:val="4FFFC51A"/>
    <w:rsid w:val="5BFF5DE3"/>
    <w:rsid w:val="5FB7A645"/>
    <w:rsid w:val="5FFBAF2B"/>
    <w:rsid w:val="66FB51E4"/>
    <w:rsid w:val="6BFB628C"/>
    <w:rsid w:val="6E2E6704"/>
    <w:rsid w:val="6F7EA8AD"/>
    <w:rsid w:val="7675529A"/>
    <w:rsid w:val="7B9F48F5"/>
    <w:rsid w:val="7BEBF252"/>
    <w:rsid w:val="7DF2FC27"/>
    <w:rsid w:val="7DFD0B27"/>
    <w:rsid w:val="7EB956B4"/>
    <w:rsid w:val="7EFF1D9D"/>
    <w:rsid w:val="7FF77340"/>
    <w:rsid w:val="7FFB8F68"/>
    <w:rsid w:val="7FFBEF0C"/>
    <w:rsid w:val="7FFF6309"/>
    <w:rsid w:val="9D63D20A"/>
    <w:rsid w:val="A3FFB2C5"/>
    <w:rsid w:val="AFDF852E"/>
    <w:rsid w:val="CAEFD738"/>
    <w:rsid w:val="DA21711A"/>
    <w:rsid w:val="DFDFFEB3"/>
    <w:rsid w:val="E7FBA6DC"/>
    <w:rsid w:val="F3B754A2"/>
    <w:rsid w:val="F6F1A36F"/>
    <w:rsid w:val="FB75E2B8"/>
    <w:rsid w:val="FBFBB9C3"/>
    <w:rsid w:val="FCC2F106"/>
    <w:rsid w:val="FF1F25D9"/>
    <w:rsid w:val="FF7944F8"/>
    <w:rsid w:val="FF7B9F23"/>
    <w:rsid w:val="FF9FDBA7"/>
    <w:rsid w:val="FFED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24</TotalTime>
  <ScaleCrop>false</ScaleCrop>
  <LinksUpToDate>false</LinksUpToDate>
  <CharactersWithSpaces>0</CharactersWithSpaces>
  <Application>WPS Office_6.10.0.8870_F1E327BC-269C-435d-A152-05C5408002CA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2025-09-10T12:14:00Z</dcterms:created>
  <dc:creator>zxr</dc:creator>
  <cp:lastModifiedBy>zxr</cp:lastModifiedBy>
  <dcterms:modified xsi:type="dcterms:W3CDTF">2025-10-30T19:06:05Z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2052-6.10.0.8870</vt:lpwstr>
  </property>
  <property fmtid="{D5CDD505-2E9C-101B-9397-08002B2CF9AE}" pid="3" name="ICV">
    <vt:lpwstr>11A55D4C21959D4C1B58BE68F3378033_41</vt:lpwstr>
  </property>
</Properties>
</file>