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55CA9">
      <w:pPr>
        <w:keepNext w:val="0"/>
        <w:keepLines w:val="0"/>
        <w:pageBreakBefore w:val="0"/>
        <w:widowControl/>
        <w:kinsoku/>
        <w:wordWrap/>
        <w:overflowPunct/>
        <w:topLinePunct w:val="0"/>
        <w:bidi w:val="0"/>
        <w:spacing w:beforeAutospacing="0" w:afterAutospacing="0" w:line="360" w:lineRule="auto"/>
        <w:jc w:val="center"/>
        <w:textAlignment w:val="auto"/>
        <w:rPr>
          <w:rFonts w:hint="default" w:ascii="Times New Roman" w:hAnsi="Times New Roman" w:eastAsia="宋体" w:cs="Times New Roman"/>
          <w:b/>
          <w:bCs/>
          <w:sz w:val="24"/>
          <w:szCs w:val="24"/>
          <w:highlight w:val="none"/>
          <w:shd w:val="clear" w:color="auto" w:fill="auto"/>
        </w:rPr>
      </w:pPr>
      <w:bookmarkStart w:id="2" w:name="_GoBack"/>
      <w:r>
        <w:rPr>
          <w:rFonts w:hint="default" w:ascii="Times New Roman" w:hAnsi="Times New Roman" w:eastAsia="宋体" w:cs="Times New Roman"/>
          <w:b/>
          <w:bCs/>
          <w:sz w:val="24"/>
          <w:szCs w:val="24"/>
          <w:highlight w:val="none"/>
          <w:shd w:val="clear" w:color="auto" w:fill="auto"/>
        </w:rPr>
        <w:t>Cumulative Exposure of the Combined Triglyceride-Glucose and Frailty Index for Incident Hypertension Prediction</w:t>
      </w:r>
      <w:r>
        <w:rPr>
          <w:rFonts w:hint="default" w:ascii="Times New Roman" w:hAnsi="Times New Roman" w:eastAsia="宋体" w:cs="Times New Roman"/>
          <w:b/>
          <w:bCs/>
          <w:sz w:val="24"/>
          <w:szCs w:val="24"/>
          <w:highlight w:val="none"/>
          <w:shd w:val="clear" w:color="auto" w:fill="auto"/>
          <w:lang w:val="en-US" w:eastAsia="zh-CN"/>
        </w:rPr>
        <w:t xml:space="preserve"> in M</w:t>
      </w:r>
      <w:r>
        <w:rPr>
          <w:rFonts w:hint="default" w:ascii="Times New Roman" w:hAnsi="Times New Roman" w:eastAsia="宋体" w:cs="Times New Roman"/>
          <w:b/>
          <w:bCs/>
          <w:sz w:val="24"/>
          <w:szCs w:val="24"/>
          <w:highlight w:val="none"/>
          <w:shd w:val="clear" w:color="auto" w:fill="auto"/>
          <w:lang w:val="en-US" w:eastAsia="zh-CN"/>
        </w:rPr>
        <w:t>iddle-</w:t>
      </w:r>
      <w:r>
        <w:rPr>
          <w:rFonts w:hint="eastAsia" w:ascii="Times New Roman" w:hAnsi="Times New Roman" w:eastAsia="宋体" w:cs="Times New Roman"/>
          <w:b/>
          <w:bCs/>
          <w:sz w:val="24"/>
          <w:szCs w:val="24"/>
          <w:highlight w:val="none"/>
          <w:shd w:val="clear" w:color="auto" w:fill="auto"/>
          <w:lang w:val="en-US" w:eastAsia="zh-CN"/>
        </w:rPr>
        <w:t>a</w:t>
      </w:r>
      <w:r>
        <w:rPr>
          <w:rFonts w:hint="default" w:ascii="Times New Roman" w:hAnsi="Times New Roman" w:eastAsia="宋体" w:cs="Times New Roman"/>
          <w:b/>
          <w:bCs/>
          <w:sz w:val="24"/>
          <w:szCs w:val="24"/>
          <w:highlight w:val="none"/>
          <w:shd w:val="clear" w:color="auto" w:fill="auto"/>
          <w:lang w:val="en-US" w:eastAsia="zh-CN"/>
        </w:rPr>
        <w:t>ged</w:t>
      </w:r>
      <w:r>
        <w:rPr>
          <w:rFonts w:hint="default" w:ascii="Times New Roman" w:hAnsi="Times New Roman" w:eastAsia="宋体" w:cs="Times New Roman"/>
          <w:b/>
          <w:bCs/>
          <w:sz w:val="24"/>
          <w:szCs w:val="24"/>
          <w:highlight w:val="none"/>
          <w:shd w:val="clear" w:color="auto" w:fill="auto"/>
          <w:lang w:val="en-US" w:eastAsia="zh-CN"/>
        </w:rPr>
        <w:t xml:space="preserve"> and Older Adults</w:t>
      </w:r>
      <w:r>
        <w:rPr>
          <w:rFonts w:hint="default" w:ascii="Times New Roman" w:hAnsi="Times New Roman" w:eastAsia="宋体" w:cs="Times New Roman"/>
          <w:b/>
          <w:bCs/>
          <w:sz w:val="24"/>
          <w:szCs w:val="24"/>
          <w:highlight w:val="none"/>
          <w:shd w:val="clear" w:color="auto" w:fill="auto"/>
        </w:rPr>
        <w:t>: A National Cohort Study</w:t>
      </w:r>
    </w:p>
    <w:p w14:paraId="15C78026">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bCs/>
          <w:sz w:val="24"/>
          <w:szCs w:val="24"/>
          <w:highlight w:val="none"/>
          <w:shd w:val="clear" w:color="auto" w:fill="auto"/>
        </w:rPr>
      </w:pPr>
      <w:r>
        <w:rPr>
          <w:rFonts w:hint="default" w:ascii="Times New Roman" w:hAnsi="Times New Roman" w:eastAsia="宋体" w:cs="Times New Roman"/>
          <w:b/>
          <w:sz w:val="24"/>
          <w:szCs w:val="24"/>
          <w:highlight w:val="none"/>
          <w:shd w:val="clear" w:color="auto" w:fill="auto"/>
        </w:rPr>
        <w:t>Running head</w:t>
      </w:r>
      <w:r>
        <w:rPr>
          <w:rFonts w:hint="default" w:ascii="Times New Roman" w:hAnsi="Times New Roman" w:eastAsia="宋体" w:cs="Times New Roman"/>
          <w:sz w:val="24"/>
          <w:szCs w:val="24"/>
          <w:highlight w:val="none"/>
          <w:shd w:val="clear" w:color="auto" w:fill="auto"/>
        </w:rPr>
        <w:t xml:space="preserve">: </w:t>
      </w:r>
      <w:r>
        <w:rPr>
          <w:rFonts w:hint="default" w:ascii="Times New Roman" w:hAnsi="Times New Roman" w:eastAsia="宋体" w:cs="Times New Roman"/>
          <w:sz w:val="24"/>
          <w:szCs w:val="24"/>
          <w:highlight w:val="none"/>
          <w:shd w:val="clear" w:color="auto" w:fill="auto"/>
          <w:lang w:val="en-US" w:eastAsia="zh-CN"/>
        </w:rPr>
        <w:t>Cumulative TyGFI and Hypertension Incidence</w:t>
      </w:r>
    </w:p>
    <w:p w14:paraId="31BCB112">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lang w:val="en-US" w:eastAsia="zh-CN"/>
        </w:rPr>
      </w:pPr>
      <w:r>
        <w:rPr>
          <w:rFonts w:hint="default" w:ascii="Times New Roman" w:hAnsi="Times New Roman" w:eastAsia="宋体" w:cs="Times New Roman"/>
          <w:color w:val="0F0F0F"/>
          <w:sz w:val="24"/>
          <w:szCs w:val="24"/>
          <w:highlight w:val="none"/>
          <w:shd w:val="clear" w:color="auto" w:fill="auto"/>
        </w:rPr>
        <w:t>Yi Zhang</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 Ph.D;</w:t>
      </w:r>
      <w:r>
        <w:rPr>
          <w:rFonts w:hint="default" w:ascii="Times New Roman" w:hAnsi="Times New Roman" w:eastAsia="宋体" w:cs="Times New Roman"/>
          <w:color w:val="0F0F0F"/>
          <w:sz w:val="24"/>
          <w:szCs w:val="24"/>
          <w:highlight w:val="none"/>
          <w:shd w:val="clear" w:color="auto" w:fill="auto"/>
          <w:lang w:val="en-US" w:eastAsia="zh-CN"/>
        </w:rPr>
        <w:t xml:space="preserve"> Huayang Li</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vertAlign w:val="baseline"/>
          <w:lang w:val="en-US" w:eastAsia="zh-CN"/>
        </w:rPr>
        <w:t>*</w:t>
      </w:r>
      <w:r>
        <w:rPr>
          <w:rFonts w:hint="default" w:ascii="Times New Roman" w:hAnsi="Times New Roman" w:eastAsia="宋体" w:cs="Times New Roman"/>
          <w:color w:val="0F0F0F"/>
          <w:sz w:val="24"/>
          <w:szCs w:val="24"/>
          <w:highlight w:val="none"/>
          <w:shd w:val="clear" w:color="auto" w:fill="auto"/>
        </w:rPr>
        <w:t>, MD, Ph.D</w:t>
      </w:r>
      <w:r>
        <w:rPr>
          <w:rFonts w:hint="default" w:ascii="Times New Roman" w:hAnsi="Times New Roman" w:eastAsia="宋体" w:cs="Times New Roman"/>
          <w:color w:val="0F0F0F"/>
          <w:sz w:val="24"/>
          <w:szCs w:val="24"/>
          <w:highlight w:val="none"/>
          <w:shd w:val="clear" w:color="auto" w:fill="auto"/>
          <w:vertAlign w:val="baseline"/>
          <w:lang w:val="en-US" w:eastAsia="zh-CN"/>
        </w:rPr>
        <w:t xml:space="preserve">; </w:t>
      </w:r>
      <w:r>
        <w:rPr>
          <w:rFonts w:hint="default" w:ascii="Times New Roman" w:hAnsi="Times New Roman" w:eastAsia="宋体" w:cs="Times New Roman"/>
          <w:color w:val="0F0F0F"/>
          <w:sz w:val="24"/>
          <w:szCs w:val="24"/>
          <w:highlight w:val="none"/>
          <w:shd w:val="clear" w:color="auto" w:fill="auto"/>
          <w:lang w:val="en-US" w:eastAsia="zh-CN"/>
        </w:rPr>
        <w:t>Jiachen Niu</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w:t>
      </w:r>
      <w:r>
        <w:rPr>
          <w:rFonts w:hint="default" w:ascii="Times New Roman" w:hAnsi="Times New Roman" w:eastAsia="宋体" w:cs="Times New Roman"/>
          <w:color w:val="0F0F0F"/>
          <w:sz w:val="24"/>
          <w:szCs w:val="24"/>
          <w:highlight w:val="none"/>
          <w:shd w:val="clear" w:color="auto" w:fill="auto"/>
          <w:lang w:val="en-US" w:eastAsia="zh-CN"/>
        </w:rPr>
        <w:t>; Quan Liu</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 Ph.D</w:t>
      </w:r>
      <w:r>
        <w:rPr>
          <w:rFonts w:hint="default" w:ascii="Times New Roman" w:hAnsi="Times New Roman" w:eastAsia="宋体" w:cs="Times New Roman"/>
          <w:color w:val="0F0F0F"/>
          <w:sz w:val="24"/>
          <w:szCs w:val="24"/>
          <w:highlight w:val="none"/>
          <w:shd w:val="clear" w:color="auto" w:fill="auto"/>
          <w:lang w:val="en-US" w:eastAsia="zh-CN"/>
        </w:rPr>
        <w:t>; Hanri Xiao</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w:t>
      </w:r>
      <w:r>
        <w:rPr>
          <w:rFonts w:hint="default" w:ascii="Times New Roman" w:hAnsi="Times New Roman" w:eastAsia="宋体" w:cs="Times New Roman"/>
          <w:color w:val="0F0F0F"/>
          <w:sz w:val="24"/>
          <w:szCs w:val="24"/>
          <w:highlight w:val="none"/>
          <w:shd w:val="clear" w:color="auto" w:fill="auto"/>
          <w:lang w:val="en-US" w:eastAsia="zh-CN"/>
        </w:rPr>
        <w:t xml:space="preserve"> Hanlin Chen</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w:t>
      </w:r>
      <w:r>
        <w:rPr>
          <w:rFonts w:hint="default" w:ascii="Times New Roman" w:hAnsi="Times New Roman" w:eastAsia="宋体" w:cs="Times New Roman"/>
          <w:color w:val="0F0F0F"/>
          <w:sz w:val="24"/>
          <w:szCs w:val="24"/>
          <w:highlight w:val="none"/>
          <w:shd w:val="clear" w:color="auto" w:fill="auto"/>
          <w:lang w:val="en-US" w:eastAsia="zh-CN"/>
        </w:rPr>
        <w:t xml:space="preserve"> </w:t>
      </w:r>
      <w:r>
        <w:rPr>
          <w:rFonts w:hint="default" w:ascii="Times New Roman" w:hAnsi="Times New Roman" w:eastAsia="宋体" w:cs="Times New Roman"/>
          <w:color w:val="0F0F0F"/>
          <w:sz w:val="24"/>
          <w:szCs w:val="24"/>
          <w:highlight w:val="none"/>
          <w:shd w:val="clear" w:color="auto" w:fill="auto"/>
        </w:rPr>
        <w:t>Zhuoming Zhou</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 Ph.D; Mengya Liang</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 Ph.D</w:t>
      </w:r>
      <w:r>
        <w:rPr>
          <w:rFonts w:hint="default" w:ascii="Times New Roman" w:hAnsi="Times New Roman" w:eastAsia="宋体" w:cs="Times New Roman"/>
          <w:color w:val="0F0F0F"/>
          <w:sz w:val="24"/>
          <w:szCs w:val="24"/>
          <w:highlight w:val="none"/>
          <w:shd w:val="clear" w:color="auto" w:fill="auto"/>
          <w:lang w:val="en-US" w:eastAsia="zh-CN"/>
        </w:rPr>
        <w:t xml:space="preserve">; </w:t>
      </w:r>
      <w:r>
        <w:rPr>
          <w:rFonts w:hint="default" w:ascii="Times New Roman" w:hAnsi="Times New Roman" w:eastAsia="宋体" w:cs="Times New Roman"/>
          <w:color w:val="0F0F0F"/>
          <w:sz w:val="24"/>
          <w:szCs w:val="24"/>
          <w:highlight w:val="none"/>
          <w:shd w:val="clear" w:color="auto" w:fill="auto"/>
        </w:rPr>
        <w:t>Zhongkai Wu</w:t>
      </w: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rPr>
        <w:t>†, MD, Ph.D</w:t>
      </w:r>
    </w:p>
    <w:p w14:paraId="199BC31A">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vertAlign w:val="superscript"/>
        </w:rPr>
        <w:t>1</w:t>
      </w:r>
      <w:r>
        <w:rPr>
          <w:rFonts w:hint="default" w:ascii="Times New Roman" w:hAnsi="Times New Roman" w:eastAsia="宋体" w:cs="Times New Roman"/>
          <w:color w:val="0F0F0F"/>
          <w:sz w:val="24"/>
          <w:szCs w:val="24"/>
          <w:highlight w:val="none"/>
          <w:shd w:val="clear" w:color="auto" w:fill="auto"/>
          <w:vertAlign w:val="superscript"/>
          <w:lang w:val="en-US" w:eastAsia="zh-CN"/>
        </w:rPr>
        <w:t xml:space="preserve"> </w:t>
      </w:r>
      <w:r>
        <w:rPr>
          <w:rFonts w:hint="default" w:ascii="Times New Roman" w:hAnsi="Times New Roman" w:eastAsia="宋体" w:cs="Times New Roman"/>
          <w:color w:val="0F0F0F"/>
          <w:sz w:val="24"/>
          <w:szCs w:val="24"/>
          <w:highlight w:val="none"/>
          <w:shd w:val="clear" w:color="auto" w:fill="auto"/>
        </w:rPr>
        <w:t>Department of Cardiac Surgery, The First Affiliated Hospital of Sun Yat-Sen University, Guangzhou, China</w:t>
      </w:r>
    </w:p>
    <w:p w14:paraId="2AB2F498">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 Yi Zhang, </w:t>
      </w:r>
      <w:r>
        <w:rPr>
          <w:rFonts w:hint="default" w:ascii="Times New Roman" w:hAnsi="Times New Roman" w:eastAsia="宋体" w:cs="Times New Roman"/>
          <w:color w:val="0F0F0F"/>
          <w:sz w:val="24"/>
          <w:szCs w:val="24"/>
          <w:highlight w:val="none"/>
          <w:shd w:val="clear" w:color="auto" w:fill="auto"/>
          <w:lang w:val="en-US" w:eastAsia="zh-CN"/>
        </w:rPr>
        <w:t>Huayang Li and Jiachen Niu c</w:t>
      </w:r>
      <w:r>
        <w:rPr>
          <w:rFonts w:hint="default" w:ascii="Times New Roman" w:hAnsi="Times New Roman" w:eastAsia="宋体" w:cs="Times New Roman"/>
          <w:color w:val="0F0F0F"/>
          <w:sz w:val="24"/>
          <w:szCs w:val="24"/>
          <w:highlight w:val="none"/>
          <w:shd w:val="clear" w:color="auto" w:fill="auto"/>
        </w:rPr>
        <w:t>ontributed equally to this work.</w:t>
      </w:r>
    </w:p>
    <w:p w14:paraId="1041B535">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Zhongkai Wu, Mengya Liang,</w:t>
      </w:r>
      <w:r>
        <w:rPr>
          <w:rFonts w:hint="default" w:ascii="Times New Roman" w:hAnsi="Times New Roman" w:eastAsia="宋体" w:cs="Times New Roman"/>
          <w:color w:val="0F0F0F"/>
          <w:sz w:val="24"/>
          <w:szCs w:val="24"/>
          <w:highlight w:val="none"/>
          <w:shd w:val="clear" w:color="auto" w:fill="auto"/>
          <w:lang w:val="en-US" w:eastAsia="zh-CN"/>
        </w:rPr>
        <w:t xml:space="preserve"> and </w:t>
      </w:r>
      <w:r>
        <w:rPr>
          <w:rFonts w:hint="default" w:ascii="Times New Roman" w:hAnsi="Times New Roman" w:eastAsia="宋体" w:cs="Times New Roman"/>
          <w:color w:val="0F0F0F"/>
          <w:sz w:val="24"/>
          <w:szCs w:val="24"/>
          <w:highlight w:val="none"/>
          <w:shd w:val="clear" w:color="auto" w:fill="auto"/>
        </w:rPr>
        <w:t>Zhuoming Zhou</w:t>
      </w:r>
      <w:r>
        <w:rPr>
          <w:rFonts w:hint="default" w:ascii="Times New Roman" w:hAnsi="Times New Roman" w:eastAsia="宋体" w:cs="Times New Roman"/>
          <w:color w:val="0F0F0F"/>
          <w:sz w:val="24"/>
          <w:szCs w:val="24"/>
          <w:highlight w:val="none"/>
          <w:shd w:val="clear" w:color="auto" w:fill="auto"/>
          <w:lang w:val="en-US" w:eastAsia="zh-CN"/>
        </w:rPr>
        <w:t xml:space="preserve"> </w:t>
      </w:r>
      <w:r>
        <w:rPr>
          <w:rFonts w:hint="default" w:ascii="Times New Roman" w:hAnsi="Times New Roman" w:eastAsia="宋体" w:cs="Times New Roman"/>
          <w:color w:val="0F0F0F"/>
          <w:sz w:val="24"/>
          <w:szCs w:val="24"/>
          <w:highlight w:val="none"/>
          <w:shd w:val="clear" w:color="auto" w:fill="auto"/>
        </w:rPr>
        <w:t>are the corresponding authors.</w:t>
      </w:r>
    </w:p>
    <w:p w14:paraId="18A64F40">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Corresponding Authors: </w:t>
      </w:r>
    </w:p>
    <w:p w14:paraId="7FE9160D">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lang w:val="en-US" w:eastAsia="zh-CN"/>
        </w:rPr>
      </w:pPr>
      <w:r>
        <w:rPr>
          <w:rFonts w:hint="default" w:ascii="Times New Roman" w:hAnsi="Times New Roman" w:eastAsia="宋体" w:cs="Times New Roman"/>
          <w:color w:val="0F0F0F"/>
          <w:sz w:val="24"/>
          <w:szCs w:val="24"/>
          <w:highlight w:val="none"/>
          <w:shd w:val="clear" w:color="auto" w:fill="auto"/>
        </w:rPr>
        <w:t>Zhuoming Zhou, MD</w:t>
      </w:r>
      <w:r>
        <w:rPr>
          <w:rFonts w:hint="default" w:ascii="Times New Roman" w:hAnsi="Times New Roman" w:eastAsia="宋体" w:cs="Times New Roman"/>
          <w:color w:val="0F0F0F"/>
          <w:sz w:val="24"/>
          <w:szCs w:val="24"/>
          <w:highlight w:val="none"/>
          <w:shd w:val="clear" w:color="auto" w:fill="auto"/>
          <w:lang w:val="en-US" w:eastAsia="zh-CN"/>
        </w:rPr>
        <w:t xml:space="preserve">, </w:t>
      </w:r>
      <w:r>
        <w:rPr>
          <w:rFonts w:hint="default" w:ascii="Times New Roman" w:hAnsi="Times New Roman" w:eastAsia="宋体" w:cs="Times New Roman"/>
          <w:color w:val="0F0F0F"/>
          <w:sz w:val="24"/>
          <w:szCs w:val="24"/>
          <w:highlight w:val="none"/>
          <w:shd w:val="clear" w:color="auto" w:fill="auto"/>
        </w:rPr>
        <w:t>Ph.D</w:t>
      </w:r>
    </w:p>
    <w:p w14:paraId="6E4828BB">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Department of Cardiac Surgery, the First Affiliated Hospital, Sun Yat-Sen University,</w:t>
      </w:r>
    </w:p>
    <w:p w14:paraId="6DBC23B1">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58 Zhongshan II Road, Guangzhou 510080, China. </w:t>
      </w:r>
    </w:p>
    <w:p w14:paraId="10E29354">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E-Mail:zhouzhm8@mail.sysu.edu.cn</w:t>
      </w:r>
    </w:p>
    <w:p w14:paraId="76C02F9E">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Mengya Liang, MD, Ph.D </w:t>
      </w:r>
    </w:p>
    <w:p w14:paraId="7605DC35">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Department of Cardiac Surgery, the First Affiliated Hospital, Sun Yat-Sen University,</w:t>
      </w:r>
    </w:p>
    <w:p w14:paraId="6F8B570E">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58 Zhongshan II Road, Guangzhou 510080, China. </w:t>
      </w:r>
    </w:p>
    <w:p w14:paraId="0A27DCA6">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b/>
          <w:bCs/>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E-Mail: </w:t>
      </w:r>
      <w:r>
        <w:rPr>
          <w:rFonts w:hint="default" w:ascii="Times New Roman" w:hAnsi="Times New Roman" w:eastAsia="宋体" w:cs="Times New Roman"/>
          <w:sz w:val="24"/>
          <w:szCs w:val="24"/>
          <w:highlight w:val="none"/>
          <w:shd w:val="clear" w:color="auto" w:fill="auto"/>
        </w:rPr>
        <w:fldChar w:fldCharType="begin"/>
      </w:r>
      <w:r>
        <w:rPr>
          <w:rFonts w:hint="default" w:ascii="Times New Roman" w:hAnsi="Times New Roman" w:eastAsia="宋体" w:cs="Times New Roman"/>
          <w:sz w:val="24"/>
          <w:szCs w:val="24"/>
          <w:highlight w:val="none"/>
          <w:shd w:val="clear" w:color="auto" w:fill="auto"/>
        </w:rPr>
        <w:instrText xml:space="preserve"> HYPERLINK "mailto:liangmya@mail.sysu.edu.cn" </w:instrText>
      </w:r>
      <w:r>
        <w:rPr>
          <w:rFonts w:hint="default" w:ascii="Times New Roman" w:hAnsi="Times New Roman" w:eastAsia="宋体" w:cs="Times New Roman"/>
          <w:sz w:val="24"/>
          <w:szCs w:val="24"/>
          <w:highlight w:val="none"/>
          <w:shd w:val="clear" w:color="auto" w:fill="auto"/>
        </w:rPr>
        <w:fldChar w:fldCharType="separate"/>
      </w:r>
      <w:r>
        <w:rPr>
          <w:rStyle w:val="11"/>
          <w:rFonts w:hint="default" w:ascii="Times New Roman" w:hAnsi="Times New Roman" w:eastAsia="宋体" w:cs="Times New Roman"/>
          <w:sz w:val="24"/>
          <w:szCs w:val="24"/>
          <w:highlight w:val="none"/>
          <w:shd w:val="clear" w:color="auto" w:fill="auto"/>
        </w:rPr>
        <w:t>liangmya@mail.sysu.edu.cn</w:t>
      </w:r>
      <w:r>
        <w:rPr>
          <w:rStyle w:val="11"/>
          <w:rFonts w:hint="default" w:ascii="Times New Roman" w:hAnsi="Times New Roman" w:eastAsia="宋体" w:cs="Times New Roman"/>
          <w:sz w:val="24"/>
          <w:szCs w:val="24"/>
          <w:highlight w:val="none"/>
          <w:shd w:val="clear" w:color="auto" w:fill="auto"/>
        </w:rPr>
        <w:fldChar w:fldCharType="end"/>
      </w:r>
      <w:r>
        <w:rPr>
          <w:rFonts w:hint="default" w:ascii="Times New Roman" w:hAnsi="Times New Roman" w:eastAsia="宋体" w:cs="Times New Roman"/>
          <w:b/>
          <w:bCs/>
          <w:color w:val="0F0F0F"/>
          <w:sz w:val="24"/>
          <w:szCs w:val="24"/>
          <w:highlight w:val="none"/>
          <w:shd w:val="clear" w:color="auto" w:fill="auto"/>
        </w:rPr>
        <w:t xml:space="preserve"> </w:t>
      </w:r>
    </w:p>
    <w:p w14:paraId="109E433D">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Zhongkai Wu, MD, Ph.D</w:t>
      </w:r>
    </w:p>
    <w:p w14:paraId="1068F844">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Department of Cardiac Surgery, the First Affiliated Hospital, Sun Yat-Sen University,</w:t>
      </w:r>
    </w:p>
    <w:p w14:paraId="23CA1513">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 xml:space="preserve">58 Zhongshan II Road, Guangzhou 510080, China. </w:t>
      </w:r>
    </w:p>
    <w:p w14:paraId="5765C357">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jc w:val="both"/>
        <w:textAlignment w:val="auto"/>
        <w:rPr>
          <w:rFonts w:hint="default" w:ascii="Times New Roman" w:hAnsi="Times New Roman" w:eastAsia="宋体" w:cs="Times New Roman"/>
          <w:color w:val="0F0F0F"/>
          <w:sz w:val="24"/>
          <w:szCs w:val="24"/>
          <w:highlight w:val="none"/>
          <w:shd w:val="clear" w:color="auto" w:fill="auto"/>
        </w:rPr>
      </w:pPr>
      <w:r>
        <w:rPr>
          <w:rFonts w:hint="default" w:ascii="Times New Roman" w:hAnsi="Times New Roman" w:eastAsia="宋体" w:cs="Times New Roman"/>
          <w:color w:val="0F0F0F"/>
          <w:sz w:val="24"/>
          <w:szCs w:val="24"/>
          <w:highlight w:val="none"/>
          <w:shd w:val="clear" w:color="auto" w:fill="auto"/>
        </w:rPr>
        <w:t>E-Mail: wuzhk@mail.sysu.edu.cn</w:t>
      </w:r>
    </w:p>
    <w:p w14:paraId="6B9E9867">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493A19AA">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42E50F01">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2030BD35">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7F2C9F3D">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44D54132">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5CC5C922">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1CCF8C82">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771AFA6C">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3218B07B">
      <w:pPr>
        <w:pageBreakBefore w:val="0"/>
        <w:widowControl/>
        <w:kinsoku/>
        <w:wordWrap/>
        <w:overflowPunct/>
        <w:topLinePunct w:val="0"/>
        <w:bidi w:val="0"/>
        <w:spacing w:line="360" w:lineRule="auto"/>
        <w:jc w:val="both"/>
        <w:rPr>
          <w:rFonts w:hint="default" w:ascii="Times New Roman" w:hAnsi="Times New Roman" w:eastAsia="宋体" w:cs="Times New Roman"/>
          <w:b/>
          <w:bCs/>
          <w:sz w:val="24"/>
          <w:szCs w:val="24"/>
          <w:highlight w:val="none"/>
          <w:lang w:val="en-US" w:eastAsia="zh-CN"/>
        </w:rPr>
      </w:pPr>
    </w:p>
    <w:p w14:paraId="6F07CAD8">
      <w:pPr>
        <w:pageBreakBefore w:val="0"/>
        <w:widowControl/>
        <w:kinsoku/>
        <w:wordWrap/>
        <w:overflowPunct/>
        <w:topLinePunct w:val="0"/>
        <w:bidi w:val="0"/>
        <w:spacing w:line="360" w:lineRule="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br w:type="page"/>
      </w:r>
    </w:p>
    <w:p w14:paraId="349BAE02">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r>
        <w:rPr>
          <w:rFonts w:hint="default" w:ascii="Times New Roman" w:hAnsi="Times New Roman" w:cs="Times New Roman" w:eastAsiaTheme="minorEastAsia"/>
          <w:b/>
          <w:bCs/>
          <w:sz w:val="24"/>
          <w:szCs w:val="24"/>
          <w:highlight w:val="none"/>
        </w:rPr>
        <w:t xml:space="preserve">Supplementary </w:t>
      </w:r>
      <w:r>
        <w:rPr>
          <w:rFonts w:hint="default" w:ascii="Times New Roman" w:hAnsi="Times New Roman" w:eastAsia="宋体" w:cs="Times New Roman"/>
          <w:b/>
          <w:bCs/>
          <w:sz w:val="24"/>
          <w:szCs w:val="24"/>
          <w:highlight w:val="none"/>
          <w:lang w:val="en-US" w:eastAsia="zh-CN"/>
        </w:rPr>
        <w:t>Table S1</w:t>
      </w:r>
      <w:r>
        <w:rPr>
          <w:rFonts w:hint="default" w:ascii="Times New Roman" w:hAnsi="Times New Roman" w:cs="Times New Roman"/>
          <w:bCs/>
          <w:sz w:val="24"/>
          <w:szCs w:val="24"/>
          <w:highlight w:val="none"/>
        </w:rPr>
        <w:t xml:space="preserve">. </w:t>
      </w:r>
      <w:r>
        <w:rPr>
          <w:rFonts w:hint="default" w:ascii="Times New Roman" w:hAnsi="Times New Roman" w:eastAsia="等线" w:cs="Times New Roman"/>
          <w:sz w:val="24"/>
          <w:szCs w:val="24"/>
          <w:highlight w:val="none"/>
        </w:rPr>
        <w:t>Detailed description of the 3</w:t>
      </w:r>
      <w:r>
        <w:rPr>
          <w:rFonts w:hint="default" w:ascii="Times New Roman" w:hAnsi="Times New Roman" w:eastAsia="等线" w:cs="Times New Roman"/>
          <w:sz w:val="24"/>
          <w:szCs w:val="24"/>
          <w:highlight w:val="none"/>
          <w:lang w:val="en-US" w:eastAsia="zh-CN"/>
        </w:rPr>
        <w:t>1</w:t>
      </w:r>
      <w:r>
        <w:rPr>
          <w:rFonts w:hint="default" w:ascii="Times New Roman" w:hAnsi="Times New Roman" w:eastAsia="等线" w:cs="Times New Roman"/>
          <w:sz w:val="24"/>
          <w:szCs w:val="24"/>
          <w:highlight w:val="none"/>
        </w:rPr>
        <w:t xml:space="preserve"> items used to construct the frailty index in CHARLS and their corresponding cut-off values.</w:t>
      </w:r>
    </w:p>
    <w:tbl>
      <w:tblPr>
        <w:tblStyle w:val="8"/>
        <w:tblW w:w="9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5877"/>
        <w:gridCol w:w="3062"/>
      </w:tblGrid>
      <w:tr w14:paraId="7415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Merge w:val="restart"/>
            <w:vAlign w:val="center"/>
          </w:tcPr>
          <w:p w14:paraId="67D6DDEF">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No</w:t>
            </w:r>
          </w:p>
        </w:tc>
        <w:tc>
          <w:tcPr>
            <w:tcW w:w="5877" w:type="dxa"/>
            <w:vAlign w:val="center"/>
          </w:tcPr>
          <w:p w14:paraId="164B4FCC">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Description of the items</w:t>
            </w:r>
          </w:p>
        </w:tc>
        <w:tc>
          <w:tcPr>
            <w:tcW w:w="3062" w:type="dxa"/>
            <w:vMerge w:val="restart"/>
            <w:vAlign w:val="center"/>
          </w:tcPr>
          <w:p w14:paraId="4DC19834">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Cut-off value</w:t>
            </w:r>
          </w:p>
        </w:tc>
      </w:tr>
      <w:tr w14:paraId="596C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Merge w:val="continue"/>
            <w:vAlign w:val="center"/>
          </w:tcPr>
          <w:p w14:paraId="75AD898B">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p>
        </w:tc>
        <w:tc>
          <w:tcPr>
            <w:tcW w:w="5877" w:type="dxa"/>
            <w:vAlign w:val="center"/>
          </w:tcPr>
          <w:p w14:paraId="6F6D903E">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CHARLS</w:t>
            </w:r>
          </w:p>
        </w:tc>
        <w:tc>
          <w:tcPr>
            <w:tcW w:w="3062" w:type="dxa"/>
            <w:vMerge w:val="continue"/>
          </w:tcPr>
          <w:p w14:paraId="5B309E7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p>
        </w:tc>
      </w:tr>
      <w:tr w14:paraId="2DE5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3A87D040">
            <w:pPr>
              <w:pageBreakBefore w:val="0"/>
              <w:widowControl/>
              <w:kinsoku/>
              <w:wordWrap/>
              <w:overflowPunct/>
              <w:topLinePunct w:val="0"/>
              <w:bidi w:val="0"/>
              <w:spacing w:line="360" w:lineRule="auto"/>
              <w:jc w:val="both"/>
              <w:textAlignment w:val="bottom"/>
              <w:rPr>
                <w:rFonts w:hint="default" w:ascii="Times New Roman" w:hAnsi="Times New Roman" w:cs="Times New Roman"/>
                <w:kern w:val="0"/>
                <w:sz w:val="24"/>
                <w:szCs w:val="24"/>
                <w:highlight w:val="none"/>
              </w:rPr>
            </w:pPr>
            <w:r>
              <w:rPr>
                <w:rFonts w:hint="default" w:ascii="Times New Roman" w:hAnsi="Times New Roman" w:eastAsia="等线" w:cs="Times New Roman"/>
                <w:color w:val="000000"/>
                <w:kern w:val="0"/>
                <w:sz w:val="24"/>
                <w:szCs w:val="24"/>
                <w:highlight w:val="none"/>
                <w:lang w:bidi="ar"/>
              </w:rPr>
              <w:t>1</w:t>
            </w:r>
          </w:p>
        </w:tc>
        <w:tc>
          <w:tcPr>
            <w:tcW w:w="5877" w:type="dxa"/>
            <w:vAlign w:val="center"/>
          </w:tcPr>
          <w:p w14:paraId="5D0D24D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eastAsia="宋体" w:cs="Times New Roman"/>
                <w:kern w:val="0"/>
                <w:sz w:val="24"/>
                <w:szCs w:val="24"/>
                <w:highlight w:val="none"/>
                <w:lang w:val="en-US" w:eastAsia="zh-CN"/>
              </w:rPr>
            </w:pPr>
            <w:r>
              <w:rPr>
                <w:rFonts w:hint="default" w:ascii="Times New Roman" w:hAnsi="Times New Roman" w:cs="Times New Roman"/>
                <w:kern w:val="0"/>
                <w:sz w:val="24"/>
                <w:szCs w:val="24"/>
                <w:highlight w:val="none"/>
              </w:rPr>
              <w:t xml:space="preserve">Self-reported physician diagnosed </w:t>
            </w:r>
            <w:r>
              <w:rPr>
                <w:rFonts w:hint="default" w:ascii="Times New Roman" w:hAnsi="Times New Roman" w:eastAsia="宋体" w:cs="Times New Roman"/>
                <w:kern w:val="0"/>
                <w:sz w:val="24"/>
                <w:szCs w:val="24"/>
                <w:highlight w:val="none"/>
                <w:lang w:val="en-US" w:eastAsia="zh-CN"/>
              </w:rPr>
              <w:t>heart problem</w:t>
            </w:r>
          </w:p>
        </w:tc>
        <w:tc>
          <w:tcPr>
            <w:tcW w:w="3062" w:type="dxa"/>
          </w:tcPr>
          <w:p w14:paraId="38CE3FE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43E4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0440FF3F">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color w:val="000000"/>
                <w:kern w:val="0"/>
                <w:sz w:val="24"/>
                <w:szCs w:val="24"/>
                <w:highlight w:val="none"/>
                <w:lang w:val="en-US" w:eastAsia="zh-CN" w:bidi="ar"/>
              </w:rPr>
            </w:pPr>
            <w:r>
              <w:rPr>
                <w:rFonts w:hint="default" w:ascii="Times New Roman" w:hAnsi="Times New Roman" w:eastAsia="等线" w:cs="Times New Roman"/>
                <w:color w:val="000000"/>
                <w:kern w:val="0"/>
                <w:sz w:val="24"/>
                <w:szCs w:val="24"/>
                <w:highlight w:val="none"/>
                <w:lang w:val="en-US" w:eastAsia="zh-CN" w:bidi="ar"/>
              </w:rPr>
              <w:t>2</w:t>
            </w:r>
          </w:p>
        </w:tc>
        <w:tc>
          <w:tcPr>
            <w:tcW w:w="5877" w:type="dxa"/>
            <w:vAlign w:val="center"/>
          </w:tcPr>
          <w:p w14:paraId="241A583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lang w:val="en-US"/>
              </w:rPr>
            </w:pPr>
            <w:r>
              <w:rPr>
                <w:rFonts w:hint="default" w:ascii="Times New Roman" w:hAnsi="Times New Roman" w:cs="Times New Roman"/>
                <w:kern w:val="0"/>
                <w:sz w:val="24"/>
                <w:szCs w:val="24"/>
                <w:highlight w:val="none"/>
              </w:rPr>
              <w:t xml:space="preserve">Self-reported physician diagnosed </w:t>
            </w:r>
            <w:r>
              <w:rPr>
                <w:rFonts w:hint="default" w:ascii="Times New Roman" w:hAnsi="Times New Roman" w:eastAsia="宋体" w:cs="Times New Roman"/>
                <w:kern w:val="0"/>
                <w:sz w:val="24"/>
                <w:szCs w:val="24"/>
                <w:highlight w:val="none"/>
                <w:lang w:val="en-US" w:eastAsia="zh-CN"/>
              </w:rPr>
              <w:t>stroke</w:t>
            </w:r>
          </w:p>
        </w:tc>
        <w:tc>
          <w:tcPr>
            <w:tcW w:w="3062" w:type="dxa"/>
          </w:tcPr>
          <w:p w14:paraId="5E2A870C">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077B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214DEFD4">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3</w:t>
            </w:r>
          </w:p>
        </w:tc>
        <w:tc>
          <w:tcPr>
            <w:tcW w:w="5877" w:type="dxa"/>
            <w:vAlign w:val="center"/>
          </w:tcPr>
          <w:p w14:paraId="2DD2955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diabetes</w:t>
            </w:r>
          </w:p>
        </w:tc>
        <w:tc>
          <w:tcPr>
            <w:tcW w:w="3062" w:type="dxa"/>
          </w:tcPr>
          <w:p w14:paraId="18D7CA3A">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275B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1196762B">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4</w:t>
            </w:r>
          </w:p>
        </w:tc>
        <w:tc>
          <w:tcPr>
            <w:tcW w:w="5877" w:type="dxa"/>
          </w:tcPr>
          <w:p w14:paraId="17E88FF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cancer</w:t>
            </w:r>
          </w:p>
        </w:tc>
        <w:tc>
          <w:tcPr>
            <w:tcW w:w="3062" w:type="dxa"/>
          </w:tcPr>
          <w:p w14:paraId="7FF8C52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61E7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3FB5AFF6">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5</w:t>
            </w:r>
          </w:p>
        </w:tc>
        <w:tc>
          <w:tcPr>
            <w:tcW w:w="5877" w:type="dxa"/>
          </w:tcPr>
          <w:p w14:paraId="0F1FE33B">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arthritis</w:t>
            </w:r>
          </w:p>
        </w:tc>
        <w:tc>
          <w:tcPr>
            <w:tcW w:w="3062" w:type="dxa"/>
          </w:tcPr>
          <w:p w14:paraId="5691DF87">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0711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317969C1">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6</w:t>
            </w:r>
          </w:p>
        </w:tc>
        <w:tc>
          <w:tcPr>
            <w:tcW w:w="5877" w:type="dxa"/>
          </w:tcPr>
          <w:p w14:paraId="27CAB48F">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chronic lung disease</w:t>
            </w:r>
          </w:p>
        </w:tc>
        <w:tc>
          <w:tcPr>
            <w:tcW w:w="3062" w:type="dxa"/>
          </w:tcPr>
          <w:p w14:paraId="2DC40DBF">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469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5B741DC7">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7</w:t>
            </w:r>
          </w:p>
        </w:tc>
        <w:tc>
          <w:tcPr>
            <w:tcW w:w="5877" w:type="dxa"/>
          </w:tcPr>
          <w:p w14:paraId="6FBEB816">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asthma</w:t>
            </w:r>
          </w:p>
        </w:tc>
        <w:tc>
          <w:tcPr>
            <w:tcW w:w="3062" w:type="dxa"/>
          </w:tcPr>
          <w:p w14:paraId="5FCAA29A">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0A3C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079F4CB5">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8</w:t>
            </w:r>
          </w:p>
        </w:tc>
        <w:tc>
          <w:tcPr>
            <w:tcW w:w="5877" w:type="dxa"/>
          </w:tcPr>
          <w:p w14:paraId="1E938F57">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any emotional, nervous, or psychiatric problems</w:t>
            </w:r>
          </w:p>
        </w:tc>
        <w:tc>
          <w:tcPr>
            <w:tcW w:w="3062" w:type="dxa"/>
          </w:tcPr>
          <w:p w14:paraId="141A086E">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7B6C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69AF8AAA">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val="en-US" w:eastAsia="zh-CN" w:bidi="ar"/>
              </w:rPr>
              <w:t>9</w:t>
            </w:r>
          </w:p>
        </w:tc>
        <w:tc>
          <w:tcPr>
            <w:tcW w:w="5877" w:type="dxa"/>
          </w:tcPr>
          <w:p w14:paraId="6BB601B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physician diagnosed memory-related disease</w:t>
            </w:r>
          </w:p>
        </w:tc>
        <w:tc>
          <w:tcPr>
            <w:tcW w:w="3062" w:type="dxa"/>
          </w:tcPr>
          <w:p w14:paraId="126190D7">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1F82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26542769">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val="en-US" w:eastAsia="zh-CN" w:bidi="ar"/>
              </w:rPr>
              <w:t>10</w:t>
            </w:r>
          </w:p>
        </w:tc>
        <w:tc>
          <w:tcPr>
            <w:tcW w:w="5877" w:type="dxa"/>
          </w:tcPr>
          <w:p w14:paraId="2F081201">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bookmarkStart w:id="0" w:name="OLE_LINK1"/>
            <w:r>
              <w:rPr>
                <w:rFonts w:hint="default" w:ascii="Times New Roman" w:hAnsi="Times New Roman" w:cs="Times New Roman"/>
                <w:kern w:val="0"/>
                <w:sz w:val="24"/>
                <w:szCs w:val="24"/>
                <w:highlight w:val="none"/>
              </w:rPr>
              <w:t>Self-reported vision problems</w:t>
            </w:r>
            <w:bookmarkEnd w:id="0"/>
          </w:p>
        </w:tc>
        <w:tc>
          <w:tcPr>
            <w:tcW w:w="3062" w:type="dxa"/>
          </w:tcPr>
          <w:p w14:paraId="2BBA9F54">
            <w:pPr>
              <w:pageBreakBefore w:val="0"/>
              <w:widowControl/>
              <w:kinsoku/>
              <w:wordWrap/>
              <w:overflowPunct/>
              <w:topLinePunct w:val="0"/>
              <w:autoSpaceDE w:val="0"/>
              <w:autoSpaceDN w:val="0"/>
              <w:bidi w:val="0"/>
              <w:adjustRightInd w:val="0"/>
              <w:spacing w:line="360" w:lineRule="auto"/>
              <w:ind w:right="-220" w:rightChars="-100"/>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 xml:space="preserve">Yes = 1, No = 0 in the CHARLS </w:t>
            </w:r>
          </w:p>
        </w:tc>
      </w:tr>
      <w:tr w14:paraId="4BC5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5B26D51F">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1</w:t>
            </w:r>
          </w:p>
        </w:tc>
        <w:tc>
          <w:tcPr>
            <w:tcW w:w="5877" w:type="dxa"/>
          </w:tcPr>
          <w:p w14:paraId="372A3F32">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 xml:space="preserve">Self-reported hearing problems </w:t>
            </w:r>
          </w:p>
        </w:tc>
        <w:tc>
          <w:tcPr>
            <w:tcW w:w="3062" w:type="dxa"/>
          </w:tcPr>
          <w:p w14:paraId="25C02E5C">
            <w:pPr>
              <w:pageBreakBefore w:val="0"/>
              <w:widowControl/>
              <w:kinsoku/>
              <w:wordWrap/>
              <w:overflowPunct/>
              <w:topLinePunct w:val="0"/>
              <w:autoSpaceDE w:val="0"/>
              <w:autoSpaceDN w:val="0"/>
              <w:bidi w:val="0"/>
              <w:adjustRightInd w:val="0"/>
              <w:spacing w:line="360" w:lineRule="auto"/>
              <w:ind w:right="-220" w:rightChars="-100"/>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 in the CHARLS</w:t>
            </w:r>
          </w:p>
        </w:tc>
      </w:tr>
      <w:tr w14:paraId="0F19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6EB36D75">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2</w:t>
            </w:r>
          </w:p>
        </w:tc>
        <w:tc>
          <w:tcPr>
            <w:tcW w:w="5877" w:type="dxa"/>
          </w:tcPr>
          <w:p w14:paraId="21036B3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Self-reported general health status</w:t>
            </w:r>
          </w:p>
        </w:tc>
        <w:tc>
          <w:tcPr>
            <w:tcW w:w="3062" w:type="dxa"/>
          </w:tcPr>
          <w:p w14:paraId="01D04556">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Poor or fair = 1, excellent, very good, or good = 0</w:t>
            </w:r>
          </w:p>
        </w:tc>
      </w:tr>
      <w:tr w14:paraId="4252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5A3ADBB6">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3</w:t>
            </w:r>
          </w:p>
        </w:tc>
        <w:tc>
          <w:tcPr>
            <w:tcW w:w="5877" w:type="dxa"/>
          </w:tcPr>
          <w:p w14:paraId="681FBDF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dressing</w:t>
            </w:r>
          </w:p>
        </w:tc>
        <w:tc>
          <w:tcPr>
            <w:tcW w:w="3062" w:type="dxa"/>
          </w:tcPr>
          <w:p w14:paraId="741BD95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12CA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17BEB176">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4</w:t>
            </w:r>
          </w:p>
        </w:tc>
        <w:tc>
          <w:tcPr>
            <w:tcW w:w="5877" w:type="dxa"/>
          </w:tcPr>
          <w:p w14:paraId="2D33B0F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bathing or showering</w:t>
            </w:r>
          </w:p>
        </w:tc>
        <w:tc>
          <w:tcPr>
            <w:tcW w:w="3062" w:type="dxa"/>
          </w:tcPr>
          <w:p w14:paraId="2DE652A2">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217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49D686E7">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5</w:t>
            </w:r>
          </w:p>
        </w:tc>
        <w:tc>
          <w:tcPr>
            <w:tcW w:w="5877" w:type="dxa"/>
          </w:tcPr>
          <w:p w14:paraId="2B6EDB6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eating</w:t>
            </w:r>
          </w:p>
        </w:tc>
        <w:tc>
          <w:tcPr>
            <w:tcW w:w="3062" w:type="dxa"/>
          </w:tcPr>
          <w:p w14:paraId="29A56BBF">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7AD4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6347CEEC">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6</w:t>
            </w:r>
          </w:p>
        </w:tc>
        <w:tc>
          <w:tcPr>
            <w:tcW w:w="5877" w:type="dxa"/>
          </w:tcPr>
          <w:p w14:paraId="065D615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getting in and out of bed</w:t>
            </w:r>
          </w:p>
        </w:tc>
        <w:tc>
          <w:tcPr>
            <w:tcW w:w="3062" w:type="dxa"/>
          </w:tcPr>
          <w:p w14:paraId="2B3EF073">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0E68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6B132E13">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7</w:t>
            </w:r>
          </w:p>
        </w:tc>
        <w:tc>
          <w:tcPr>
            <w:tcW w:w="5877" w:type="dxa"/>
          </w:tcPr>
          <w:p w14:paraId="57181D2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using the toilet</w:t>
            </w:r>
          </w:p>
        </w:tc>
        <w:tc>
          <w:tcPr>
            <w:tcW w:w="3062" w:type="dxa"/>
          </w:tcPr>
          <w:p w14:paraId="3A187933">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317C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08EAB251">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8</w:t>
            </w:r>
          </w:p>
        </w:tc>
        <w:tc>
          <w:tcPr>
            <w:tcW w:w="5877" w:type="dxa"/>
          </w:tcPr>
          <w:p w14:paraId="3BE0E9E3">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managing money</w:t>
            </w:r>
          </w:p>
        </w:tc>
        <w:tc>
          <w:tcPr>
            <w:tcW w:w="3062" w:type="dxa"/>
          </w:tcPr>
          <w:p w14:paraId="08124294">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28B2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499FDA98">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1</w:t>
            </w:r>
            <w:r>
              <w:rPr>
                <w:rFonts w:hint="default" w:ascii="Times New Roman" w:hAnsi="Times New Roman" w:eastAsia="等线" w:cs="Times New Roman"/>
                <w:color w:val="000000"/>
                <w:kern w:val="0"/>
                <w:sz w:val="24"/>
                <w:szCs w:val="24"/>
                <w:highlight w:val="none"/>
                <w:lang w:val="en-US" w:eastAsia="zh-CN" w:bidi="ar"/>
              </w:rPr>
              <w:t>9</w:t>
            </w:r>
          </w:p>
        </w:tc>
        <w:tc>
          <w:tcPr>
            <w:tcW w:w="5877" w:type="dxa"/>
          </w:tcPr>
          <w:p w14:paraId="7E54DEDA">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taking medications</w:t>
            </w:r>
          </w:p>
        </w:tc>
        <w:tc>
          <w:tcPr>
            <w:tcW w:w="3062" w:type="dxa"/>
          </w:tcPr>
          <w:p w14:paraId="50224E0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605D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42C066D4">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20</w:t>
            </w:r>
          </w:p>
        </w:tc>
        <w:tc>
          <w:tcPr>
            <w:tcW w:w="5877" w:type="dxa"/>
          </w:tcPr>
          <w:p w14:paraId="7ADE96B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shopping for groceries</w:t>
            </w:r>
          </w:p>
        </w:tc>
        <w:tc>
          <w:tcPr>
            <w:tcW w:w="3062" w:type="dxa"/>
          </w:tcPr>
          <w:p w14:paraId="3285A30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00F0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0A63CEB0">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1</w:t>
            </w:r>
          </w:p>
        </w:tc>
        <w:tc>
          <w:tcPr>
            <w:tcW w:w="5877" w:type="dxa"/>
          </w:tcPr>
          <w:p w14:paraId="3B6812F6">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preparing meals</w:t>
            </w:r>
          </w:p>
        </w:tc>
        <w:tc>
          <w:tcPr>
            <w:tcW w:w="3062" w:type="dxa"/>
          </w:tcPr>
          <w:p w14:paraId="5D68775B">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135F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5806CBA5">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2</w:t>
            </w:r>
          </w:p>
        </w:tc>
        <w:tc>
          <w:tcPr>
            <w:tcW w:w="5877" w:type="dxa"/>
          </w:tcPr>
          <w:p w14:paraId="2C62D2ED">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Difficulty with doing housework</w:t>
            </w:r>
          </w:p>
        </w:tc>
        <w:tc>
          <w:tcPr>
            <w:tcW w:w="3062" w:type="dxa"/>
          </w:tcPr>
          <w:p w14:paraId="3D55DEEE">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4B9E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28" w:type="dxa"/>
            <w:vAlign w:val="bottom"/>
          </w:tcPr>
          <w:p w14:paraId="3D9680BE">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3</w:t>
            </w:r>
          </w:p>
        </w:tc>
        <w:tc>
          <w:tcPr>
            <w:tcW w:w="5877" w:type="dxa"/>
          </w:tcPr>
          <w:p w14:paraId="1FA16BF7">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walking 100 yards</w:t>
            </w:r>
          </w:p>
        </w:tc>
        <w:tc>
          <w:tcPr>
            <w:tcW w:w="3062" w:type="dxa"/>
          </w:tcPr>
          <w:p w14:paraId="0B38E4A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49CF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04D6160F">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4</w:t>
            </w:r>
          </w:p>
        </w:tc>
        <w:tc>
          <w:tcPr>
            <w:tcW w:w="5877" w:type="dxa"/>
          </w:tcPr>
          <w:p w14:paraId="56FA2D3C">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getting up from a chair after sitting for long periods</w:t>
            </w:r>
          </w:p>
        </w:tc>
        <w:tc>
          <w:tcPr>
            <w:tcW w:w="3062" w:type="dxa"/>
          </w:tcPr>
          <w:p w14:paraId="09A44109">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3D20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1707A00E">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val="en-US" w:eastAsia="zh-CN" w:bidi="ar"/>
              </w:rPr>
              <w:t>25</w:t>
            </w:r>
          </w:p>
        </w:tc>
        <w:tc>
          <w:tcPr>
            <w:tcW w:w="5877" w:type="dxa"/>
          </w:tcPr>
          <w:p w14:paraId="45AE05C5">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climbing several flights of stairs without resting</w:t>
            </w:r>
          </w:p>
        </w:tc>
        <w:tc>
          <w:tcPr>
            <w:tcW w:w="3062" w:type="dxa"/>
          </w:tcPr>
          <w:p w14:paraId="5DBE20C3">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7019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793E0D76">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6</w:t>
            </w:r>
          </w:p>
        </w:tc>
        <w:tc>
          <w:tcPr>
            <w:tcW w:w="5877" w:type="dxa"/>
          </w:tcPr>
          <w:p w14:paraId="53C079F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lifting or carrying weights over 10 pounds/jins</w:t>
            </w:r>
          </w:p>
        </w:tc>
        <w:tc>
          <w:tcPr>
            <w:tcW w:w="3062" w:type="dxa"/>
          </w:tcPr>
          <w:p w14:paraId="52EC5A8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1CAD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3E922E1C">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7</w:t>
            </w:r>
          </w:p>
        </w:tc>
        <w:tc>
          <w:tcPr>
            <w:tcW w:w="5877" w:type="dxa"/>
          </w:tcPr>
          <w:p w14:paraId="75BDC694">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picking up a coin from the table</w:t>
            </w:r>
          </w:p>
        </w:tc>
        <w:tc>
          <w:tcPr>
            <w:tcW w:w="3062" w:type="dxa"/>
          </w:tcPr>
          <w:p w14:paraId="5B6AC356">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3168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5406D16C">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8</w:t>
            </w:r>
          </w:p>
        </w:tc>
        <w:tc>
          <w:tcPr>
            <w:tcW w:w="5877" w:type="dxa"/>
          </w:tcPr>
          <w:p w14:paraId="59918F09">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stooping, kneeling, or crouching</w:t>
            </w:r>
          </w:p>
        </w:tc>
        <w:tc>
          <w:tcPr>
            <w:tcW w:w="3062" w:type="dxa"/>
          </w:tcPr>
          <w:p w14:paraId="522076F7">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434B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673BCCB5">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2</w:t>
            </w:r>
            <w:r>
              <w:rPr>
                <w:rFonts w:hint="default" w:ascii="Times New Roman" w:hAnsi="Times New Roman" w:eastAsia="等线" w:cs="Times New Roman"/>
                <w:color w:val="000000"/>
                <w:kern w:val="0"/>
                <w:sz w:val="24"/>
                <w:szCs w:val="24"/>
                <w:highlight w:val="none"/>
                <w:lang w:val="en-US" w:eastAsia="zh-CN" w:bidi="ar"/>
              </w:rPr>
              <w:t>9</w:t>
            </w:r>
          </w:p>
        </w:tc>
        <w:tc>
          <w:tcPr>
            <w:tcW w:w="5877" w:type="dxa"/>
          </w:tcPr>
          <w:p w14:paraId="30BF898C">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Mobility: difficulty with reaching arms above shoulder level</w:t>
            </w:r>
          </w:p>
        </w:tc>
        <w:tc>
          <w:tcPr>
            <w:tcW w:w="3062" w:type="dxa"/>
          </w:tcPr>
          <w:p w14:paraId="78CB173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Yes = 1, No = 0</w:t>
            </w:r>
          </w:p>
        </w:tc>
      </w:tr>
      <w:tr w14:paraId="75ED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vAlign w:val="bottom"/>
          </w:tcPr>
          <w:p w14:paraId="691F18DD">
            <w:pPr>
              <w:pageBreakBefore w:val="0"/>
              <w:widowControl/>
              <w:kinsoku/>
              <w:wordWrap/>
              <w:overflowPunct/>
              <w:topLinePunct w:val="0"/>
              <w:bidi w:val="0"/>
              <w:spacing w:line="360" w:lineRule="auto"/>
              <w:jc w:val="both"/>
              <w:textAlignment w:val="bottom"/>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30</w:t>
            </w:r>
          </w:p>
        </w:tc>
        <w:tc>
          <w:tcPr>
            <w:tcW w:w="5877" w:type="dxa"/>
          </w:tcPr>
          <w:p w14:paraId="06AEF318">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Depression: CESD-10</w:t>
            </w:r>
            <w:r>
              <w:rPr>
                <w:rFonts w:hint="default" w:ascii="Times New Roman" w:hAnsi="Times New Roman" w:cs="Times New Roman"/>
                <w:sz w:val="24"/>
                <w:szCs w:val="24"/>
                <w:highlight w:val="none"/>
              </w:rPr>
              <w:t xml:space="preserve"> </w:t>
            </w:r>
            <w:r>
              <w:rPr>
                <w:rFonts w:hint="default" w:ascii="Times New Roman" w:hAnsi="Times New Roman" w:cs="Times New Roman"/>
                <w:kern w:val="0"/>
                <w:sz w:val="24"/>
                <w:szCs w:val="24"/>
                <w:highlight w:val="none"/>
              </w:rPr>
              <w:t>questionnaire</w:t>
            </w:r>
          </w:p>
        </w:tc>
        <w:tc>
          <w:tcPr>
            <w:tcW w:w="3062" w:type="dxa"/>
          </w:tcPr>
          <w:p w14:paraId="095B739A">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CESD-10 &gt;10 =1, ≤10 =0 in the CHARLS</w:t>
            </w:r>
          </w:p>
        </w:tc>
      </w:tr>
      <w:tr w14:paraId="4050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vAlign w:val="bottom"/>
          </w:tcPr>
          <w:p w14:paraId="7BF36565">
            <w:pPr>
              <w:pageBreakBefore w:val="0"/>
              <w:widowControl/>
              <w:kinsoku/>
              <w:wordWrap/>
              <w:overflowPunct/>
              <w:topLinePunct w:val="0"/>
              <w:bidi w:val="0"/>
              <w:spacing w:line="360" w:lineRule="auto"/>
              <w:jc w:val="both"/>
              <w:textAlignment w:val="bottom"/>
              <w:rPr>
                <w:rFonts w:hint="default" w:ascii="Times New Roman" w:hAnsi="Times New Roman" w:eastAsia="等线" w:cs="Times New Roman"/>
                <w:kern w:val="0"/>
                <w:sz w:val="24"/>
                <w:szCs w:val="24"/>
                <w:highlight w:val="none"/>
                <w:lang w:val="en-US" w:eastAsia="zh-CN"/>
              </w:rPr>
            </w:pPr>
            <w:r>
              <w:rPr>
                <w:rFonts w:hint="default" w:ascii="Times New Roman" w:hAnsi="Times New Roman" w:eastAsia="等线" w:cs="Times New Roman"/>
                <w:color w:val="000000"/>
                <w:kern w:val="0"/>
                <w:sz w:val="24"/>
                <w:szCs w:val="24"/>
                <w:highlight w:val="none"/>
                <w:lang w:bidi="ar"/>
              </w:rPr>
              <w:t>3</w:t>
            </w:r>
            <w:r>
              <w:rPr>
                <w:rFonts w:hint="default" w:ascii="Times New Roman" w:hAnsi="Times New Roman" w:eastAsia="等线" w:cs="Times New Roman"/>
                <w:color w:val="000000"/>
                <w:kern w:val="0"/>
                <w:sz w:val="24"/>
                <w:szCs w:val="24"/>
                <w:highlight w:val="none"/>
                <w:lang w:val="en-US" w:eastAsia="zh-CN" w:bidi="ar"/>
              </w:rPr>
              <w:t>1</w:t>
            </w:r>
          </w:p>
        </w:tc>
        <w:tc>
          <w:tcPr>
            <w:tcW w:w="5877" w:type="dxa"/>
          </w:tcPr>
          <w:p w14:paraId="32D6EC9E">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 xml:space="preserve">Cognition: (memory test score + orientation test score) </w:t>
            </w:r>
            <w:r>
              <w:rPr>
                <w:rFonts w:hint="default" w:ascii="Times New Roman" w:hAnsi="Times New Roman" w:cs="Times New Roman"/>
                <w:b/>
                <w:kern w:val="0"/>
                <w:sz w:val="24"/>
                <w:szCs w:val="24"/>
                <w:highlight w:val="none"/>
              </w:rPr>
              <w:t>/</w:t>
            </w:r>
            <w:r>
              <w:rPr>
                <w:rFonts w:hint="default" w:ascii="Times New Roman" w:hAnsi="Times New Roman" w:cs="Times New Roman"/>
                <w:kern w:val="0"/>
                <w:sz w:val="24"/>
                <w:szCs w:val="24"/>
                <w:highlight w:val="none"/>
              </w:rPr>
              <w:t xml:space="preserve"> 14</w:t>
            </w:r>
          </w:p>
        </w:tc>
        <w:tc>
          <w:tcPr>
            <w:tcW w:w="3062" w:type="dxa"/>
          </w:tcPr>
          <w:p w14:paraId="3CEF9080">
            <w:pPr>
              <w:pageBreakBefore w:val="0"/>
              <w:widowControl/>
              <w:kinsoku/>
              <w:wordWrap/>
              <w:overflowPunct/>
              <w:topLinePunct w:val="0"/>
              <w:autoSpaceDE w:val="0"/>
              <w:autoSpaceDN w:val="0"/>
              <w:bidi w:val="0"/>
              <w:adjustRightInd w:val="0"/>
              <w:spacing w:line="360" w:lineRule="auto"/>
              <w:jc w:val="both"/>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Continuous, ranging from 0 to 1</w:t>
            </w:r>
          </w:p>
        </w:tc>
      </w:tr>
    </w:tbl>
    <w:p w14:paraId="516DA033">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p>
    <w:p w14:paraId="2A8EFE1B">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r>
        <w:rPr>
          <w:rFonts w:hint="default" w:ascii="Times New Roman" w:hAnsi="Times New Roman" w:eastAsia="等线" w:cs="Times New Roman"/>
          <w:sz w:val="24"/>
          <w:szCs w:val="24"/>
          <w:highlight w:val="none"/>
        </w:rPr>
        <w:t>Memory-related disease indicates Alzheimer’s disease or dementia, organic brain senility, or other serious memory impairment.</w:t>
      </w:r>
    </w:p>
    <w:p w14:paraId="106702BC">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r>
        <w:rPr>
          <w:rFonts w:hint="default" w:ascii="Times New Roman" w:hAnsi="Times New Roman" w:eastAsia="等线" w:cs="Times New Roman"/>
          <w:sz w:val="24"/>
          <w:szCs w:val="24"/>
          <w:highlight w:val="none"/>
        </w:rPr>
        <w:t xml:space="preserve">Depression is evaluated using Center for </w:t>
      </w:r>
      <w:bookmarkStart w:id="1" w:name="OLE_LINK2"/>
      <w:r>
        <w:rPr>
          <w:rFonts w:hint="default" w:ascii="Times New Roman" w:hAnsi="Times New Roman" w:eastAsia="等线" w:cs="Times New Roman"/>
          <w:sz w:val="24"/>
          <w:szCs w:val="24"/>
          <w:highlight w:val="none"/>
        </w:rPr>
        <w:t>Epidemiologic Studies Depression Scale</w:t>
      </w:r>
      <w:bookmarkEnd w:id="1"/>
      <w:r>
        <w:rPr>
          <w:rFonts w:hint="default" w:ascii="Times New Roman" w:hAnsi="Times New Roman" w:eastAsia="等线" w:cs="Times New Roman"/>
          <w:sz w:val="24"/>
          <w:szCs w:val="24"/>
          <w:highlight w:val="none"/>
        </w:rPr>
        <w:t xml:space="preserve"> (CESD). In the CHARLS, CESD-10 is used, and the total score ranges from 0 to 30. The higher score indicates more severe depressive symptoms. </w:t>
      </w:r>
    </w:p>
    <w:p w14:paraId="359F46B4">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r>
        <w:rPr>
          <w:rFonts w:hint="default" w:ascii="Times New Roman" w:hAnsi="Times New Roman" w:eastAsia="等线" w:cs="Times New Roman"/>
          <w:sz w:val="24"/>
          <w:szCs w:val="24"/>
          <w:highlight w:val="none"/>
        </w:rPr>
        <w:t>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for each wrong answer, and the range is from 0 to 4.</w:t>
      </w:r>
    </w:p>
    <w:p w14:paraId="741DDCF8">
      <w:pPr>
        <w:pageBreakBefore w:val="0"/>
        <w:widowControl/>
        <w:kinsoku/>
        <w:wordWrap/>
        <w:overflowPunct/>
        <w:topLinePunct w:val="0"/>
        <w:bidi w:val="0"/>
        <w:spacing w:line="360" w:lineRule="auto"/>
        <w:rPr>
          <w:rFonts w:hint="default" w:ascii="Times New Roman" w:hAnsi="Times New Roman" w:eastAsia="等线" w:cs="Times New Roman"/>
          <w:sz w:val="24"/>
          <w:szCs w:val="24"/>
          <w:highlight w:val="none"/>
        </w:rPr>
      </w:pPr>
      <w:r>
        <w:rPr>
          <w:rFonts w:hint="default" w:ascii="Times New Roman" w:hAnsi="Times New Roman" w:eastAsia="等线" w:cs="Times New Roman"/>
          <w:sz w:val="24"/>
          <w:szCs w:val="24"/>
          <w:highlight w:val="none"/>
        </w:rPr>
        <w:br w:type="page"/>
      </w:r>
    </w:p>
    <w:p w14:paraId="7F209DF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b/>
          <w:bCs/>
          <w:sz w:val="24"/>
          <w:szCs w:val="24"/>
          <w:highlight w:val="none"/>
        </w:rPr>
        <w:t xml:space="preserve">Supplementary Table S2. Missingness of baseline variables. </w:t>
      </w:r>
      <w:r>
        <w:rPr>
          <w:rFonts w:hint="default" w:ascii="Times New Roman" w:hAnsi="Times New Roman" w:cs="Times New Roman" w:eastAsiaTheme="minorEastAsia"/>
          <w:sz w:val="24"/>
          <w:szCs w:val="24"/>
          <w:highlight w:val="none"/>
        </w:rPr>
        <w:t>BMI, body mass index; DBP, diastolic blood pressure; SBP, systolic blood pressure; HbA1c, hemoglobin A1c; LDL-C, low-density lipoprotein cholesterol; HDL-C, high-density lipoprotein cholesterol; TC, total cholesterol; TG, triglyceride; FPG, fasting plasma glucose; CRP, C-reactive protein; CTI, C-reactive protein-triglyceride-glucose; CHG, cholesterol–high-density lipoprotein–glucose.</w:t>
      </w:r>
    </w:p>
    <w:tbl>
      <w:tblPr>
        <w:tblStyle w:val="7"/>
        <w:tblW w:w="0" w:type="auto"/>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8"/>
        <w:gridCol w:w="2837"/>
        <w:gridCol w:w="2837"/>
      </w:tblGrid>
      <w:tr w14:paraId="7680C8AC">
        <w:tblPrEx>
          <w:tblCellMar>
            <w:top w:w="0" w:type="dxa"/>
            <w:left w:w="108" w:type="dxa"/>
            <w:bottom w:w="0" w:type="dxa"/>
            <w:right w:w="108" w:type="dxa"/>
          </w:tblCellMar>
        </w:tblPrEx>
        <w:trPr>
          <w:jc w:val="center"/>
        </w:trPr>
        <w:tc>
          <w:tcPr>
            <w:tcW w:w="2848" w:type="dxa"/>
            <w:tcBorders>
              <w:bottom w:val="single" w:color="auto" w:sz="8" w:space="0"/>
            </w:tcBorders>
          </w:tcPr>
          <w:p w14:paraId="158102C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Variable</w:t>
            </w:r>
          </w:p>
        </w:tc>
        <w:tc>
          <w:tcPr>
            <w:tcW w:w="2837" w:type="dxa"/>
            <w:tcBorders>
              <w:bottom w:val="single" w:color="auto" w:sz="8" w:space="0"/>
            </w:tcBorders>
          </w:tcPr>
          <w:p w14:paraId="5AB7BD8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Missing (n)</w:t>
            </w:r>
          </w:p>
        </w:tc>
        <w:tc>
          <w:tcPr>
            <w:tcW w:w="2837" w:type="dxa"/>
            <w:tcBorders>
              <w:bottom w:val="single" w:color="auto" w:sz="8" w:space="0"/>
            </w:tcBorders>
          </w:tcPr>
          <w:p w14:paraId="79F49BF3">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Missing (%)</w:t>
            </w:r>
          </w:p>
        </w:tc>
      </w:tr>
      <w:tr w14:paraId="76366A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39266A8">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BMI, kg/m</w:t>
            </w:r>
            <w:r>
              <w:rPr>
                <w:rFonts w:hint="default" w:ascii="Times New Roman" w:hAnsi="Times New Roman" w:cs="Times New Roman" w:eastAsiaTheme="minorEastAsia"/>
                <w:sz w:val="24"/>
                <w:szCs w:val="24"/>
                <w:highlight w:val="none"/>
                <w:vertAlign w:val="superscript"/>
              </w:rPr>
              <w:t>2</w:t>
            </w:r>
          </w:p>
        </w:tc>
        <w:tc>
          <w:tcPr>
            <w:tcW w:w="2837" w:type="dxa"/>
            <w:shd w:val="clear" w:color="auto" w:fill="auto"/>
            <w:vAlign w:val="center"/>
          </w:tcPr>
          <w:p w14:paraId="306F5BD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432</w:t>
            </w:r>
          </w:p>
        </w:tc>
        <w:tc>
          <w:tcPr>
            <w:tcW w:w="2837" w:type="dxa"/>
            <w:shd w:val="clear" w:color="auto" w:fill="auto"/>
            <w:vAlign w:val="center"/>
          </w:tcPr>
          <w:p w14:paraId="2B9926A4">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11.23</w:t>
            </w:r>
          </w:p>
        </w:tc>
      </w:tr>
      <w:tr w14:paraId="5B15CE1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D704DF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DBP, mmHg</w:t>
            </w:r>
          </w:p>
        </w:tc>
        <w:tc>
          <w:tcPr>
            <w:tcW w:w="2837" w:type="dxa"/>
            <w:shd w:val="clear" w:color="auto" w:fill="auto"/>
            <w:vAlign w:val="center"/>
          </w:tcPr>
          <w:p w14:paraId="2EC7F161">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406</w:t>
            </w:r>
          </w:p>
        </w:tc>
        <w:tc>
          <w:tcPr>
            <w:tcW w:w="2837" w:type="dxa"/>
            <w:shd w:val="clear" w:color="auto" w:fill="auto"/>
            <w:vAlign w:val="center"/>
          </w:tcPr>
          <w:p w14:paraId="6C7A7191">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10.56</w:t>
            </w:r>
          </w:p>
        </w:tc>
      </w:tr>
      <w:tr w14:paraId="1886571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2BC6349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SBP, mmHg</w:t>
            </w:r>
          </w:p>
        </w:tc>
        <w:tc>
          <w:tcPr>
            <w:tcW w:w="2837" w:type="dxa"/>
            <w:shd w:val="clear" w:color="auto" w:fill="auto"/>
            <w:vAlign w:val="center"/>
          </w:tcPr>
          <w:p w14:paraId="34E521B8">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406</w:t>
            </w:r>
          </w:p>
        </w:tc>
        <w:tc>
          <w:tcPr>
            <w:tcW w:w="2837" w:type="dxa"/>
            <w:shd w:val="clear" w:color="auto" w:fill="auto"/>
            <w:vAlign w:val="center"/>
          </w:tcPr>
          <w:p w14:paraId="1DCFF163">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10.56</w:t>
            </w:r>
          </w:p>
        </w:tc>
      </w:tr>
      <w:tr w14:paraId="74498F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40291494">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Marital status</w:t>
            </w:r>
          </w:p>
        </w:tc>
        <w:tc>
          <w:tcPr>
            <w:tcW w:w="2837" w:type="dxa"/>
            <w:shd w:val="clear" w:color="auto" w:fill="auto"/>
            <w:vAlign w:val="center"/>
          </w:tcPr>
          <w:p w14:paraId="0765784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2D93B4D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0.00</w:t>
            </w:r>
          </w:p>
        </w:tc>
      </w:tr>
      <w:tr w14:paraId="21DAA0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601B9344">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Residence</w:t>
            </w:r>
          </w:p>
        </w:tc>
        <w:tc>
          <w:tcPr>
            <w:tcW w:w="2837" w:type="dxa"/>
            <w:shd w:val="clear" w:color="auto" w:fill="auto"/>
            <w:vAlign w:val="center"/>
          </w:tcPr>
          <w:p w14:paraId="6269E27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3CD6F91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0.00</w:t>
            </w:r>
          </w:p>
        </w:tc>
      </w:tr>
      <w:tr w14:paraId="192101D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90E144E">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Age, years</w:t>
            </w:r>
          </w:p>
        </w:tc>
        <w:tc>
          <w:tcPr>
            <w:tcW w:w="2837" w:type="dxa"/>
            <w:shd w:val="clear" w:color="auto" w:fill="auto"/>
            <w:vAlign w:val="center"/>
          </w:tcPr>
          <w:p w14:paraId="11750F0F">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6F5CC31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0.00</w:t>
            </w:r>
          </w:p>
        </w:tc>
      </w:tr>
      <w:tr w14:paraId="00C9D37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634639E4">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Sex</w:t>
            </w:r>
          </w:p>
        </w:tc>
        <w:tc>
          <w:tcPr>
            <w:tcW w:w="2837" w:type="dxa"/>
            <w:shd w:val="clear" w:color="auto" w:fill="auto"/>
            <w:vAlign w:val="center"/>
          </w:tcPr>
          <w:p w14:paraId="392BBF3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7E65987E">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0.00</w:t>
            </w:r>
          </w:p>
        </w:tc>
      </w:tr>
      <w:tr w14:paraId="12DE07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51DDA8B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Education</w:t>
            </w:r>
          </w:p>
        </w:tc>
        <w:tc>
          <w:tcPr>
            <w:tcW w:w="2837" w:type="dxa"/>
            <w:shd w:val="clear" w:color="auto" w:fill="auto"/>
            <w:vAlign w:val="center"/>
          </w:tcPr>
          <w:p w14:paraId="1C58442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180ACAD1">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0.00</w:t>
            </w:r>
          </w:p>
        </w:tc>
      </w:tr>
      <w:tr w14:paraId="2CEC34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6037A53">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Dyslipidemia</w:t>
            </w:r>
          </w:p>
        </w:tc>
        <w:tc>
          <w:tcPr>
            <w:tcW w:w="2837" w:type="dxa"/>
            <w:shd w:val="clear" w:color="auto" w:fill="auto"/>
            <w:vAlign w:val="center"/>
          </w:tcPr>
          <w:p w14:paraId="03BF59EE">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55</w:t>
            </w:r>
          </w:p>
        </w:tc>
        <w:tc>
          <w:tcPr>
            <w:tcW w:w="2837" w:type="dxa"/>
            <w:shd w:val="clear" w:color="auto" w:fill="auto"/>
            <w:vAlign w:val="center"/>
          </w:tcPr>
          <w:p w14:paraId="35C8D51A">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1.43</w:t>
            </w:r>
          </w:p>
        </w:tc>
      </w:tr>
      <w:tr w14:paraId="7610652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01AEB31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Current drinking</w:t>
            </w:r>
          </w:p>
        </w:tc>
        <w:tc>
          <w:tcPr>
            <w:tcW w:w="2837" w:type="dxa"/>
            <w:shd w:val="clear" w:color="auto" w:fill="auto"/>
            <w:vAlign w:val="center"/>
          </w:tcPr>
          <w:p w14:paraId="130A03E4">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1</w:t>
            </w:r>
          </w:p>
        </w:tc>
        <w:tc>
          <w:tcPr>
            <w:tcW w:w="2837" w:type="dxa"/>
            <w:shd w:val="clear" w:color="auto" w:fill="auto"/>
            <w:vAlign w:val="center"/>
          </w:tcPr>
          <w:p w14:paraId="1F25F93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0.03</w:t>
            </w:r>
          </w:p>
        </w:tc>
      </w:tr>
      <w:tr w14:paraId="5F7066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643CC92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Current smoking</w:t>
            </w:r>
          </w:p>
        </w:tc>
        <w:tc>
          <w:tcPr>
            <w:tcW w:w="2837" w:type="dxa"/>
            <w:shd w:val="clear" w:color="auto" w:fill="auto"/>
            <w:vAlign w:val="center"/>
          </w:tcPr>
          <w:p w14:paraId="4431AB46">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48</w:t>
            </w:r>
          </w:p>
        </w:tc>
        <w:tc>
          <w:tcPr>
            <w:tcW w:w="2837" w:type="dxa"/>
            <w:shd w:val="clear" w:color="auto" w:fill="auto"/>
            <w:vAlign w:val="center"/>
          </w:tcPr>
          <w:p w14:paraId="0843D28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1.25</w:t>
            </w:r>
          </w:p>
        </w:tc>
      </w:tr>
      <w:tr w14:paraId="281220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6D954E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Diabetes</w:t>
            </w:r>
          </w:p>
        </w:tc>
        <w:tc>
          <w:tcPr>
            <w:tcW w:w="2837" w:type="dxa"/>
            <w:shd w:val="clear" w:color="auto" w:fill="auto"/>
            <w:vAlign w:val="center"/>
          </w:tcPr>
          <w:p w14:paraId="517DEAF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23</w:t>
            </w:r>
          </w:p>
        </w:tc>
        <w:tc>
          <w:tcPr>
            <w:tcW w:w="2837" w:type="dxa"/>
            <w:shd w:val="clear" w:color="auto" w:fill="auto"/>
            <w:vAlign w:val="center"/>
          </w:tcPr>
          <w:p w14:paraId="7494D0E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0.60</w:t>
            </w:r>
          </w:p>
        </w:tc>
      </w:tr>
      <w:tr w14:paraId="70A0E8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60B0DED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Heart disease</w:t>
            </w:r>
          </w:p>
        </w:tc>
        <w:tc>
          <w:tcPr>
            <w:tcW w:w="2837" w:type="dxa"/>
            <w:shd w:val="clear" w:color="auto" w:fill="auto"/>
            <w:vAlign w:val="center"/>
          </w:tcPr>
          <w:p w14:paraId="5AA6BB3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17</w:t>
            </w:r>
          </w:p>
        </w:tc>
        <w:tc>
          <w:tcPr>
            <w:tcW w:w="2837" w:type="dxa"/>
            <w:shd w:val="clear" w:color="auto" w:fill="auto"/>
            <w:vAlign w:val="center"/>
          </w:tcPr>
          <w:p w14:paraId="7A9DE83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0.44</w:t>
            </w:r>
          </w:p>
        </w:tc>
      </w:tr>
      <w:tr w14:paraId="180858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7BDFFBDF">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Kidney disease</w:t>
            </w:r>
          </w:p>
        </w:tc>
        <w:tc>
          <w:tcPr>
            <w:tcW w:w="2837" w:type="dxa"/>
            <w:shd w:val="clear" w:color="auto" w:fill="auto"/>
            <w:vAlign w:val="center"/>
          </w:tcPr>
          <w:p w14:paraId="0B65FB31">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17</w:t>
            </w:r>
          </w:p>
        </w:tc>
        <w:tc>
          <w:tcPr>
            <w:tcW w:w="2837" w:type="dxa"/>
            <w:shd w:val="clear" w:color="auto" w:fill="auto"/>
            <w:vAlign w:val="center"/>
          </w:tcPr>
          <w:p w14:paraId="601A612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0.44</w:t>
            </w:r>
          </w:p>
        </w:tc>
      </w:tr>
      <w:tr w14:paraId="17B8A49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25BE6F0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Stroke</w:t>
            </w:r>
          </w:p>
        </w:tc>
        <w:tc>
          <w:tcPr>
            <w:tcW w:w="2837" w:type="dxa"/>
            <w:shd w:val="clear" w:color="auto" w:fill="auto"/>
            <w:vAlign w:val="center"/>
          </w:tcPr>
          <w:p w14:paraId="3B708CA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11</w:t>
            </w:r>
          </w:p>
        </w:tc>
        <w:tc>
          <w:tcPr>
            <w:tcW w:w="2837" w:type="dxa"/>
            <w:shd w:val="clear" w:color="auto" w:fill="auto"/>
            <w:vAlign w:val="center"/>
          </w:tcPr>
          <w:p w14:paraId="74BA071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0.29</w:t>
            </w:r>
          </w:p>
        </w:tc>
      </w:tr>
      <w:tr w14:paraId="1B2689F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34A969D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White blood cell count</w:t>
            </w:r>
          </w:p>
        </w:tc>
        <w:tc>
          <w:tcPr>
            <w:tcW w:w="2837" w:type="dxa"/>
            <w:shd w:val="clear" w:color="auto" w:fill="auto"/>
            <w:vAlign w:val="center"/>
          </w:tcPr>
          <w:p w14:paraId="6CDFB84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75</w:t>
            </w:r>
          </w:p>
        </w:tc>
        <w:tc>
          <w:tcPr>
            <w:tcW w:w="2837" w:type="dxa"/>
            <w:shd w:val="clear" w:color="auto" w:fill="auto"/>
            <w:vAlign w:val="center"/>
          </w:tcPr>
          <w:p w14:paraId="136EF94F">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1.95</w:t>
            </w:r>
          </w:p>
        </w:tc>
      </w:tr>
      <w:tr w14:paraId="1101380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3B88C04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Platelet count</w:t>
            </w:r>
          </w:p>
        </w:tc>
        <w:tc>
          <w:tcPr>
            <w:tcW w:w="2837" w:type="dxa"/>
            <w:shd w:val="clear" w:color="auto" w:fill="auto"/>
            <w:vAlign w:val="center"/>
          </w:tcPr>
          <w:p w14:paraId="6031F40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74</w:t>
            </w:r>
          </w:p>
        </w:tc>
        <w:tc>
          <w:tcPr>
            <w:tcW w:w="2837" w:type="dxa"/>
            <w:shd w:val="clear" w:color="auto" w:fill="auto"/>
            <w:vAlign w:val="center"/>
          </w:tcPr>
          <w:p w14:paraId="1C699046">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1.92</w:t>
            </w:r>
          </w:p>
        </w:tc>
      </w:tr>
      <w:tr w14:paraId="00F921F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30085A4A">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Mean corpuscular volume</w:t>
            </w:r>
          </w:p>
        </w:tc>
        <w:tc>
          <w:tcPr>
            <w:tcW w:w="2837" w:type="dxa"/>
            <w:shd w:val="clear" w:color="auto" w:fill="auto"/>
            <w:vAlign w:val="center"/>
          </w:tcPr>
          <w:p w14:paraId="0E54D0E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73</w:t>
            </w:r>
          </w:p>
        </w:tc>
        <w:tc>
          <w:tcPr>
            <w:tcW w:w="2837" w:type="dxa"/>
            <w:shd w:val="clear" w:color="auto" w:fill="auto"/>
            <w:vAlign w:val="center"/>
          </w:tcPr>
          <w:p w14:paraId="4FE5780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bidi="ar-SA"/>
              </w:rPr>
            </w:pPr>
            <w:r>
              <w:rPr>
                <w:rFonts w:hint="default" w:ascii="Times New Roman" w:hAnsi="Times New Roman" w:cs="Times New Roman" w:eastAsiaTheme="minorEastAsia"/>
                <w:sz w:val="24"/>
                <w:szCs w:val="24"/>
                <w:highlight w:val="none"/>
              </w:rPr>
              <w:t>1.90</w:t>
            </w:r>
          </w:p>
        </w:tc>
      </w:tr>
      <w:tr w14:paraId="38E975E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5171702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LDL-C, mg/dL</w:t>
            </w:r>
          </w:p>
        </w:tc>
        <w:tc>
          <w:tcPr>
            <w:tcW w:w="2837" w:type="dxa"/>
            <w:shd w:val="clear" w:color="auto" w:fill="auto"/>
            <w:vAlign w:val="center"/>
          </w:tcPr>
          <w:p w14:paraId="4BAD52EA">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3</w:t>
            </w:r>
          </w:p>
        </w:tc>
        <w:tc>
          <w:tcPr>
            <w:tcW w:w="2837" w:type="dxa"/>
            <w:shd w:val="clear" w:color="auto" w:fill="auto"/>
            <w:vAlign w:val="center"/>
          </w:tcPr>
          <w:p w14:paraId="4F374DD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0.08</w:t>
            </w:r>
          </w:p>
        </w:tc>
      </w:tr>
      <w:tr w14:paraId="5E0E11D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11AA516A">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Creatinine</w:t>
            </w:r>
          </w:p>
        </w:tc>
        <w:tc>
          <w:tcPr>
            <w:tcW w:w="2837" w:type="dxa"/>
            <w:shd w:val="clear" w:color="auto" w:fill="auto"/>
            <w:vAlign w:val="center"/>
          </w:tcPr>
          <w:p w14:paraId="7B36FA26">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1</w:t>
            </w:r>
          </w:p>
        </w:tc>
        <w:tc>
          <w:tcPr>
            <w:tcW w:w="2837" w:type="dxa"/>
            <w:shd w:val="clear" w:color="auto" w:fill="auto"/>
            <w:vAlign w:val="center"/>
          </w:tcPr>
          <w:p w14:paraId="67B7BA9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0.03</w:t>
            </w:r>
          </w:p>
        </w:tc>
      </w:tr>
      <w:tr w14:paraId="7BE68A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306A1D8E">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BUN</w:t>
            </w:r>
          </w:p>
        </w:tc>
        <w:tc>
          <w:tcPr>
            <w:tcW w:w="2837" w:type="dxa"/>
            <w:shd w:val="clear" w:color="auto" w:fill="auto"/>
            <w:vAlign w:val="center"/>
          </w:tcPr>
          <w:p w14:paraId="55C73167">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5884FB1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0.00</w:t>
            </w:r>
          </w:p>
        </w:tc>
      </w:tr>
      <w:tr w14:paraId="3DABDD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729AAFC5">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CRP</w:t>
            </w:r>
          </w:p>
        </w:tc>
        <w:tc>
          <w:tcPr>
            <w:tcW w:w="2837" w:type="dxa"/>
            <w:shd w:val="clear" w:color="auto" w:fill="auto"/>
            <w:vAlign w:val="center"/>
          </w:tcPr>
          <w:p w14:paraId="511AE087">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39ED6A72">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0.00</w:t>
            </w:r>
          </w:p>
        </w:tc>
      </w:tr>
      <w:tr w14:paraId="71CEBC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8" w:type="dxa"/>
            <w:shd w:val="clear" w:color="auto" w:fill="auto"/>
            <w:vAlign w:val="center"/>
          </w:tcPr>
          <w:p w14:paraId="74353A77">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HDL-C, mg/dL</w:t>
            </w:r>
          </w:p>
        </w:tc>
        <w:tc>
          <w:tcPr>
            <w:tcW w:w="2837" w:type="dxa"/>
            <w:shd w:val="clear" w:color="auto" w:fill="auto"/>
            <w:vAlign w:val="center"/>
          </w:tcPr>
          <w:p w14:paraId="372D6C1D">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w:t>
            </w:r>
          </w:p>
        </w:tc>
        <w:tc>
          <w:tcPr>
            <w:tcW w:w="2837" w:type="dxa"/>
            <w:shd w:val="clear" w:color="auto" w:fill="auto"/>
            <w:vAlign w:val="center"/>
          </w:tcPr>
          <w:p w14:paraId="5876DF1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0.00</w:t>
            </w:r>
          </w:p>
        </w:tc>
      </w:tr>
      <w:tr w14:paraId="556B1F8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auto"/>
            <w:vAlign w:val="center"/>
          </w:tcPr>
          <w:p w14:paraId="218B6877">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TC, mg/dL</w:t>
            </w:r>
          </w:p>
        </w:tc>
        <w:tc>
          <w:tcPr>
            <w:tcW w:w="0" w:type="auto"/>
            <w:shd w:val="clear" w:color="auto" w:fill="auto"/>
            <w:vAlign w:val="center"/>
          </w:tcPr>
          <w:p w14:paraId="3FDFC1D7">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w:t>
            </w:r>
          </w:p>
        </w:tc>
        <w:tc>
          <w:tcPr>
            <w:tcW w:w="0" w:type="auto"/>
            <w:shd w:val="clear" w:color="auto" w:fill="auto"/>
            <w:vAlign w:val="center"/>
          </w:tcPr>
          <w:p w14:paraId="2F0D4D7E">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val="en-AU" w:eastAsia="en-US"/>
              </w:rPr>
            </w:pPr>
            <w:r>
              <w:rPr>
                <w:rFonts w:hint="default" w:ascii="Times New Roman" w:hAnsi="Times New Roman" w:cs="Times New Roman" w:eastAsiaTheme="minorEastAsia"/>
                <w:sz w:val="24"/>
                <w:szCs w:val="24"/>
                <w:highlight w:val="none"/>
              </w:rPr>
              <w:t>0.00</w:t>
            </w:r>
          </w:p>
        </w:tc>
      </w:tr>
    </w:tbl>
    <w:p w14:paraId="093CA748">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p>
    <w:p w14:paraId="6BFAE531">
      <w:pPr>
        <w:pageBreakBefore w:val="0"/>
        <w:widowControl/>
        <w:kinsoku/>
        <w:wordWrap/>
        <w:overflowPunct/>
        <w:topLinePunct w:val="0"/>
        <w:bidi w:val="0"/>
        <w:spacing w:line="360" w:lineRule="auto"/>
        <w:jc w:val="both"/>
        <w:rPr>
          <w:rFonts w:hint="default" w:ascii="Times New Roman" w:hAnsi="Times New Roman" w:eastAsia="等线" w:cs="Times New Roman"/>
          <w:sz w:val="24"/>
          <w:szCs w:val="24"/>
          <w:highlight w:val="none"/>
        </w:rPr>
      </w:pPr>
    </w:p>
    <w:p w14:paraId="21067FC5">
      <w:pPr>
        <w:pStyle w:val="2"/>
        <w:pageBreakBefore w:val="0"/>
        <w:widowControl/>
        <w:kinsoku/>
        <w:wordWrap/>
        <w:overflowPunct/>
        <w:topLinePunct w:val="0"/>
        <w:bidi w:val="0"/>
        <w:spacing w:line="360" w:lineRule="auto"/>
        <w:jc w:val="both"/>
        <w:rPr>
          <w:rFonts w:hint="default" w:ascii="Times New Roman" w:hAnsi="Times New Roman" w:cs="Times New Roman" w:eastAsiaTheme="minorEastAsia"/>
          <w:b/>
          <w:bCs/>
          <w:color w:val="auto"/>
          <w:kern w:val="2"/>
          <w:sz w:val="24"/>
          <w:szCs w:val="24"/>
          <w:highlight w:val="none"/>
          <w:lang w:val="en-US" w:eastAsia="zh-CN" w:bidi="ar-SA"/>
          <w14:ligatures w14:val="standardContextual"/>
        </w:rPr>
      </w:pPr>
      <w:r>
        <w:rPr>
          <w:rFonts w:hint="default" w:ascii="Times New Roman" w:hAnsi="Times New Roman" w:cs="Times New Roman" w:eastAsiaTheme="minorEastAsia"/>
          <w:b/>
          <w:bCs/>
          <w:color w:val="auto"/>
          <w:kern w:val="2"/>
          <w:sz w:val="24"/>
          <w:szCs w:val="24"/>
          <w:highlight w:val="none"/>
          <w:lang w:val="en-US" w:eastAsia="zh-CN" w:bidi="ar-SA"/>
          <w14:ligatures w14:val="standardContextual"/>
        </w:rPr>
        <w:t>Supplementary Table S3. Baseline characteristics of study participants stratified by hypertension status.</w:t>
      </w:r>
    </w:p>
    <w:tbl>
      <w:tblPr>
        <w:tblStyle w:val="8"/>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77"/>
        <w:gridCol w:w="3003"/>
        <w:gridCol w:w="3003"/>
        <w:gridCol w:w="3003"/>
        <w:gridCol w:w="1198"/>
      </w:tblGrid>
      <w:tr w14:paraId="68F205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58" w:type="pct"/>
            <w:tcBorders>
              <w:bottom w:val="single" w:color="auto" w:sz="4" w:space="0"/>
            </w:tcBorders>
            <w:vAlign w:val="center"/>
          </w:tcPr>
          <w:p w14:paraId="6FB3214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bCs/>
                <w:i w:val="0"/>
                <w:strike w:val="0"/>
                <w:color w:val="000000"/>
                <w:sz w:val="24"/>
                <w:szCs w:val="24"/>
                <w:highlight w:val="none"/>
                <w:u w:val="none"/>
              </w:rPr>
            </w:pPr>
            <w:r>
              <w:rPr>
                <w:rFonts w:hint="default" w:ascii="Times New Roman" w:hAnsi="Times New Roman" w:eastAsia="Arial" w:cs="Times New Roman"/>
                <w:b/>
                <w:bCs/>
                <w:i w:val="0"/>
                <w:strike w:val="0"/>
                <w:color w:val="000000"/>
                <w:sz w:val="24"/>
                <w:szCs w:val="24"/>
                <w:highlight w:val="none"/>
                <w:u w:val="none"/>
              </w:rPr>
              <w:t>Characteristics</w:t>
            </w:r>
          </w:p>
        </w:tc>
        <w:tc>
          <w:tcPr>
            <w:tcW w:w="1130" w:type="pct"/>
            <w:tcBorders>
              <w:bottom w:val="single" w:color="auto" w:sz="4" w:space="0"/>
            </w:tcBorders>
            <w:vAlign w:val="center"/>
          </w:tcPr>
          <w:p w14:paraId="5B719E8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bCs/>
                <w:i w:val="0"/>
                <w:strike w:val="0"/>
                <w:color w:val="000000"/>
                <w:sz w:val="24"/>
                <w:szCs w:val="24"/>
                <w:highlight w:val="none"/>
                <w:u w:val="none"/>
              </w:rPr>
            </w:pPr>
            <w:r>
              <w:rPr>
                <w:rFonts w:hint="default" w:ascii="Times New Roman" w:hAnsi="Times New Roman" w:eastAsia="Arial" w:cs="Times New Roman"/>
                <w:b/>
                <w:bCs/>
                <w:i w:val="0"/>
                <w:strike w:val="0"/>
                <w:color w:val="000000"/>
                <w:sz w:val="24"/>
                <w:szCs w:val="24"/>
                <w:highlight w:val="none"/>
                <w:u w:val="none"/>
              </w:rPr>
              <w:t>Total (N=3</w:t>
            </w:r>
            <w:r>
              <w:rPr>
                <w:rFonts w:hint="default" w:ascii="Times New Roman" w:hAnsi="Times New Roman" w:eastAsia="宋体" w:cs="Times New Roman"/>
                <w:b/>
                <w:bCs/>
                <w:i w:val="0"/>
                <w:strike w:val="0"/>
                <w:color w:val="000000"/>
                <w:sz w:val="24"/>
                <w:szCs w:val="24"/>
                <w:highlight w:val="none"/>
                <w:u w:val="none"/>
                <w:lang w:val="en-US" w:eastAsia="zh-CN"/>
              </w:rPr>
              <w:t>,</w:t>
            </w:r>
            <w:r>
              <w:rPr>
                <w:rFonts w:hint="default" w:ascii="Times New Roman" w:hAnsi="Times New Roman" w:eastAsia="Arial" w:cs="Times New Roman"/>
                <w:b/>
                <w:bCs/>
                <w:i w:val="0"/>
                <w:strike w:val="0"/>
                <w:color w:val="000000"/>
                <w:sz w:val="24"/>
                <w:szCs w:val="24"/>
                <w:highlight w:val="none"/>
                <w:u w:val="none"/>
              </w:rPr>
              <w:t>846)</w:t>
            </w:r>
          </w:p>
        </w:tc>
        <w:tc>
          <w:tcPr>
            <w:tcW w:w="1130" w:type="pct"/>
            <w:tcBorders>
              <w:bottom w:val="single" w:color="auto" w:sz="4" w:space="0"/>
            </w:tcBorders>
            <w:vAlign w:val="center"/>
          </w:tcPr>
          <w:p w14:paraId="422FFDF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bCs/>
                <w:i w:val="0"/>
                <w:strike w:val="0"/>
                <w:color w:val="000000"/>
                <w:sz w:val="24"/>
                <w:szCs w:val="24"/>
                <w:highlight w:val="none"/>
                <w:u w:val="none"/>
              </w:rPr>
            </w:pPr>
            <w:r>
              <w:rPr>
                <w:rFonts w:hint="default" w:ascii="Times New Roman" w:hAnsi="Times New Roman" w:eastAsia="Arial" w:cs="Times New Roman"/>
                <w:b/>
                <w:bCs/>
                <w:i w:val="0"/>
                <w:strike w:val="0"/>
                <w:color w:val="000000"/>
                <w:sz w:val="24"/>
                <w:szCs w:val="24"/>
                <w:highlight w:val="none"/>
                <w:u w:val="none"/>
              </w:rPr>
              <w:t>Non-HTN (n=2</w:t>
            </w:r>
            <w:r>
              <w:rPr>
                <w:rFonts w:hint="default" w:ascii="Times New Roman" w:hAnsi="Times New Roman" w:eastAsia="宋体" w:cs="Times New Roman"/>
                <w:b/>
                <w:bCs/>
                <w:i w:val="0"/>
                <w:strike w:val="0"/>
                <w:color w:val="000000"/>
                <w:sz w:val="24"/>
                <w:szCs w:val="24"/>
                <w:highlight w:val="none"/>
                <w:u w:val="none"/>
                <w:lang w:val="en-US" w:eastAsia="zh-CN"/>
              </w:rPr>
              <w:t>,</w:t>
            </w:r>
            <w:r>
              <w:rPr>
                <w:rFonts w:hint="default" w:ascii="Times New Roman" w:hAnsi="Times New Roman" w:eastAsia="Arial" w:cs="Times New Roman"/>
                <w:b/>
                <w:bCs/>
                <w:i w:val="0"/>
                <w:strike w:val="0"/>
                <w:color w:val="000000"/>
                <w:sz w:val="24"/>
                <w:szCs w:val="24"/>
                <w:highlight w:val="none"/>
                <w:u w:val="none"/>
              </w:rPr>
              <w:t>864)</w:t>
            </w:r>
          </w:p>
        </w:tc>
        <w:tc>
          <w:tcPr>
            <w:tcW w:w="1130" w:type="pct"/>
            <w:tcBorders>
              <w:bottom w:val="single" w:color="auto" w:sz="4" w:space="0"/>
            </w:tcBorders>
            <w:vAlign w:val="center"/>
          </w:tcPr>
          <w:p w14:paraId="2E7384D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bCs/>
                <w:i w:val="0"/>
                <w:strike w:val="0"/>
                <w:color w:val="000000"/>
                <w:sz w:val="24"/>
                <w:szCs w:val="24"/>
                <w:highlight w:val="none"/>
                <w:u w:val="none"/>
              </w:rPr>
            </w:pPr>
            <w:r>
              <w:rPr>
                <w:rFonts w:hint="default" w:ascii="Times New Roman" w:hAnsi="Times New Roman" w:eastAsia="Arial" w:cs="Times New Roman"/>
                <w:b/>
                <w:bCs/>
                <w:i w:val="0"/>
                <w:strike w:val="0"/>
                <w:color w:val="000000"/>
                <w:sz w:val="24"/>
                <w:szCs w:val="24"/>
                <w:highlight w:val="none"/>
                <w:u w:val="none"/>
              </w:rPr>
              <w:t>HTN (n=982)</w:t>
            </w:r>
          </w:p>
        </w:tc>
        <w:tc>
          <w:tcPr>
            <w:tcW w:w="451" w:type="pct"/>
            <w:tcBorders>
              <w:bottom w:val="single" w:color="auto" w:sz="4" w:space="0"/>
            </w:tcBorders>
            <w:vAlign w:val="center"/>
          </w:tcPr>
          <w:p w14:paraId="16DBF6D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bCs/>
                <w:i w:val="0"/>
                <w:strike w:val="0"/>
                <w:color w:val="000000"/>
                <w:sz w:val="24"/>
                <w:szCs w:val="24"/>
                <w:highlight w:val="none"/>
                <w:u w:val="none"/>
              </w:rPr>
            </w:pPr>
            <w:r>
              <w:rPr>
                <w:rFonts w:hint="default" w:ascii="Times New Roman" w:hAnsi="Times New Roman" w:eastAsia="Arial" w:cs="Times New Roman"/>
                <w:b/>
                <w:bCs/>
                <w:i w:val="0"/>
                <w:strike w:val="0"/>
                <w:color w:val="000000"/>
                <w:sz w:val="24"/>
                <w:szCs w:val="24"/>
                <w:highlight w:val="none"/>
                <w:u w:val="none"/>
              </w:rPr>
              <w:t>P-value</w:t>
            </w:r>
          </w:p>
        </w:tc>
      </w:tr>
      <w:tr w14:paraId="112C63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tcBorders>
              <w:top w:val="single" w:color="auto" w:sz="4" w:space="0"/>
            </w:tcBorders>
            <w:vAlign w:val="center"/>
          </w:tcPr>
          <w:p w14:paraId="70A11EA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Age, years</w:t>
            </w:r>
          </w:p>
        </w:tc>
        <w:tc>
          <w:tcPr>
            <w:tcW w:w="1130" w:type="pct"/>
            <w:tcBorders>
              <w:top w:val="single" w:color="auto" w:sz="4" w:space="0"/>
            </w:tcBorders>
            <w:vAlign w:val="center"/>
          </w:tcPr>
          <w:p w14:paraId="79DBC20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57.84 ± 8.12</w:t>
            </w:r>
          </w:p>
        </w:tc>
        <w:tc>
          <w:tcPr>
            <w:tcW w:w="1130" w:type="pct"/>
            <w:tcBorders>
              <w:top w:val="single" w:color="auto" w:sz="4" w:space="0"/>
            </w:tcBorders>
            <w:vAlign w:val="center"/>
          </w:tcPr>
          <w:p w14:paraId="6588CB1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57.42 ± 8.03</w:t>
            </w:r>
          </w:p>
        </w:tc>
        <w:tc>
          <w:tcPr>
            <w:tcW w:w="1130" w:type="pct"/>
            <w:tcBorders>
              <w:top w:val="single" w:color="auto" w:sz="4" w:space="0"/>
            </w:tcBorders>
            <w:vAlign w:val="center"/>
          </w:tcPr>
          <w:p w14:paraId="7CC3CAF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59.07 ± 8.27</w:t>
            </w:r>
          </w:p>
        </w:tc>
        <w:tc>
          <w:tcPr>
            <w:tcW w:w="451" w:type="pct"/>
            <w:tcBorders>
              <w:top w:val="single" w:color="auto" w:sz="4" w:space="0"/>
            </w:tcBorders>
            <w:vAlign w:val="center"/>
          </w:tcPr>
          <w:p w14:paraId="71DFFA0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0DAC54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3A7802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Sex,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46EDA63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1ACC278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243F1E3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1C17081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0.610</w:t>
            </w:r>
          </w:p>
        </w:tc>
      </w:tr>
      <w:tr w14:paraId="5ACC33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2F8A2E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Female</w:t>
            </w:r>
          </w:p>
        </w:tc>
        <w:tc>
          <w:tcPr>
            <w:tcW w:w="1130" w:type="pct"/>
            <w:vAlign w:val="center"/>
          </w:tcPr>
          <w:p w14:paraId="033E882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086 (54.2%)</w:t>
            </w:r>
          </w:p>
        </w:tc>
        <w:tc>
          <w:tcPr>
            <w:tcW w:w="1130" w:type="pct"/>
            <w:vAlign w:val="center"/>
          </w:tcPr>
          <w:p w14:paraId="0839C9C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546 (54.0%)</w:t>
            </w:r>
          </w:p>
        </w:tc>
        <w:tc>
          <w:tcPr>
            <w:tcW w:w="1130" w:type="pct"/>
            <w:vAlign w:val="center"/>
          </w:tcPr>
          <w:p w14:paraId="46857E2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540 (55.0%)</w:t>
            </w:r>
          </w:p>
        </w:tc>
        <w:tc>
          <w:tcPr>
            <w:tcW w:w="451" w:type="pct"/>
            <w:vAlign w:val="center"/>
          </w:tcPr>
          <w:p w14:paraId="0235230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69C726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CB5B54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Male</w:t>
            </w:r>
          </w:p>
        </w:tc>
        <w:tc>
          <w:tcPr>
            <w:tcW w:w="1130" w:type="pct"/>
            <w:vAlign w:val="center"/>
          </w:tcPr>
          <w:p w14:paraId="2C2C917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760 (45.8%)</w:t>
            </w:r>
          </w:p>
        </w:tc>
        <w:tc>
          <w:tcPr>
            <w:tcW w:w="1130" w:type="pct"/>
            <w:vAlign w:val="center"/>
          </w:tcPr>
          <w:p w14:paraId="3E2F718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318 (46.0%)</w:t>
            </w:r>
          </w:p>
        </w:tc>
        <w:tc>
          <w:tcPr>
            <w:tcW w:w="1130" w:type="pct"/>
            <w:vAlign w:val="center"/>
          </w:tcPr>
          <w:p w14:paraId="3801153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442 (45.0%)</w:t>
            </w:r>
          </w:p>
        </w:tc>
        <w:tc>
          <w:tcPr>
            <w:tcW w:w="451" w:type="pct"/>
            <w:vAlign w:val="center"/>
          </w:tcPr>
          <w:p w14:paraId="6F39184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496A6B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53827F9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Education,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0335CB1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7606A6C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7EBA225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4FA10FB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00F2A1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02E504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 formal education</w:t>
            </w:r>
          </w:p>
        </w:tc>
        <w:tc>
          <w:tcPr>
            <w:tcW w:w="1130" w:type="pct"/>
            <w:vAlign w:val="center"/>
          </w:tcPr>
          <w:p w14:paraId="0652447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916 (49.8%)</w:t>
            </w:r>
          </w:p>
        </w:tc>
        <w:tc>
          <w:tcPr>
            <w:tcW w:w="1130" w:type="pct"/>
            <w:vAlign w:val="center"/>
          </w:tcPr>
          <w:p w14:paraId="25D4F1C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367 (47.7%)</w:t>
            </w:r>
          </w:p>
        </w:tc>
        <w:tc>
          <w:tcPr>
            <w:tcW w:w="1130" w:type="pct"/>
            <w:vAlign w:val="center"/>
          </w:tcPr>
          <w:p w14:paraId="0D082E9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549 (55.9%)</w:t>
            </w:r>
          </w:p>
        </w:tc>
        <w:tc>
          <w:tcPr>
            <w:tcW w:w="451" w:type="pct"/>
            <w:vAlign w:val="center"/>
          </w:tcPr>
          <w:p w14:paraId="07565E4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7B7CFD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8C601D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Primary school</w:t>
            </w:r>
          </w:p>
        </w:tc>
        <w:tc>
          <w:tcPr>
            <w:tcW w:w="1130" w:type="pct"/>
            <w:vAlign w:val="center"/>
          </w:tcPr>
          <w:p w14:paraId="6769A20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815 (21.2%)</w:t>
            </w:r>
          </w:p>
        </w:tc>
        <w:tc>
          <w:tcPr>
            <w:tcW w:w="1130" w:type="pct"/>
            <w:vAlign w:val="center"/>
          </w:tcPr>
          <w:p w14:paraId="31ACB99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606 (21.2%)</w:t>
            </w:r>
          </w:p>
        </w:tc>
        <w:tc>
          <w:tcPr>
            <w:tcW w:w="1130" w:type="pct"/>
            <w:vAlign w:val="center"/>
          </w:tcPr>
          <w:p w14:paraId="263C37E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209 (21.3%)</w:t>
            </w:r>
          </w:p>
        </w:tc>
        <w:tc>
          <w:tcPr>
            <w:tcW w:w="451" w:type="pct"/>
            <w:vAlign w:val="center"/>
          </w:tcPr>
          <w:p w14:paraId="02BDCBA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67F619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2298BA2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Middle school</w:t>
            </w:r>
          </w:p>
        </w:tc>
        <w:tc>
          <w:tcPr>
            <w:tcW w:w="1130" w:type="pct"/>
            <w:vAlign w:val="center"/>
          </w:tcPr>
          <w:p w14:paraId="233A005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748 (19.4%)</w:t>
            </w:r>
          </w:p>
        </w:tc>
        <w:tc>
          <w:tcPr>
            <w:tcW w:w="1130" w:type="pct"/>
            <w:vAlign w:val="center"/>
          </w:tcPr>
          <w:p w14:paraId="442E195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595 (20.8%)</w:t>
            </w:r>
          </w:p>
        </w:tc>
        <w:tc>
          <w:tcPr>
            <w:tcW w:w="1130" w:type="pct"/>
            <w:vAlign w:val="center"/>
          </w:tcPr>
          <w:p w14:paraId="3A7CC71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153 (15.6%)</w:t>
            </w:r>
          </w:p>
        </w:tc>
        <w:tc>
          <w:tcPr>
            <w:tcW w:w="451" w:type="pct"/>
            <w:vAlign w:val="center"/>
          </w:tcPr>
          <w:p w14:paraId="2F88D13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4AF15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50E983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High school or above</w:t>
            </w:r>
          </w:p>
        </w:tc>
        <w:tc>
          <w:tcPr>
            <w:tcW w:w="1130" w:type="pct"/>
            <w:vAlign w:val="center"/>
          </w:tcPr>
          <w:p w14:paraId="4A7B98A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367 (9.5%)</w:t>
            </w:r>
          </w:p>
        </w:tc>
        <w:tc>
          <w:tcPr>
            <w:tcW w:w="1130" w:type="pct"/>
            <w:vAlign w:val="center"/>
          </w:tcPr>
          <w:p w14:paraId="426CD24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296 (10.3%)</w:t>
            </w:r>
          </w:p>
        </w:tc>
        <w:tc>
          <w:tcPr>
            <w:tcW w:w="1130" w:type="pct"/>
            <w:vAlign w:val="center"/>
          </w:tcPr>
          <w:p w14:paraId="556354B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71 (7.2%)</w:t>
            </w:r>
          </w:p>
        </w:tc>
        <w:tc>
          <w:tcPr>
            <w:tcW w:w="451" w:type="pct"/>
            <w:vAlign w:val="center"/>
          </w:tcPr>
          <w:p w14:paraId="1F59B35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072359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0442A5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Marital status,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2DEB4BE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59DDD72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6141E9C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263BA5A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0.287</w:t>
            </w:r>
          </w:p>
        </w:tc>
      </w:tr>
      <w:tr w14:paraId="0AF5C2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C1C434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Other</w:t>
            </w:r>
          </w:p>
        </w:tc>
        <w:tc>
          <w:tcPr>
            <w:tcW w:w="1130" w:type="pct"/>
            <w:vAlign w:val="center"/>
          </w:tcPr>
          <w:p w14:paraId="6FA4C08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493 (12.8%)</w:t>
            </w:r>
          </w:p>
        </w:tc>
        <w:tc>
          <w:tcPr>
            <w:tcW w:w="1130" w:type="pct"/>
            <w:vAlign w:val="center"/>
          </w:tcPr>
          <w:p w14:paraId="1BC6C02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357 (12.5%)</w:t>
            </w:r>
          </w:p>
        </w:tc>
        <w:tc>
          <w:tcPr>
            <w:tcW w:w="1130" w:type="pct"/>
            <w:vAlign w:val="center"/>
          </w:tcPr>
          <w:p w14:paraId="428ECE2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136 (13.8%)</w:t>
            </w:r>
          </w:p>
        </w:tc>
        <w:tc>
          <w:tcPr>
            <w:tcW w:w="451" w:type="pct"/>
            <w:vAlign w:val="center"/>
          </w:tcPr>
          <w:p w14:paraId="7AD3128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7612C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315576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Married</w:t>
            </w:r>
          </w:p>
        </w:tc>
        <w:tc>
          <w:tcPr>
            <w:tcW w:w="1130" w:type="pct"/>
            <w:vAlign w:val="center"/>
          </w:tcPr>
          <w:p w14:paraId="14BAF4D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353 (87.2%)</w:t>
            </w:r>
          </w:p>
        </w:tc>
        <w:tc>
          <w:tcPr>
            <w:tcW w:w="1130" w:type="pct"/>
            <w:vAlign w:val="center"/>
          </w:tcPr>
          <w:p w14:paraId="3EC4361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507 (87.5%)</w:t>
            </w:r>
          </w:p>
        </w:tc>
        <w:tc>
          <w:tcPr>
            <w:tcW w:w="1130" w:type="pct"/>
            <w:vAlign w:val="center"/>
          </w:tcPr>
          <w:p w14:paraId="613DC9C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846 (86.2%)</w:t>
            </w:r>
          </w:p>
        </w:tc>
        <w:tc>
          <w:tcPr>
            <w:tcW w:w="451" w:type="pct"/>
            <w:vAlign w:val="center"/>
          </w:tcPr>
          <w:p w14:paraId="2F41097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36EFD6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4CC04B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Residence,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5E05C10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27429DA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20911DE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08A4FBA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0.013</w:t>
            </w:r>
          </w:p>
        </w:tc>
      </w:tr>
      <w:tr w14:paraId="6A4E3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033B4D9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Urban</w:t>
            </w:r>
          </w:p>
        </w:tc>
        <w:tc>
          <w:tcPr>
            <w:tcW w:w="1130" w:type="pct"/>
            <w:vAlign w:val="center"/>
          </w:tcPr>
          <w:p w14:paraId="4FD9DF2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265 (32.9%)</w:t>
            </w:r>
          </w:p>
        </w:tc>
        <w:tc>
          <w:tcPr>
            <w:tcW w:w="1130" w:type="pct"/>
            <w:vAlign w:val="center"/>
          </w:tcPr>
          <w:p w14:paraId="6F3586F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974 (34.0%)</w:t>
            </w:r>
          </w:p>
        </w:tc>
        <w:tc>
          <w:tcPr>
            <w:tcW w:w="1130" w:type="pct"/>
            <w:vAlign w:val="center"/>
          </w:tcPr>
          <w:p w14:paraId="6D6DB0C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291 (29.6%)</w:t>
            </w:r>
          </w:p>
        </w:tc>
        <w:tc>
          <w:tcPr>
            <w:tcW w:w="451" w:type="pct"/>
            <w:vAlign w:val="center"/>
          </w:tcPr>
          <w:p w14:paraId="536FB27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369919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27F6BF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Rural</w:t>
            </w:r>
          </w:p>
        </w:tc>
        <w:tc>
          <w:tcPr>
            <w:tcW w:w="1130" w:type="pct"/>
            <w:vAlign w:val="center"/>
          </w:tcPr>
          <w:p w14:paraId="1F495A7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581 (67.1%)</w:t>
            </w:r>
          </w:p>
        </w:tc>
        <w:tc>
          <w:tcPr>
            <w:tcW w:w="1130" w:type="pct"/>
            <w:vAlign w:val="center"/>
          </w:tcPr>
          <w:p w14:paraId="378A19D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1890 (66.0%)</w:t>
            </w:r>
          </w:p>
        </w:tc>
        <w:tc>
          <w:tcPr>
            <w:tcW w:w="1130" w:type="pct"/>
            <w:vAlign w:val="center"/>
          </w:tcPr>
          <w:p w14:paraId="73ED743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691 (70.4%)</w:t>
            </w:r>
          </w:p>
        </w:tc>
        <w:tc>
          <w:tcPr>
            <w:tcW w:w="451" w:type="pct"/>
            <w:vAlign w:val="center"/>
          </w:tcPr>
          <w:p w14:paraId="713FB78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10C4A7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4527F7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BMI, kg/m2</w:t>
            </w:r>
          </w:p>
        </w:tc>
        <w:tc>
          <w:tcPr>
            <w:tcW w:w="1130" w:type="pct"/>
            <w:vAlign w:val="center"/>
          </w:tcPr>
          <w:p w14:paraId="3DF90BC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22.62 (20.57-24.91)</w:t>
            </w:r>
          </w:p>
        </w:tc>
        <w:tc>
          <w:tcPr>
            <w:tcW w:w="1130" w:type="pct"/>
            <w:vAlign w:val="center"/>
          </w:tcPr>
          <w:p w14:paraId="39794D6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22.38 (20.37-24.63)</w:t>
            </w:r>
          </w:p>
        </w:tc>
        <w:tc>
          <w:tcPr>
            <w:tcW w:w="1130" w:type="pct"/>
            <w:vAlign w:val="center"/>
          </w:tcPr>
          <w:p w14:paraId="0315053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23.19 (21.38-25.86)</w:t>
            </w:r>
          </w:p>
        </w:tc>
        <w:tc>
          <w:tcPr>
            <w:tcW w:w="451" w:type="pct"/>
            <w:vAlign w:val="center"/>
          </w:tcPr>
          <w:p w14:paraId="36F3B54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45F488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2F26B75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SBP, mmHg</w:t>
            </w:r>
          </w:p>
        </w:tc>
        <w:tc>
          <w:tcPr>
            <w:tcW w:w="1130" w:type="pct"/>
            <w:vAlign w:val="center"/>
          </w:tcPr>
          <w:p w14:paraId="15FD54F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122.51 ± 16.58</w:t>
            </w:r>
          </w:p>
        </w:tc>
        <w:tc>
          <w:tcPr>
            <w:tcW w:w="1130" w:type="pct"/>
            <w:vAlign w:val="center"/>
          </w:tcPr>
          <w:p w14:paraId="215097C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119.45 ± 14.88</w:t>
            </w:r>
          </w:p>
        </w:tc>
        <w:tc>
          <w:tcPr>
            <w:tcW w:w="1130" w:type="pct"/>
            <w:vAlign w:val="center"/>
          </w:tcPr>
          <w:p w14:paraId="78838FA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131.42 ± 18.04</w:t>
            </w:r>
          </w:p>
        </w:tc>
        <w:tc>
          <w:tcPr>
            <w:tcW w:w="451" w:type="pct"/>
            <w:vAlign w:val="center"/>
          </w:tcPr>
          <w:p w14:paraId="145560D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1FD29B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7EA8D8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DBP, mmHg</w:t>
            </w:r>
          </w:p>
        </w:tc>
        <w:tc>
          <w:tcPr>
            <w:tcW w:w="1130" w:type="pct"/>
            <w:vAlign w:val="center"/>
          </w:tcPr>
          <w:p w14:paraId="66C5CC0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72.36 ± 10.43</w:t>
            </w:r>
          </w:p>
        </w:tc>
        <w:tc>
          <w:tcPr>
            <w:tcW w:w="1130" w:type="pct"/>
            <w:vAlign w:val="center"/>
          </w:tcPr>
          <w:p w14:paraId="225794A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70.83 ± 9.77</w:t>
            </w:r>
          </w:p>
        </w:tc>
        <w:tc>
          <w:tcPr>
            <w:tcW w:w="1130" w:type="pct"/>
            <w:vAlign w:val="center"/>
          </w:tcPr>
          <w:p w14:paraId="025A929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76.82 ± 10.98</w:t>
            </w:r>
          </w:p>
        </w:tc>
        <w:tc>
          <w:tcPr>
            <w:tcW w:w="451" w:type="pct"/>
            <w:vAlign w:val="center"/>
          </w:tcPr>
          <w:p w14:paraId="10C2C31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4E7578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4F14E8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Current smoking,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7566A58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59D614B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33E7CF3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5FAC215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0.481</w:t>
            </w:r>
          </w:p>
        </w:tc>
      </w:tr>
      <w:tr w14:paraId="27A30A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2193304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3E55CF0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627 (68.3%)</w:t>
            </w:r>
          </w:p>
        </w:tc>
        <w:tc>
          <w:tcPr>
            <w:tcW w:w="1130" w:type="pct"/>
            <w:vAlign w:val="center"/>
          </w:tcPr>
          <w:p w14:paraId="313C055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966 (68.6%)</w:t>
            </w:r>
          </w:p>
        </w:tc>
        <w:tc>
          <w:tcPr>
            <w:tcW w:w="1130" w:type="pct"/>
            <w:vAlign w:val="center"/>
          </w:tcPr>
          <w:p w14:paraId="745A38A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661 (67.3%)</w:t>
            </w:r>
          </w:p>
        </w:tc>
        <w:tc>
          <w:tcPr>
            <w:tcW w:w="451" w:type="pct"/>
            <w:vAlign w:val="center"/>
          </w:tcPr>
          <w:p w14:paraId="66F9705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7DE3D0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5EB62D2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476E369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171 (30.4%)</w:t>
            </w:r>
          </w:p>
        </w:tc>
        <w:tc>
          <w:tcPr>
            <w:tcW w:w="1130" w:type="pct"/>
            <w:vAlign w:val="center"/>
          </w:tcPr>
          <w:p w14:paraId="6099D91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863 (30.1%)</w:t>
            </w:r>
          </w:p>
        </w:tc>
        <w:tc>
          <w:tcPr>
            <w:tcW w:w="1130" w:type="pct"/>
            <w:vAlign w:val="center"/>
          </w:tcPr>
          <w:p w14:paraId="5E00BEB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308 (31.4%)</w:t>
            </w:r>
          </w:p>
        </w:tc>
        <w:tc>
          <w:tcPr>
            <w:tcW w:w="451" w:type="pct"/>
            <w:vAlign w:val="center"/>
          </w:tcPr>
          <w:p w14:paraId="452B42E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5D4B29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589169B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Current drinking,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75E82B0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4EF2237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5791D12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2BC5E97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0.227</w:t>
            </w:r>
          </w:p>
        </w:tc>
      </w:tr>
      <w:tr w14:paraId="004A76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2993921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3FF8E6B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528 (65.7%)</w:t>
            </w:r>
          </w:p>
        </w:tc>
        <w:tc>
          <w:tcPr>
            <w:tcW w:w="1130" w:type="pct"/>
            <w:vAlign w:val="center"/>
          </w:tcPr>
          <w:p w14:paraId="047B135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899 (66.3%)</w:t>
            </w:r>
          </w:p>
        </w:tc>
        <w:tc>
          <w:tcPr>
            <w:tcW w:w="1130" w:type="pct"/>
            <w:vAlign w:val="center"/>
          </w:tcPr>
          <w:p w14:paraId="0275096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629 (64.1%)</w:t>
            </w:r>
          </w:p>
        </w:tc>
        <w:tc>
          <w:tcPr>
            <w:tcW w:w="451" w:type="pct"/>
            <w:vAlign w:val="center"/>
          </w:tcPr>
          <w:p w14:paraId="4C72317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5ABE38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7A96E9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15E442E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317 (34.2%)</w:t>
            </w:r>
          </w:p>
        </w:tc>
        <w:tc>
          <w:tcPr>
            <w:tcW w:w="1130" w:type="pct"/>
            <w:vAlign w:val="center"/>
          </w:tcPr>
          <w:p w14:paraId="003496A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965 (33.7%)</w:t>
            </w:r>
          </w:p>
        </w:tc>
        <w:tc>
          <w:tcPr>
            <w:tcW w:w="1130" w:type="pct"/>
            <w:vAlign w:val="center"/>
          </w:tcPr>
          <w:p w14:paraId="305797A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352 (35.8%)</w:t>
            </w:r>
          </w:p>
        </w:tc>
        <w:tc>
          <w:tcPr>
            <w:tcW w:w="451" w:type="pct"/>
            <w:vAlign w:val="center"/>
          </w:tcPr>
          <w:p w14:paraId="0A29BD0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2021A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5C4C0E2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FPG, mg/dL</w:t>
            </w:r>
          </w:p>
        </w:tc>
        <w:tc>
          <w:tcPr>
            <w:tcW w:w="1130" w:type="pct"/>
            <w:vAlign w:val="center"/>
          </w:tcPr>
          <w:p w14:paraId="79F9DD1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101.16 (93.78-110.16)</w:t>
            </w:r>
          </w:p>
        </w:tc>
        <w:tc>
          <w:tcPr>
            <w:tcW w:w="1130" w:type="pct"/>
            <w:vAlign w:val="center"/>
          </w:tcPr>
          <w:p w14:paraId="78F0298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100.62 (93.42-109.44)</w:t>
            </w:r>
          </w:p>
        </w:tc>
        <w:tc>
          <w:tcPr>
            <w:tcW w:w="1130" w:type="pct"/>
            <w:vAlign w:val="center"/>
          </w:tcPr>
          <w:p w14:paraId="2B61F51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102.51 (94.68-112.50)</w:t>
            </w:r>
          </w:p>
        </w:tc>
        <w:tc>
          <w:tcPr>
            <w:tcW w:w="451" w:type="pct"/>
            <w:vAlign w:val="center"/>
          </w:tcPr>
          <w:p w14:paraId="4D0376B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3C389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2D0B0F4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TG, mg/dL</w:t>
            </w:r>
          </w:p>
        </w:tc>
        <w:tc>
          <w:tcPr>
            <w:tcW w:w="1130" w:type="pct"/>
            <w:vAlign w:val="center"/>
          </w:tcPr>
          <w:p w14:paraId="7ED335C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99.12 (71.68-145.14)</w:t>
            </w:r>
          </w:p>
        </w:tc>
        <w:tc>
          <w:tcPr>
            <w:tcW w:w="1130" w:type="pct"/>
            <w:vAlign w:val="center"/>
          </w:tcPr>
          <w:p w14:paraId="4C92F06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96.46 (70.80-139.83)</w:t>
            </w:r>
          </w:p>
        </w:tc>
        <w:tc>
          <w:tcPr>
            <w:tcW w:w="1130" w:type="pct"/>
            <w:vAlign w:val="center"/>
          </w:tcPr>
          <w:p w14:paraId="0399ECE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108.86 (77.00-159.30)</w:t>
            </w:r>
          </w:p>
        </w:tc>
        <w:tc>
          <w:tcPr>
            <w:tcW w:w="451" w:type="pct"/>
            <w:vAlign w:val="center"/>
          </w:tcPr>
          <w:p w14:paraId="088549A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2FFB48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EB28C3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TC, mg/dL</w:t>
            </w:r>
          </w:p>
        </w:tc>
        <w:tc>
          <w:tcPr>
            <w:tcW w:w="1130" w:type="pct"/>
            <w:vAlign w:val="center"/>
          </w:tcPr>
          <w:p w14:paraId="37ED31E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191.43 ± 36.66</w:t>
            </w:r>
          </w:p>
        </w:tc>
        <w:tc>
          <w:tcPr>
            <w:tcW w:w="1130" w:type="pct"/>
            <w:vAlign w:val="center"/>
          </w:tcPr>
          <w:p w14:paraId="39C8CC1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190.19 ± 36.12</w:t>
            </w:r>
          </w:p>
        </w:tc>
        <w:tc>
          <w:tcPr>
            <w:tcW w:w="1130" w:type="pct"/>
            <w:vAlign w:val="center"/>
          </w:tcPr>
          <w:p w14:paraId="56B59A1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195.02 ± 37.96</w:t>
            </w:r>
          </w:p>
        </w:tc>
        <w:tc>
          <w:tcPr>
            <w:tcW w:w="451" w:type="pct"/>
            <w:vAlign w:val="center"/>
          </w:tcPr>
          <w:p w14:paraId="3F9698A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0D01C9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BCA9C5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HDL-C, mg/dL</w:t>
            </w:r>
          </w:p>
        </w:tc>
        <w:tc>
          <w:tcPr>
            <w:tcW w:w="1130" w:type="pct"/>
            <w:vAlign w:val="center"/>
          </w:tcPr>
          <w:p w14:paraId="2F8B018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52.18 ± 15.33</w:t>
            </w:r>
          </w:p>
        </w:tc>
        <w:tc>
          <w:tcPr>
            <w:tcW w:w="1130" w:type="pct"/>
            <w:vAlign w:val="center"/>
          </w:tcPr>
          <w:p w14:paraId="4D0E9D7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52.60 ± 15.18</w:t>
            </w:r>
          </w:p>
        </w:tc>
        <w:tc>
          <w:tcPr>
            <w:tcW w:w="1130" w:type="pct"/>
            <w:vAlign w:val="center"/>
          </w:tcPr>
          <w:p w14:paraId="3D140E3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50.94 ± 15.70</w:t>
            </w:r>
          </w:p>
        </w:tc>
        <w:tc>
          <w:tcPr>
            <w:tcW w:w="451" w:type="pct"/>
            <w:vAlign w:val="center"/>
          </w:tcPr>
          <w:p w14:paraId="2EFAEF4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0.004</w:t>
            </w:r>
          </w:p>
        </w:tc>
      </w:tr>
      <w:tr w14:paraId="66F118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8C447C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LDL-C, mg/dL</w:t>
            </w:r>
          </w:p>
        </w:tc>
        <w:tc>
          <w:tcPr>
            <w:tcW w:w="1130" w:type="pct"/>
            <w:vAlign w:val="center"/>
          </w:tcPr>
          <w:p w14:paraId="4417423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115.35 ± 33.31</w:t>
            </w:r>
          </w:p>
        </w:tc>
        <w:tc>
          <w:tcPr>
            <w:tcW w:w="1130" w:type="pct"/>
            <w:vAlign w:val="center"/>
          </w:tcPr>
          <w:p w14:paraId="34AEAE2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114.56 ± 32.76</w:t>
            </w:r>
          </w:p>
        </w:tc>
        <w:tc>
          <w:tcPr>
            <w:tcW w:w="1130" w:type="pct"/>
            <w:vAlign w:val="center"/>
          </w:tcPr>
          <w:p w14:paraId="42DD7AD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117.65 ± 34.78</w:t>
            </w:r>
          </w:p>
        </w:tc>
        <w:tc>
          <w:tcPr>
            <w:tcW w:w="451" w:type="pct"/>
            <w:vAlign w:val="center"/>
          </w:tcPr>
          <w:p w14:paraId="5CEFB41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0.015</w:t>
            </w:r>
          </w:p>
        </w:tc>
      </w:tr>
      <w:tr w14:paraId="36A2AA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68AD22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Creatinine</w:t>
            </w:r>
          </w:p>
        </w:tc>
        <w:tc>
          <w:tcPr>
            <w:tcW w:w="1130" w:type="pct"/>
            <w:vAlign w:val="center"/>
          </w:tcPr>
          <w:p w14:paraId="2A57D8C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0.75 (0.64-0.86)</w:t>
            </w:r>
          </w:p>
        </w:tc>
        <w:tc>
          <w:tcPr>
            <w:tcW w:w="1130" w:type="pct"/>
            <w:vAlign w:val="center"/>
          </w:tcPr>
          <w:p w14:paraId="3640405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0.75 (0.64-0.86)</w:t>
            </w:r>
          </w:p>
        </w:tc>
        <w:tc>
          <w:tcPr>
            <w:tcW w:w="1130" w:type="pct"/>
            <w:vAlign w:val="center"/>
          </w:tcPr>
          <w:p w14:paraId="11F40B0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0.75 (0.64-0.86)</w:t>
            </w:r>
          </w:p>
        </w:tc>
        <w:tc>
          <w:tcPr>
            <w:tcW w:w="451" w:type="pct"/>
            <w:vAlign w:val="center"/>
          </w:tcPr>
          <w:p w14:paraId="2C72E3D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0.962</w:t>
            </w:r>
          </w:p>
        </w:tc>
      </w:tr>
      <w:tr w14:paraId="50E30A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CFC7EE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BUN</w:t>
            </w:r>
          </w:p>
        </w:tc>
        <w:tc>
          <w:tcPr>
            <w:tcW w:w="1130" w:type="pct"/>
            <w:vAlign w:val="center"/>
          </w:tcPr>
          <w:p w14:paraId="0846065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15.04 (12.52-18.01)</w:t>
            </w:r>
          </w:p>
        </w:tc>
        <w:tc>
          <w:tcPr>
            <w:tcW w:w="1130" w:type="pct"/>
            <w:vAlign w:val="center"/>
          </w:tcPr>
          <w:p w14:paraId="18D4086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14.99 (12.57-17.95)</w:t>
            </w:r>
          </w:p>
        </w:tc>
        <w:tc>
          <w:tcPr>
            <w:tcW w:w="1130" w:type="pct"/>
            <w:vAlign w:val="center"/>
          </w:tcPr>
          <w:p w14:paraId="5851932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15.21 (12.41-18.14)</w:t>
            </w:r>
          </w:p>
        </w:tc>
        <w:tc>
          <w:tcPr>
            <w:tcW w:w="451" w:type="pct"/>
            <w:vAlign w:val="center"/>
          </w:tcPr>
          <w:p w14:paraId="69FB304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0.733</w:t>
            </w:r>
          </w:p>
        </w:tc>
      </w:tr>
      <w:tr w14:paraId="17A78C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496A56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CRP</w:t>
            </w:r>
          </w:p>
        </w:tc>
        <w:tc>
          <w:tcPr>
            <w:tcW w:w="1130" w:type="pct"/>
            <w:vAlign w:val="center"/>
          </w:tcPr>
          <w:p w14:paraId="2ADFB60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0.89 (0.50-1.80)</w:t>
            </w:r>
          </w:p>
        </w:tc>
        <w:tc>
          <w:tcPr>
            <w:tcW w:w="1130" w:type="pct"/>
            <w:vAlign w:val="center"/>
          </w:tcPr>
          <w:p w14:paraId="456F6FB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0.85 (0.49-1.72)</w:t>
            </w:r>
          </w:p>
        </w:tc>
        <w:tc>
          <w:tcPr>
            <w:tcW w:w="1130" w:type="pct"/>
            <w:vAlign w:val="center"/>
          </w:tcPr>
          <w:p w14:paraId="4C400C3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1.01 (0.53-2.05)</w:t>
            </w:r>
          </w:p>
        </w:tc>
        <w:tc>
          <w:tcPr>
            <w:tcW w:w="451" w:type="pct"/>
            <w:vAlign w:val="center"/>
          </w:tcPr>
          <w:p w14:paraId="07648B2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78BB64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9B7AE6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Heart disease,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2C09EB6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1207234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4EECD49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50977A9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0.102</w:t>
            </w:r>
          </w:p>
        </w:tc>
      </w:tr>
      <w:tr w14:paraId="1F9EA6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82063A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34B98EC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548 (92.3%)</w:t>
            </w:r>
          </w:p>
        </w:tc>
        <w:tc>
          <w:tcPr>
            <w:tcW w:w="1130" w:type="pct"/>
            <w:vAlign w:val="center"/>
          </w:tcPr>
          <w:p w14:paraId="19A16A6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651 (92.6%)</w:t>
            </w:r>
          </w:p>
        </w:tc>
        <w:tc>
          <w:tcPr>
            <w:tcW w:w="1130" w:type="pct"/>
            <w:vAlign w:val="center"/>
          </w:tcPr>
          <w:p w14:paraId="11C07C4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897 (91.3%)</w:t>
            </w:r>
          </w:p>
        </w:tc>
        <w:tc>
          <w:tcPr>
            <w:tcW w:w="451" w:type="pct"/>
            <w:vAlign w:val="center"/>
          </w:tcPr>
          <w:p w14:paraId="468BCE2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64CA11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3D6A2F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61D6153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281 (7.3%)</w:t>
            </w:r>
          </w:p>
        </w:tc>
        <w:tc>
          <w:tcPr>
            <w:tcW w:w="1130" w:type="pct"/>
            <w:vAlign w:val="center"/>
          </w:tcPr>
          <w:p w14:paraId="4549F8D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197 (6.9%)</w:t>
            </w:r>
          </w:p>
        </w:tc>
        <w:tc>
          <w:tcPr>
            <w:tcW w:w="1130" w:type="pct"/>
            <w:vAlign w:val="center"/>
          </w:tcPr>
          <w:p w14:paraId="2ADB518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84 (8.6%)</w:t>
            </w:r>
          </w:p>
        </w:tc>
        <w:tc>
          <w:tcPr>
            <w:tcW w:w="451" w:type="pct"/>
            <w:vAlign w:val="center"/>
          </w:tcPr>
          <w:p w14:paraId="7918FE2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5A14DE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B52385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Diabetes,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48A9A41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5D21D84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5D6A89D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19863E9E">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0.014</w:t>
            </w:r>
          </w:p>
        </w:tc>
      </w:tr>
      <w:tr w14:paraId="093B0F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74D361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41EA4B8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672 (95.5%)</w:t>
            </w:r>
          </w:p>
        </w:tc>
        <w:tc>
          <w:tcPr>
            <w:tcW w:w="1130" w:type="pct"/>
            <w:vAlign w:val="center"/>
          </w:tcPr>
          <w:p w14:paraId="00C71B7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746 (95.9%)</w:t>
            </w:r>
          </w:p>
        </w:tc>
        <w:tc>
          <w:tcPr>
            <w:tcW w:w="1130" w:type="pct"/>
            <w:vAlign w:val="center"/>
          </w:tcPr>
          <w:p w14:paraId="7B404BC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926 (94.3%)</w:t>
            </w:r>
          </w:p>
        </w:tc>
        <w:tc>
          <w:tcPr>
            <w:tcW w:w="451" w:type="pct"/>
            <w:vAlign w:val="center"/>
          </w:tcPr>
          <w:p w14:paraId="6538A18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88FC2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A2CDA7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3229E2E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151 (3.9%)</w:t>
            </w:r>
          </w:p>
        </w:tc>
        <w:tc>
          <w:tcPr>
            <w:tcW w:w="1130" w:type="pct"/>
            <w:vAlign w:val="center"/>
          </w:tcPr>
          <w:p w14:paraId="456DB67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99 (3.5%)</w:t>
            </w:r>
          </w:p>
        </w:tc>
        <w:tc>
          <w:tcPr>
            <w:tcW w:w="1130" w:type="pct"/>
            <w:vAlign w:val="center"/>
          </w:tcPr>
          <w:p w14:paraId="2B1AADD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52 (5.3%)</w:t>
            </w:r>
          </w:p>
        </w:tc>
        <w:tc>
          <w:tcPr>
            <w:tcW w:w="451" w:type="pct"/>
            <w:vAlign w:val="center"/>
          </w:tcPr>
          <w:p w14:paraId="4DB3058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B5971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324F65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Stroke,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088C306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72976E0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2207F98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483AA10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0.598</w:t>
            </w:r>
          </w:p>
        </w:tc>
      </w:tr>
      <w:tr w14:paraId="732CBB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CEC486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702CA00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792 (98.6%)</w:t>
            </w:r>
          </w:p>
        </w:tc>
        <w:tc>
          <w:tcPr>
            <w:tcW w:w="1130" w:type="pct"/>
            <w:vAlign w:val="center"/>
          </w:tcPr>
          <w:p w14:paraId="7D0C34F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820 (98.5%)</w:t>
            </w:r>
          </w:p>
        </w:tc>
        <w:tc>
          <w:tcPr>
            <w:tcW w:w="1130" w:type="pct"/>
            <w:vAlign w:val="center"/>
          </w:tcPr>
          <w:p w14:paraId="488978D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972 (99.0%)</w:t>
            </w:r>
          </w:p>
        </w:tc>
        <w:tc>
          <w:tcPr>
            <w:tcW w:w="451" w:type="pct"/>
            <w:vAlign w:val="center"/>
          </w:tcPr>
          <w:p w14:paraId="705F903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59FCE4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4ECA50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43781FE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43 (1.1%)</w:t>
            </w:r>
          </w:p>
        </w:tc>
        <w:tc>
          <w:tcPr>
            <w:tcW w:w="1130" w:type="pct"/>
            <w:vAlign w:val="center"/>
          </w:tcPr>
          <w:p w14:paraId="7155BA0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34 (1.2%)</w:t>
            </w:r>
          </w:p>
        </w:tc>
        <w:tc>
          <w:tcPr>
            <w:tcW w:w="1130" w:type="pct"/>
            <w:vAlign w:val="center"/>
          </w:tcPr>
          <w:p w14:paraId="5617A8A8">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 (0.9%)</w:t>
            </w:r>
          </w:p>
        </w:tc>
        <w:tc>
          <w:tcPr>
            <w:tcW w:w="451" w:type="pct"/>
            <w:vAlign w:val="center"/>
          </w:tcPr>
          <w:p w14:paraId="4AF6F43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62C07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3B14D250">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Kidney disease, n</w:t>
            </w:r>
            <w:r>
              <w:rPr>
                <w:rFonts w:hint="default" w:ascii="Times New Roman" w:hAnsi="Times New Roman" w:eastAsia="宋体" w:cs="Times New Roman"/>
                <w:b w:val="0"/>
                <w:bCs/>
                <w:i w:val="0"/>
                <w:strike w:val="0"/>
                <w:color w:val="000000"/>
                <w:sz w:val="24"/>
                <w:szCs w:val="24"/>
                <w:highlight w:val="none"/>
                <w:u w:val="none"/>
                <w:lang w:val="en-US" w:eastAsia="zh-CN"/>
              </w:rPr>
              <w:t xml:space="preserve"> </w:t>
            </w:r>
            <w:r>
              <w:rPr>
                <w:rFonts w:hint="default" w:ascii="Times New Roman" w:hAnsi="Times New Roman" w:eastAsia="Arial" w:cs="Times New Roman"/>
                <w:b w:val="0"/>
                <w:bCs/>
                <w:i w:val="0"/>
                <w:strike w:val="0"/>
                <w:color w:val="000000"/>
                <w:sz w:val="24"/>
                <w:szCs w:val="24"/>
                <w:highlight w:val="none"/>
                <w:u w:val="none"/>
              </w:rPr>
              <w:t>(%)</w:t>
            </w:r>
          </w:p>
        </w:tc>
        <w:tc>
          <w:tcPr>
            <w:tcW w:w="1130" w:type="pct"/>
            <w:vAlign w:val="center"/>
          </w:tcPr>
          <w:p w14:paraId="1517A59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7D4535CF">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1130" w:type="pct"/>
            <w:vAlign w:val="center"/>
          </w:tcPr>
          <w:p w14:paraId="4CC1C69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c>
          <w:tcPr>
            <w:tcW w:w="451" w:type="pct"/>
            <w:vAlign w:val="center"/>
          </w:tcPr>
          <w:p w14:paraId="2C28D66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0.721</w:t>
            </w:r>
          </w:p>
        </w:tc>
      </w:tr>
      <w:tr w14:paraId="5FEB3B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7E1C410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No</w:t>
            </w:r>
          </w:p>
        </w:tc>
        <w:tc>
          <w:tcPr>
            <w:tcW w:w="1130" w:type="pct"/>
            <w:vAlign w:val="center"/>
          </w:tcPr>
          <w:p w14:paraId="516CF891">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3</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632 (94.4%)</w:t>
            </w:r>
          </w:p>
        </w:tc>
        <w:tc>
          <w:tcPr>
            <w:tcW w:w="1130" w:type="pct"/>
            <w:vAlign w:val="center"/>
          </w:tcPr>
          <w:p w14:paraId="011FB90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w:t>
            </w:r>
            <w:r>
              <w:rPr>
                <w:rFonts w:hint="default" w:ascii="Times New Roman" w:hAnsi="Times New Roman" w:eastAsia="宋体" w:cs="Times New Roman"/>
                <w:b w:val="0"/>
                <w:bCs/>
                <w:i w:val="0"/>
                <w:strike w:val="0"/>
                <w:color w:val="000000"/>
                <w:sz w:val="24"/>
                <w:szCs w:val="24"/>
                <w:highlight w:val="none"/>
                <w:u w:val="none"/>
                <w:lang w:val="en-US" w:eastAsia="zh-CN"/>
              </w:rPr>
              <w:t>,</w:t>
            </w:r>
            <w:r>
              <w:rPr>
                <w:rFonts w:hint="default" w:ascii="Times New Roman" w:hAnsi="Times New Roman" w:eastAsia="Arial" w:cs="Times New Roman"/>
                <w:b w:val="0"/>
                <w:bCs/>
                <w:i w:val="0"/>
                <w:strike w:val="0"/>
                <w:color w:val="000000"/>
                <w:sz w:val="24"/>
                <w:szCs w:val="24"/>
                <w:highlight w:val="none"/>
                <w:u w:val="none"/>
              </w:rPr>
              <w:t>706 (94.5%)</w:t>
            </w:r>
          </w:p>
        </w:tc>
        <w:tc>
          <w:tcPr>
            <w:tcW w:w="1130" w:type="pct"/>
            <w:vAlign w:val="center"/>
          </w:tcPr>
          <w:p w14:paraId="7CDADDA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926 (94.3%)</w:t>
            </w:r>
          </w:p>
        </w:tc>
        <w:tc>
          <w:tcPr>
            <w:tcW w:w="451" w:type="pct"/>
            <w:vAlign w:val="center"/>
          </w:tcPr>
          <w:p w14:paraId="1B5D2E4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26C872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2D4DD8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Yes</w:t>
            </w:r>
          </w:p>
        </w:tc>
        <w:tc>
          <w:tcPr>
            <w:tcW w:w="1130" w:type="pct"/>
            <w:vAlign w:val="center"/>
          </w:tcPr>
          <w:p w14:paraId="1486AD4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197 (5.1%)</w:t>
            </w:r>
          </w:p>
        </w:tc>
        <w:tc>
          <w:tcPr>
            <w:tcW w:w="1130" w:type="pct"/>
            <w:vAlign w:val="center"/>
          </w:tcPr>
          <w:p w14:paraId="0B0FB73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144 (5.0%)</w:t>
            </w:r>
          </w:p>
        </w:tc>
        <w:tc>
          <w:tcPr>
            <w:tcW w:w="1130" w:type="pct"/>
            <w:vAlign w:val="center"/>
          </w:tcPr>
          <w:p w14:paraId="72A249FC">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53 (5.4%)</w:t>
            </w:r>
          </w:p>
        </w:tc>
        <w:tc>
          <w:tcPr>
            <w:tcW w:w="451" w:type="pct"/>
            <w:vAlign w:val="center"/>
          </w:tcPr>
          <w:p w14:paraId="322B122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p>
        </w:tc>
      </w:tr>
      <w:tr w14:paraId="5173D8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731A5B4">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TyGFI (Wave 1)</w:t>
            </w:r>
          </w:p>
        </w:tc>
        <w:tc>
          <w:tcPr>
            <w:tcW w:w="1130" w:type="pct"/>
            <w:vAlign w:val="center"/>
          </w:tcPr>
          <w:p w14:paraId="164BBAD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0.63 (0.38-1.12)</w:t>
            </w:r>
          </w:p>
        </w:tc>
        <w:tc>
          <w:tcPr>
            <w:tcW w:w="1130" w:type="pct"/>
            <w:vAlign w:val="center"/>
          </w:tcPr>
          <w:p w14:paraId="298B4E8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0.62 (0.37-1.09)</w:t>
            </w:r>
          </w:p>
        </w:tc>
        <w:tc>
          <w:tcPr>
            <w:tcW w:w="1130" w:type="pct"/>
            <w:vAlign w:val="center"/>
          </w:tcPr>
          <w:p w14:paraId="3657382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0.67 (0.40-1.25)</w:t>
            </w:r>
          </w:p>
        </w:tc>
        <w:tc>
          <w:tcPr>
            <w:tcW w:w="451" w:type="pct"/>
            <w:vAlign w:val="center"/>
          </w:tcPr>
          <w:p w14:paraId="60790CB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5BC8EE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6DCF1646">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TyGFI (Wave 3)</w:t>
            </w:r>
          </w:p>
        </w:tc>
        <w:tc>
          <w:tcPr>
            <w:tcW w:w="1130" w:type="pct"/>
            <w:vAlign w:val="center"/>
          </w:tcPr>
          <w:p w14:paraId="41C206F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0.78 (0.43-1.36)</w:t>
            </w:r>
          </w:p>
        </w:tc>
        <w:tc>
          <w:tcPr>
            <w:tcW w:w="1130" w:type="pct"/>
            <w:vAlign w:val="center"/>
          </w:tcPr>
          <w:p w14:paraId="7760482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0.73 (0.41-1.29)</w:t>
            </w:r>
          </w:p>
        </w:tc>
        <w:tc>
          <w:tcPr>
            <w:tcW w:w="1130" w:type="pct"/>
            <w:vAlign w:val="center"/>
          </w:tcPr>
          <w:p w14:paraId="51E12767">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0.91 (0.51-1.60)</w:t>
            </w:r>
          </w:p>
        </w:tc>
        <w:tc>
          <w:tcPr>
            <w:tcW w:w="451" w:type="pct"/>
            <w:vAlign w:val="center"/>
          </w:tcPr>
          <w:p w14:paraId="5E6FF35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6DDAA2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15E5E54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Cumulative TyGFI</w:t>
            </w:r>
          </w:p>
        </w:tc>
        <w:tc>
          <w:tcPr>
            <w:tcW w:w="1130" w:type="pct"/>
            <w:vAlign w:val="center"/>
          </w:tcPr>
          <w:p w14:paraId="270065F5">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2.20 (1.34-3.70)</w:t>
            </w:r>
          </w:p>
        </w:tc>
        <w:tc>
          <w:tcPr>
            <w:tcW w:w="1130" w:type="pct"/>
            <w:vAlign w:val="center"/>
          </w:tcPr>
          <w:p w14:paraId="26DA815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2.11 (1.30-3.51)</w:t>
            </w:r>
          </w:p>
        </w:tc>
        <w:tc>
          <w:tcPr>
            <w:tcW w:w="1130" w:type="pct"/>
            <w:vAlign w:val="center"/>
          </w:tcPr>
          <w:p w14:paraId="4731D139">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2.53 (1.52-4.21)</w:t>
            </w:r>
          </w:p>
        </w:tc>
        <w:tc>
          <w:tcPr>
            <w:tcW w:w="451" w:type="pct"/>
            <w:vAlign w:val="center"/>
          </w:tcPr>
          <w:p w14:paraId="5EA301E3">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r w14:paraId="22BE7F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8" w:type="pct"/>
            <w:vAlign w:val="center"/>
          </w:tcPr>
          <w:p w14:paraId="424C7E42">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TyG (Wave 1)</w:t>
            </w:r>
          </w:p>
        </w:tc>
        <w:tc>
          <w:tcPr>
            <w:tcW w:w="1130" w:type="pct"/>
            <w:vAlign w:val="center"/>
          </w:tcPr>
          <w:p w14:paraId="37883BD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8.61 ± 0.63</w:t>
            </w:r>
          </w:p>
        </w:tc>
        <w:tc>
          <w:tcPr>
            <w:tcW w:w="1130" w:type="pct"/>
            <w:vAlign w:val="center"/>
          </w:tcPr>
          <w:p w14:paraId="299578CD">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8.57 ± 0.62</w:t>
            </w:r>
          </w:p>
        </w:tc>
        <w:tc>
          <w:tcPr>
            <w:tcW w:w="1130" w:type="pct"/>
            <w:vAlign w:val="center"/>
          </w:tcPr>
          <w:p w14:paraId="2D78B06A">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8.70 ± 0.66</w:t>
            </w:r>
          </w:p>
        </w:tc>
        <w:tc>
          <w:tcPr>
            <w:tcW w:w="451" w:type="pct"/>
            <w:vAlign w:val="center"/>
          </w:tcPr>
          <w:p w14:paraId="625A6FAB">
            <w:pPr>
              <w:keepNext/>
              <w:pageBreakBefore w:val="0"/>
              <w:widowControl/>
              <w:pBdr>
                <w:top w:val="none" w:color="000000" w:sz="0" w:space="0"/>
                <w:left w:val="none" w:color="000000" w:sz="0" w:space="0"/>
                <w:bottom w:val="none" w:color="000000" w:sz="0" w:space="0"/>
                <w:right w:val="none" w:color="000000" w:sz="0" w:space="0"/>
              </w:pBdr>
              <w:kinsoku/>
              <w:wordWrap/>
              <w:overflowPunct/>
              <w:topLinePunct w:val="0"/>
              <w:bidi w:val="0"/>
              <w:snapToGrid w:val="0"/>
              <w:spacing w:before="40" w:after="40" w:line="360" w:lineRule="auto"/>
              <w:ind w:left="0" w:leftChars="0" w:right="0" w:rightChars="0" w:firstLine="0" w:firstLineChars="0"/>
              <w:jc w:val="both"/>
              <w:rPr>
                <w:rFonts w:hint="default" w:ascii="Times New Roman" w:hAnsi="Times New Roman" w:eastAsia="Arial" w:cs="Times New Roman"/>
                <w:b w:val="0"/>
                <w:bCs/>
                <w:i w:val="0"/>
                <w:strike w:val="0"/>
                <w:color w:val="000000"/>
                <w:sz w:val="24"/>
                <w:szCs w:val="24"/>
                <w:highlight w:val="none"/>
                <w:u w:val="none"/>
              </w:rPr>
            </w:pPr>
            <w:r>
              <w:rPr>
                <w:rFonts w:hint="default" w:ascii="Times New Roman" w:hAnsi="Times New Roman" w:eastAsia="Arial" w:cs="Times New Roman"/>
                <w:b w:val="0"/>
                <w:bCs/>
                <w:i w:val="0"/>
                <w:strike w:val="0"/>
                <w:color w:val="000000"/>
                <w:sz w:val="24"/>
                <w:szCs w:val="24"/>
                <w:highlight w:val="none"/>
                <w:u w:val="none"/>
              </w:rPr>
              <w:t>&lt;0.001</w:t>
            </w:r>
          </w:p>
        </w:tc>
      </w:tr>
    </w:tbl>
    <w:p w14:paraId="71BBC57A">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p>
    <w:p w14:paraId="4FD4DF9B">
      <w:pPr>
        <w:pageBreakBefore w:val="0"/>
        <w:widowControl/>
        <w:kinsoku/>
        <w:wordWrap/>
        <w:overflowPunct/>
        <w:topLinePunct w:val="0"/>
        <w:bidi w:val="0"/>
        <w:spacing w:line="360" w:lineRule="auto"/>
        <w:jc w:val="both"/>
        <w:rPr>
          <w:rFonts w:hint="default" w:ascii="Times New Roman" w:hAnsi="Times New Roman" w:cs="Times New Roman"/>
          <w:sz w:val="24"/>
          <w:szCs w:val="24"/>
          <w:highlight w:val="none"/>
          <w:lang w:val="en-US" w:eastAsia="zh-CN"/>
        </w:rPr>
      </w:pPr>
      <w:r>
        <w:rPr>
          <w:rFonts w:hint="default" w:ascii="Times New Roman" w:hAnsi="Times New Roman" w:cs="Times New Roman" w:eastAsiaTheme="minorEastAsia"/>
          <w:sz w:val="24"/>
          <w:szCs w:val="24"/>
          <w:highlight w:val="none"/>
        </w:rPr>
        <w:t>Data are presented as mean ± standard deviation (SD), median (interquartile range [IQR]), or number (percentage), as appropriate.</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eastAsiaTheme="minorEastAsia"/>
          <w:sz w:val="24"/>
          <w:szCs w:val="24"/>
          <w:highlight w:val="none"/>
        </w:rPr>
        <w:t>Differences between groups were compared using Student’s t-test or Mann–Whitney U test for continuous variables and chi-square tests for categorical variables.</w:t>
      </w:r>
      <w:r>
        <w:rPr>
          <w:rFonts w:hint="default" w:ascii="Times New Roman" w:hAnsi="Times New Roman" w:cs="Times New Roman"/>
          <w:sz w:val="24"/>
          <w:szCs w:val="24"/>
          <w:highlight w:val="none"/>
          <w:lang w:val="en-US" w:eastAsia="zh-CN"/>
        </w:rPr>
        <w:t xml:space="preserve"> </w:t>
      </w:r>
    </w:p>
    <w:p w14:paraId="2E71E38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Abbreviations: HTN, hypertension; BMI, body mass index; SBP, systolic blood pressure; DBP, diastolic blood pressure; FPG, fasting plasma glucose; TG, triglycerides; TC, total cholesterol; HDL-C, high-density lipoprotein cholesterol; LDL-C, low-density lipoprotein cholesterol; BUN, blood urea nitrogen; CRP, C-reactive protein; TyG, triglyceride-glucose index;  FI, frailty index; TyGFI, triglyceride-glucose frailty index.</w:t>
      </w:r>
    </w:p>
    <w:p w14:paraId="1FA37D90">
      <w:pPr>
        <w:pageBreakBefore w:val="0"/>
        <w:widowControl/>
        <w:kinsoku/>
        <w:wordWrap/>
        <w:overflowPunct/>
        <w:topLinePunct w:val="0"/>
        <w:bidi w:val="0"/>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br w:type="page"/>
      </w:r>
    </w:p>
    <w:p w14:paraId="742F7459">
      <w:pPr>
        <w:pageBreakBefore w:val="0"/>
        <w:widowControl/>
        <w:kinsoku/>
        <w:wordWrap/>
        <w:overflowPunct/>
        <w:topLinePunct w:val="0"/>
        <w:bidi w:val="0"/>
        <w:spacing w:line="360" w:lineRule="auto"/>
        <w:jc w:val="both"/>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sz w:val="24"/>
          <w:szCs w:val="24"/>
          <w:highlight w:val="none"/>
        </w:rPr>
        <w:t xml:space="preserve">Supplementary </w:t>
      </w:r>
      <w:r>
        <w:rPr>
          <w:rFonts w:hint="default" w:ascii="Times New Roman" w:hAnsi="Times New Roman" w:cs="Times New Roman" w:eastAsiaTheme="minorEastAsia"/>
          <w:b/>
          <w:bCs/>
          <w:color w:val="000000"/>
          <w:sz w:val="24"/>
          <w:szCs w:val="24"/>
          <w:highlight w:val="none"/>
        </w:rPr>
        <w:t>Table S4. VIF for variables included in the fully adjusted model.</w:t>
      </w:r>
    </w:p>
    <w:tbl>
      <w:tblPr>
        <w:tblStyle w:val="8"/>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4"/>
        <w:gridCol w:w="1584"/>
        <w:gridCol w:w="1872"/>
      </w:tblGrid>
      <w:tr w14:paraId="6705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7C6EB4E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Variable</w:t>
            </w:r>
          </w:p>
        </w:tc>
        <w:tc>
          <w:tcPr>
            <w:tcW w:w="1584"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39E8201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VIF</w:t>
            </w:r>
          </w:p>
        </w:tc>
        <w:tc>
          <w:tcPr>
            <w:tcW w:w="1872"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2D7A5CB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Tolerance</w:t>
            </w:r>
          </w:p>
        </w:tc>
      </w:tr>
      <w:tr w14:paraId="0DA9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5C9C9C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Sex</w:t>
            </w:r>
          </w:p>
        </w:tc>
        <w:tc>
          <w:tcPr>
            <w:tcW w:w="158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F8A570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1.852</w:t>
            </w:r>
          </w:p>
        </w:tc>
        <w:tc>
          <w:tcPr>
            <w:tcW w:w="1872"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3B82351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0.540</w:t>
            </w:r>
          </w:p>
        </w:tc>
      </w:tr>
      <w:tr w14:paraId="0DD0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4231484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Current smoking</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19BE78B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1.553</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3F2947F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0.644</w:t>
            </w:r>
          </w:p>
        </w:tc>
      </w:tr>
      <w:tr w14:paraId="24EF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349782C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Current drinking</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45DC0F7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1.328</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7720B99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0.753</w:t>
            </w:r>
          </w:p>
        </w:tc>
      </w:tr>
      <w:tr w14:paraId="3B73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52578A69">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Cumulative TyGFI</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5EAF2C3E">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1.212</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10EE2BF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0.825</w:t>
            </w:r>
          </w:p>
        </w:tc>
      </w:tr>
      <w:tr w14:paraId="6012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02320D6F">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Heart disease</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4A57E4A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1.092</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7FE153B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0.916</w:t>
            </w:r>
          </w:p>
        </w:tc>
      </w:tr>
      <w:tr w14:paraId="25B7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2F52CF0E">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Age, years</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140029F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1.062</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40FEE9F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0.942</w:t>
            </w:r>
          </w:p>
        </w:tc>
      </w:tr>
      <w:tr w14:paraId="3F40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04666E7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Diabetes</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65B8B7C1">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1.031</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6D669C0F">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0.970</w:t>
            </w:r>
          </w:p>
        </w:tc>
      </w:tr>
      <w:tr w14:paraId="7F4D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1E3C379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Dyslipidemia</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2CC7C60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1.030</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679717D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0.971</w:t>
            </w:r>
          </w:p>
        </w:tc>
      </w:tr>
      <w:tr w14:paraId="567D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05E2F79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Kidney disease</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652C7668">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1.027</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783DC52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0.974</w:t>
            </w:r>
          </w:p>
        </w:tc>
      </w:tr>
      <w:tr w14:paraId="7BBF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nil"/>
              <w:right w:val="nil"/>
            </w:tcBorders>
            <w:shd w:val="clear" w:color="auto" w:fill="FFFFFF"/>
            <w:tcMar>
              <w:top w:w="80" w:type="dxa"/>
              <w:left w:w="120" w:type="dxa"/>
              <w:bottom w:w="80" w:type="dxa"/>
              <w:right w:w="120" w:type="dxa"/>
            </w:tcMar>
            <w:vAlign w:val="center"/>
          </w:tcPr>
          <w:p w14:paraId="2037219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Stroke</w:t>
            </w:r>
          </w:p>
        </w:tc>
        <w:tc>
          <w:tcPr>
            <w:tcW w:w="1584" w:type="dxa"/>
            <w:tcBorders>
              <w:top w:val="nil"/>
              <w:left w:val="nil"/>
              <w:bottom w:val="nil"/>
              <w:right w:val="nil"/>
            </w:tcBorders>
            <w:shd w:val="clear" w:color="auto" w:fill="FFFFFF"/>
            <w:tcMar>
              <w:top w:w="80" w:type="dxa"/>
              <w:left w:w="120" w:type="dxa"/>
              <w:bottom w:w="80" w:type="dxa"/>
              <w:right w:w="120" w:type="dxa"/>
            </w:tcMar>
            <w:vAlign w:val="center"/>
          </w:tcPr>
          <w:p w14:paraId="17E55E2B">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1.023</w:t>
            </w:r>
          </w:p>
        </w:tc>
        <w:tc>
          <w:tcPr>
            <w:tcW w:w="1872" w:type="dxa"/>
            <w:tcBorders>
              <w:top w:val="nil"/>
              <w:left w:val="nil"/>
              <w:bottom w:val="nil"/>
              <w:right w:val="nil"/>
            </w:tcBorders>
            <w:shd w:val="clear" w:color="auto" w:fill="FFFFFF"/>
            <w:tcMar>
              <w:top w:w="80" w:type="dxa"/>
              <w:left w:w="120" w:type="dxa"/>
              <w:bottom w:w="80" w:type="dxa"/>
              <w:right w:w="120" w:type="dxa"/>
            </w:tcMar>
            <w:vAlign w:val="center"/>
          </w:tcPr>
          <w:p w14:paraId="7237FDF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0.977</w:t>
            </w:r>
          </w:p>
        </w:tc>
      </w:tr>
      <w:tr w14:paraId="2259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4848C48F">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BMI, kg/m2</w:t>
            </w:r>
          </w:p>
        </w:tc>
        <w:tc>
          <w:tcPr>
            <w:tcW w:w="158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157D7B1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1.002</w:t>
            </w:r>
          </w:p>
        </w:tc>
        <w:tc>
          <w:tcPr>
            <w:tcW w:w="1872"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0E01FB4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0.998</w:t>
            </w:r>
          </w:p>
        </w:tc>
      </w:tr>
    </w:tbl>
    <w:p w14:paraId="0239976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VIF, variance inflation factor; BMI, body mass index; TyGFI, triglyceride-glucose frailty index. The fully adjusted model included cumulative TyGFI, age, sex, BMI, smoking status, drinking status, diabetes, dyslipidemia, heart disease, stroke, and kidney disease. VIFs were calculated in the analytic dataset after imputation of missing model covariates (N = 3,846); VIF &gt;5 was considered potentially concerning.</w:t>
      </w:r>
    </w:p>
    <w:p w14:paraId="2C66F804">
      <w:pPr>
        <w:pageBreakBefore w:val="0"/>
        <w:widowControl/>
        <w:kinsoku/>
        <w:wordWrap/>
        <w:overflowPunct/>
        <w:topLinePunct w:val="0"/>
        <w:bidi w:val="0"/>
        <w:spacing w:line="360" w:lineRule="auto"/>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br w:type="page"/>
      </w:r>
    </w:p>
    <w:p w14:paraId="5A70D47A">
      <w:pPr>
        <w:pageBreakBefore w:val="0"/>
        <w:widowControl/>
        <w:kinsoku/>
        <w:wordWrap/>
        <w:overflowPunct/>
        <w:topLinePunct w:val="0"/>
        <w:bidi w:val="0"/>
        <w:spacing w:line="360" w:lineRule="auto"/>
        <w:jc w:val="both"/>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Supplementary Table S</w:t>
      </w:r>
      <w:r>
        <w:rPr>
          <w:rFonts w:hint="default" w:ascii="Times New Roman" w:hAnsi="Times New Roman" w:cs="Times New Roman" w:eastAsiaTheme="minorEastAsia"/>
          <w:b/>
          <w:bCs/>
          <w:sz w:val="24"/>
          <w:szCs w:val="24"/>
          <w:highlight w:val="none"/>
          <w:lang w:val="en-US" w:eastAsia="zh-CN"/>
        </w:rPr>
        <w:t>5</w:t>
      </w:r>
      <w:r>
        <w:rPr>
          <w:rFonts w:hint="default" w:ascii="Times New Roman" w:hAnsi="Times New Roman" w:cs="Times New Roman" w:eastAsiaTheme="minorEastAsia"/>
          <w:b/>
          <w:bCs/>
          <w:sz w:val="24"/>
          <w:szCs w:val="24"/>
          <w:highlight w:val="none"/>
        </w:rPr>
        <w:t>. Comparison of predictive performance, calibration, and internal validation between cumulative TyGFI and its individual components.</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40"/>
        <w:gridCol w:w="2340"/>
        <w:gridCol w:w="2340"/>
        <w:gridCol w:w="2340"/>
      </w:tblGrid>
      <w:tr w14:paraId="27DC01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single" w:color="000000" w:sz="12" w:space="0"/>
              <w:bottom w:val="single" w:color="000000" w:sz="4" w:space="0"/>
              <w:tl2br w:val="nil"/>
            </w:tcBorders>
            <w:shd w:val="clear" w:color="auto" w:fill="FFFFFF"/>
            <w:vAlign w:val="center"/>
          </w:tcPr>
          <w:p w14:paraId="2ADA5B27">
            <w:pPr>
              <w:pageBreakBefore w:val="0"/>
              <w:widowControl/>
              <w:kinsoku/>
              <w:wordWrap/>
              <w:overflowPunct/>
              <w:topLinePunct w:val="0"/>
              <w:bidi w:val="0"/>
              <w:spacing w:line="360" w:lineRule="auto"/>
              <w:jc w:val="center"/>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Exposure</w:t>
            </w:r>
          </w:p>
        </w:tc>
        <w:tc>
          <w:tcPr>
            <w:tcW w:w="1440" w:type="dxa"/>
            <w:tcBorders>
              <w:top w:val="single" w:color="000000" w:sz="12" w:space="0"/>
              <w:bottom w:val="single" w:color="000000" w:sz="4" w:space="0"/>
            </w:tcBorders>
            <w:shd w:val="clear" w:color="auto" w:fill="FFFFFF"/>
            <w:vAlign w:val="center"/>
          </w:tcPr>
          <w:p w14:paraId="354F8C82">
            <w:pPr>
              <w:pageBreakBefore w:val="0"/>
              <w:widowControl/>
              <w:kinsoku/>
              <w:wordWrap/>
              <w:overflowPunct/>
              <w:topLinePunct w:val="0"/>
              <w:bidi w:val="0"/>
              <w:spacing w:line="360" w:lineRule="auto"/>
              <w:jc w:val="center"/>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w:t>
            </w:r>
          </w:p>
        </w:tc>
        <w:tc>
          <w:tcPr>
            <w:tcW w:w="2232" w:type="dxa"/>
            <w:tcBorders>
              <w:top w:val="single" w:color="000000" w:sz="12" w:space="0"/>
              <w:bottom w:val="single" w:color="000000" w:sz="4" w:space="0"/>
            </w:tcBorders>
            <w:shd w:val="clear" w:color="auto" w:fill="FFFFFF"/>
            <w:vAlign w:val="center"/>
          </w:tcPr>
          <w:p w14:paraId="19E56F68">
            <w:pPr>
              <w:pageBreakBefore w:val="0"/>
              <w:widowControl/>
              <w:kinsoku/>
              <w:wordWrap/>
              <w:overflowPunct/>
              <w:topLinePunct w:val="0"/>
              <w:bidi w:val="0"/>
              <w:spacing w:line="360" w:lineRule="auto"/>
              <w:jc w:val="center"/>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P value (Global Test)</w:t>
            </w:r>
          </w:p>
        </w:tc>
        <w:tc>
          <w:tcPr>
            <w:tcW w:w="2664" w:type="dxa"/>
            <w:tcBorders>
              <w:top w:val="single" w:color="000000" w:sz="12" w:space="0"/>
              <w:bottom w:val="single" w:color="000000" w:sz="4" w:space="0"/>
            </w:tcBorders>
            <w:shd w:val="clear" w:color="auto" w:fill="FFFFFF"/>
            <w:vAlign w:val="center"/>
          </w:tcPr>
          <w:p w14:paraId="2179DCF0">
            <w:pPr>
              <w:pageBreakBefore w:val="0"/>
              <w:widowControl/>
              <w:kinsoku/>
              <w:wordWrap/>
              <w:overflowPunct/>
              <w:topLinePunct w:val="0"/>
              <w:bidi w:val="0"/>
              <w:spacing w:line="360" w:lineRule="auto"/>
              <w:jc w:val="center"/>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P value (Main Exposure Variable)</w:t>
            </w:r>
          </w:p>
        </w:tc>
      </w:tr>
      <w:tr w14:paraId="745D55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single" w:color="000000" w:sz="4" w:space="0"/>
            </w:tcBorders>
            <w:shd w:val="clear" w:color="auto" w:fill="FFFFFF"/>
            <w:vAlign w:val="center"/>
          </w:tcPr>
          <w:p w14:paraId="5975B499">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Cumulative TyGFI</w:t>
            </w:r>
          </w:p>
        </w:tc>
        <w:tc>
          <w:tcPr>
            <w:tcW w:w="1440" w:type="dxa"/>
            <w:tcBorders>
              <w:top w:val="single" w:color="000000" w:sz="4" w:space="0"/>
            </w:tcBorders>
            <w:shd w:val="clear" w:color="auto" w:fill="FFFFFF"/>
            <w:vAlign w:val="center"/>
          </w:tcPr>
          <w:p w14:paraId="4D6BC45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1</w:t>
            </w:r>
          </w:p>
        </w:tc>
        <w:tc>
          <w:tcPr>
            <w:tcW w:w="2232" w:type="dxa"/>
            <w:tcBorders>
              <w:top w:val="single" w:color="000000" w:sz="4" w:space="0"/>
            </w:tcBorders>
            <w:shd w:val="clear" w:color="auto" w:fill="FFFFFF"/>
            <w:vAlign w:val="center"/>
          </w:tcPr>
          <w:p w14:paraId="6CD4EF6C">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0.822</w:t>
            </w:r>
          </w:p>
        </w:tc>
        <w:tc>
          <w:tcPr>
            <w:tcW w:w="2664" w:type="dxa"/>
            <w:tcBorders>
              <w:top w:val="single" w:color="000000" w:sz="4" w:space="0"/>
            </w:tcBorders>
            <w:shd w:val="clear" w:color="auto" w:fill="FFFFFF"/>
            <w:vAlign w:val="center"/>
          </w:tcPr>
          <w:p w14:paraId="3912366B">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0.822</w:t>
            </w:r>
          </w:p>
        </w:tc>
      </w:tr>
      <w:tr w14:paraId="4DFE86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shd w:val="clear" w:color="auto" w:fill="FFFFFF"/>
            <w:vAlign w:val="center"/>
          </w:tcPr>
          <w:p w14:paraId="6327082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p>
        </w:tc>
        <w:tc>
          <w:tcPr>
            <w:tcW w:w="1440" w:type="dxa"/>
            <w:shd w:val="clear" w:color="auto" w:fill="FFFFFF"/>
            <w:vAlign w:val="center"/>
          </w:tcPr>
          <w:p w14:paraId="2A31647E">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2</w:t>
            </w:r>
          </w:p>
        </w:tc>
        <w:tc>
          <w:tcPr>
            <w:tcW w:w="2232" w:type="dxa"/>
            <w:shd w:val="clear" w:color="auto" w:fill="FFFFFF"/>
            <w:vAlign w:val="center"/>
          </w:tcPr>
          <w:p w14:paraId="7876A52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0.867</w:t>
            </w:r>
          </w:p>
        </w:tc>
        <w:tc>
          <w:tcPr>
            <w:tcW w:w="2664" w:type="dxa"/>
            <w:shd w:val="clear" w:color="auto" w:fill="FFFFFF"/>
            <w:vAlign w:val="center"/>
          </w:tcPr>
          <w:p w14:paraId="3B53111C">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0.842</w:t>
            </w:r>
          </w:p>
        </w:tc>
      </w:tr>
      <w:tr w14:paraId="2FAEC1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shd w:val="clear" w:color="auto" w:fill="FFFFFF"/>
            <w:vAlign w:val="center"/>
          </w:tcPr>
          <w:p w14:paraId="0DB6498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p>
        </w:tc>
        <w:tc>
          <w:tcPr>
            <w:tcW w:w="1440" w:type="dxa"/>
            <w:shd w:val="clear" w:color="auto" w:fill="FFFFFF"/>
            <w:vAlign w:val="center"/>
          </w:tcPr>
          <w:p w14:paraId="2BD62FC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3</w:t>
            </w:r>
          </w:p>
        </w:tc>
        <w:tc>
          <w:tcPr>
            <w:tcW w:w="2232" w:type="dxa"/>
            <w:shd w:val="clear" w:color="auto" w:fill="FFFFFF"/>
            <w:vAlign w:val="center"/>
          </w:tcPr>
          <w:p w14:paraId="70B81A9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0.875</w:t>
            </w:r>
          </w:p>
        </w:tc>
        <w:tc>
          <w:tcPr>
            <w:tcW w:w="2664" w:type="dxa"/>
            <w:shd w:val="clear" w:color="auto" w:fill="FFFFFF"/>
            <w:vAlign w:val="center"/>
          </w:tcPr>
          <w:p w14:paraId="7544985A">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0.859</w:t>
            </w:r>
          </w:p>
        </w:tc>
      </w:tr>
      <w:tr w14:paraId="78986E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shd w:val="clear" w:color="auto" w:fill="FFFFFF"/>
            <w:vAlign w:val="center"/>
          </w:tcPr>
          <w:p w14:paraId="068D827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Cumulative TyGFI quartiles</w:t>
            </w:r>
          </w:p>
        </w:tc>
        <w:tc>
          <w:tcPr>
            <w:tcW w:w="1440" w:type="dxa"/>
            <w:shd w:val="clear" w:color="auto" w:fill="FFFFFF"/>
            <w:vAlign w:val="center"/>
          </w:tcPr>
          <w:p w14:paraId="241C7EB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1</w:t>
            </w:r>
          </w:p>
        </w:tc>
        <w:tc>
          <w:tcPr>
            <w:tcW w:w="2232" w:type="dxa"/>
            <w:shd w:val="clear" w:color="auto" w:fill="FFFFFF"/>
            <w:vAlign w:val="center"/>
          </w:tcPr>
          <w:p w14:paraId="591729A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0.113</w:t>
            </w:r>
          </w:p>
        </w:tc>
        <w:tc>
          <w:tcPr>
            <w:tcW w:w="2664" w:type="dxa"/>
            <w:shd w:val="clear" w:color="auto" w:fill="FFFFFF"/>
            <w:vAlign w:val="center"/>
          </w:tcPr>
          <w:p w14:paraId="7B5677C0">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0.113</w:t>
            </w:r>
          </w:p>
        </w:tc>
      </w:tr>
      <w:tr w14:paraId="6DFCB5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shd w:val="clear" w:color="auto" w:fill="FFFFFF"/>
            <w:vAlign w:val="center"/>
          </w:tcPr>
          <w:p w14:paraId="56A7650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p>
        </w:tc>
        <w:tc>
          <w:tcPr>
            <w:tcW w:w="1440" w:type="dxa"/>
            <w:shd w:val="clear" w:color="auto" w:fill="FFFFFF"/>
            <w:vAlign w:val="center"/>
          </w:tcPr>
          <w:p w14:paraId="114513B4">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2</w:t>
            </w:r>
          </w:p>
        </w:tc>
        <w:tc>
          <w:tcPr>
            <w:tcW w:w="2232" w:type="dxa"/>
            <w:shd w:val="clear" w:color="auto" w:fill="FFFFFF"/>
            <w:vAlign w:val="center"/>
          </w:tcPr>
          <w:p w14:paraId="64AE090F">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0.391</w:t>
            </w:r>
          </w:p>
        </w:tc>
        <w:tc>
          <w:tcPr>
            <w:tcW w:w="2664" w:type="dxa"/>
            <w:shd w:val="clear" w:color="auto" w:fill="FFFFFF"/>
            <w:vAlign w:val="center"/>
          </w:tcPr>
          <w:p w14:paraId="373F67E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0.109</w:t>
            </w:r>
          </w:p>
        </w:tc>
      </w:tr>
      <w:tr w14:paraId="741E7E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bottom w:val="single" w:color="000000" w:sz="12" w:space="0"/>
            </w:tcBorders>
            <w:shd w:val="clear" w:color="auto" w:fill="FFFFFF"/>
            <w:vAlign w:val="center"/>
          </w:tcPr>
          <w:p w14:paraId="3188666E">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p>
        </w:tc>
        <w:tc>
          <w:tcPr>
            <w:tcW w:w="1440" w:type="dxa"/>
            <w:tcBorders>
              <w:bottom w:val="single" w:color="000000" w:sz="12" w:space="0"/>
            </w:tcBorders>
            <w:shd w:val="clear" w:color="auto" w:fill="FFFFFF"/>
            <w:vAlign w:val="center"/>
          </w:tcPr>
          <w:p w14:paraId="4537D29D">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Model 3</w:t>
            </w:r>
          </w:p>
        </w:tc>
        <w:tc>
          <w:tcPr>
            <w:tcW w:w="2232" w:type="dxa"/>
            <w:tcBorders>
              <w:bottom w:val="single" w:color="000000" w:sz="12" w:space="0"/>
            </w:tcBorders>
            <w:shd w:val="clear" w:color="auto" w:fill="FFFFFF"/>
            <w:vAlign w:val="center"/>
          </w:tcPr>
          <w:p w14:paraId="7E496FA5">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0.537</w:t>
            </w:r>
          </w:p>
        </w:tc>
        <w:tc>
          <w:tcPr>
            <w:tcW w:w="2664" w:type="dxa"/>
            <w:tcBorders>
              <w:bottom w:val="single" w:color="000000" w:sz="12" w:space="0"/>
            </w:tcBorders>
            <w:shd w:val="clear" w:color="auto" w:fill="FFFFFF"/>
            <w:vAlign w:val="center"/>
          </w:tcPr>
          <w:p w14:paraId="223FB8D2">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color w:val="000000"/>
                <w:sz w:val="24"/>
                <w:szCs w:val="24"/>
                <w:highlight w:val="none"/>
              </w:rPr>
            </w:pPr>
            <w:r>
              <w:rPr>
                <w:rFonts w:hint="default" w:ascii="Times New Roman" w:hAnsi="Times New Roman" w:cs="Times New Roman" w:eastAsiaTheme="minorEastAsia"/>
                <w:b w:val="0"/>
                <w:color w:val="000000"/>
                <w:sz w:val="24"/>
                <w:szCs w:val="24"/>
                <w:highlight w:val="none"/>
              </w:rPr>
              <w:t>0.111</w:t>
            </w:r>
          </w:p>
        </w:tc>
      </w:tr>
    </w:tbl>
    <w:p w14:paraId="3F1D3D46">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PH, proportional hazards; TyGFI, triglyceride-glucose frailty index. Model 1: unadjusted for any covariates. Model 2: adjusted for age, sex, BMI, smoking status, and drinking status. Model 3: adjusted for variables in Model 2 plus diabetes, dyslipidemia, heart disease, stroke, and kidney disease. PH assumption was assessed using Schoenfeld residual-based diagnostics. Event time was approximated as 7 years for hypertension first recorded at Wave 4 and 9 years for hypertension first recorded at Wave 5; participants without incident hypertension were censored at 9 years. P &gt;= 0.05 indicates no evidence against the PH assumption.</w:t>
      </w:r>
    </w:p>
    <w:p w14:paraId="07B442D7">
      <w:pPr>
        <w:pageBreakBefore w:val="0"/>
        <w:widowControl/>
        <w:kinsoku/>
        <w:wordWrap/>
        <w:overflowPunct/>
        <w:topLinePunct w:val="0"/>
        <w:bidi w:val="0"/>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br w:type="page"/>
      </w:r>
    </w:p>
    <w:p w14:paraId="0925333C">
      <w:pPr>
        <w:pageBreakBefore w:val="0"/>
        <w:widowControl/>
        <w:kinsoku/>
        <w:wordWrap/>
        <w:overflowPunct/>
        <w:topLinePunct w:val="0"/>
        <w:bidi w:val="0"/>
        <w:spacing w:after="120" w:line="360" w:lineRule="auto"/>
        <w:rPr>
          <w:rFonts w:hint="default" w:ascii="Times New Roman" w:hAnsi="Times New Roman" w:cs="Times New Roman"/>
          <w:sz w:val="24"/>
          <w:szCs w:val="24"/>
          <w:highlight w:val="none"/>
        </w:rPr>
      </w:pPr>
      <w:r>
        <w:rPr>
          <w:rFonts w:hint="default" w:ascii="Times New Roman" w:hAnsi="Times New Roman" w:cs="Times New Roman" w:eastAsiaTheme="minorEastAsia"/>
          <w:b/>
          <w:bCs/>
          <w:sz w:val="24"/>
          <w:szCs w:val="24"/>
          <w:highlight w:val="none"/>
        </w:rPr>
        <w:t xml:space="preserve">Supplementary </w:t>
      </w:r>
      <w:r>
        <w:rPr>
          <w:rFonts w:hint="default" w:ascii="Times New Roman" w:hAnsi="Times New Roman" w:cs="Times New Roman"/>
          <w:b/>
          <w:sz w:val="24"/>
          <w:szCs w:val="24"/>
          <w:highlight w:val="none"/>
        </w:rPr>
        <w:t>Table S</w:t>
      </w:r>
      <w:r>
        <w:rPr>
          <w:rFonts w:hint="default" w:ascii="Times New Roman" w:hAnsi="Times New Roman" w:eastAsia="宋体" w:cs="Times New Roman"/>
          <w:b/>
          <w:sz w:val="24"/>
          <w:szCs w:val="24"/>
          <w:highlight w:val="none"/>
          <w:lang w:val="en-US" w:eastAsia="zh-CN"/>
        </w:rPr>
        <w:t>6</w:t>
      </w:r>
      <w:r>
        <w:rPr>
          <w:rFonts w:hint="default" w:ascii="Times New Roman" w:hAnsi="Times New Roman" w:cs="Times New Roman"/>
          <w:b/>
          <w:sz w:val="24"/>
          <w:szCs w:val="24"/>
          <w:highlight w:val="none"/>
        </w:rPr>
        <w:t>. Predictive performance, calibration, and internal validation of cumulative TyGFI and its components.</w:t>
      </w:r>
    </w:p>
    <w:tbl>
      <w:tblPr>
        <w:tblStyle w:val="8"/>
        <w:tblW w:w="1170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300"/>
        <w:gridCol w:w="900"/>
        <w:gridCol w:w="1700"/>
        <w:gridCol w:w="1100"/>
        <w:gridCol w:w="1900"/>
        <w:gridCol w:w="1600"/>
      </w:tblGrid>
      <w:tr w14:paraId="2262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000000" w:sz="12" w:space="0"/>
              <w:left w:val="nil"/>
              <w:bottom w:val="single" w:color="000000" w:sz="4" w:space="0"/>
              <w:right w:val="nil"/>
              <w:tl2br w:val="nil"/>
            </w:tcBorders>
            <w:shd w:val="clear" w:color="auto" w:fill="FFFFFF"/>
            <w:tcMar>
              <w:top w:w="70" w:type="dxa"/>
              <w:left w:w="100" w:type="dxa"/>
              <w:bottom w:w="70" w:type="dxa"/>
              <w:right w:w="100" w:type="dxa"/>
            </w:tcMar>
            <w:vAlign w:val="center"/>
          </w:tcPr>
          <w:p w14:paraId="5782664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Follow-up</w:t>
            </w:r>
          </w:p>
        </w:tc>
        <w:tc>
          <w:tcPr>
            <w:tcW w:w="33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31A5DEA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Model</w:t>
            </w:r>
          </w:p>
        </w:tc>
        <w:tc>
          <w:tcPr>
            <w:tcW w:w="9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012FF36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AUC</w:t>
            </w:r>
          </w:p>
        </w:tc>
        <w:tc>
          <w:tcPr>
            <w:tcW w:w="17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4B881CF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Optimism-corrected AUC</w:t>
            </w:r>
          </w:p>
        </w:tc>
        <w:tc>
          <w:tcPr>
            <w:tcW w:w="11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77E8C30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Brier score</w:t>
            </w:r>
          </w:p>
        </w:tc>
        <w:tc>
          <w:tcPr>
            <w:tcW w:w="19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3F70A50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Optimism-corrected Brier</w:t>
            </w:r>
          </w:p>
        </w:tc>
        <w:tc>
          <w:tcPr>
            <w:tcW w:w="1600" w:type="dxa"/>
            <w:tcBorders>
              <w:top w:val="single" w:color="000000" w:sz="12" w:space="0"/>
              <w:left w:val="nil"/>
              <w:bottom w:val="single" w:color="000000" w:sz="4" w:space="0"/>
              <w:right w:val="nil"/>
            </w:tcBorders>
            <w:shd w:val="clear" w:color="auto" w:fill="FFFFFF"/>
            <w:tcMar>
              <w:top w:w="70" w:type="dxa"/>
              <w:left w:w="100" w:type="dxa"/>
              <w:bottom w:w="70" w:type="dxa"/>
              <w:right w:w="100" w:type="dxa"/>
            </w:tcMar>
            <w:vAlign w:val="center"/>
          </w:tcPr>
          <w:p w14:paraId="4E7B560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Corrected calibration slope</w:t>
            </w:r>
          </w:p>
        </w:tc>
      </w:tr>
      <w:tr w14:paraId="2FBA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0CC75D0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7-year follow-up</w:t>
            </w:r>
          </w:p>
        </w:tc>
        <w:tc>
          <w:tcPr>
            <w:tcW w:w="33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2645903F">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w:t>
            </w:r>
          </w:p>
        </w:tc>
        <w:tc>
          <w:tcPr>
            <w:tcW w:w="9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231AD707">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0.57</w:t>
            </w:r>
            <w:r>
              <w:rPr>
                <w:rFonts w:hint="default" w:ascii="Times New Roman" w:hAnsi="Times New Roman" w:eastAsia="宋体" w:cs="Times New Roman"/>
                <w:b w:val="0"/>
                <w:color w:val="000000"/>
                <w:sz w:val="24"/>
                <w:szCs w:val="24"/>
                <w:highlight w:val="none"/>
                <w:lang w:val="en-US" w:eastAsia="zh-CN"/>
              </w:rPr>
              <w:t>9</w:t>
            </w:r>
          </w:p>
        </w:tc>
        <w:tc>
          <w:tcPr>
            <w:tcW w:w="17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669D800F">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0.554</w:t>
            </w:r>
          </w:p>
        </w:tc>
        <w:tc>
          <w:tcPr>
            <w:tcW w:w="11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4740302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9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5560EF5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0.136</w:t>
            </w:r>
          </w:p>
        </w:tc>
        <w:tc>
          <w:tcPr>
            <w:tcW w:w="1600" w:type="dxa"/>
            <w:tcBorders>
              <w:top w:val="single" w:color="000000" w:sz="4" w:space="0"/>
              <w:left w:val="nil"/>
              <w:bottom w:val="nil"/>
              <w:right w:val="nil"/>
            </w:tcBorders>
            <w:shd w:val="clear" w:color="auto" w:fill="FFFFFF"/>
            <w:tcMar>
              <w:top w:w="70" w:type="dxa"/>
              <w:left w:w="100" w:type="dxa"/>
              <w:bottom w:w="70" w:type="dxa"/>
              <w:right w:w="100" w:type="dxa"/>
            </w:tcMar>
            <w:vAlign w:val="center"/>
          </w:tcPr>
          <w:p w14:paraId="791CE50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0.672</w:t>
            </w:r>
          </w:p>
        </w:tc>
      </w:tr>
      <w:tr w14:paraId="0083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3183801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0BB52D7E">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TyG</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6EA9AFE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0.576</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65C4FBB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0.561</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7C4D034C">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0177849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0.136</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06A580B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0.743</w:t>
            </w:r>
          </w:p>
        </w:tc>
      </w:tr>
      <w:tr w14:paraId="00F6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72EFBAF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23EC7695">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FI</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75A4C631">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0.57</w:t>
            </w:r>
            <w:r>
              <w:rPr>
                <w:rFonts w:hint="default" w:ascii="Times New Roman" w:hAnsi="Times New Roman" w:eastAsia="宋体" w:cs="Times New Roman"/>
                <w:b w:val="0"/>
                <w:color w:val="000000"/>
                <w:sz w:val="24"/>
                <w:szCs w:val="24"/>
                <w:highlight w:val="none"/>
                <w:lang w:val="en-US" w:eastAsia="zh-CN"/>
              </w:rPr>
              <w:t>5</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106E401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0.560</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64ECB42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21303B3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0.136</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09664C1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0.696</w:t>
            </w:r>
          </w:p>
        </w:tc>
      </w:tr>
      <w:tr w14:paraId="25D5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094DA7DD">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7BB1022B">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baseline TyGFI</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14C64B9F">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0.578</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3B29094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0.563</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2E01679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7158ADB3">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0.137</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5B5FCF7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0.721</w:t>
            </w:r>
          </w:p>
        </w:tc>
      </w:tr>
      <w:tr w14:paraId="230A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141DBF0B">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auto"/>
            <w:tcMar>
              <w:top w:w="70" w:type="dxa"/>
              <w:left w:w="100" w:type="dxa"/>
              <w:bottom w:w="70" w:type="dxa"/>
              <w:right w:w="100" w:type="dxa"/>
            </w:tcMar>
            <w:vAlign w:val="center"/>
          </w:tcPr>
          <w:p w14:paraId="1CAE830A">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Full model + cumulative TyG</w:t>
            </w:r>
          </w:p>
        </w:tc>
        <w:tc>
          <w:tcPr>
            <w:tcW w:w="900" w:type="dxa"/>
            <w:tcBorders>
              <w:top w:val="nil"/>
              <w:left w:val="nil"/>
              <w:bottom w:val="nil"/>
              <w:right w:val="nil"/>
            </w:tcBorders>
            <w:shd w:val="clear" w:color="auto" w:fill="auto"/>
            <w:tcMar>
              <w:top w:w="70" w:type="dxa"/>
              <w:left w:w="100" w:type="dxa"/>
              <w:bottom w:w="70" w:type="dxa"/>
              <w:right w:w="100" w:type="dxa"/>
            </w:tcMar>
            <w:vAlign w:val="center"/>
          </w:tcPr>
          <w:p w14:paraId="70F04654">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0.581</w:t>
            </w:r>
          </w:p>
        </w:tc>
        <w:tc>
          <w:tcPr>
            <w:tcW w:w="1700" w:type="dxa"/>
            <w:tcBorders>
              <w:top w:val="nil"/>
              <w:left w:val="nil"/>
              <w:bottom w:val="nil"/>
              <w:right w:val="nil"/>
            </w:tcBorders>
            <w:shd w:val="clear" w:color="auto" w:fill="auto"/>
            <w:tcMar>
              <w:top w:w="70" w:type="dxa"/>
              <w:left w:w="100" w:type="dxa"/>
              <w:bottom w:w="70" w:type="dxa"/>
              <w:right w:w="100" w:type="dxa"/>
            </w:tcMar>
            <w:vAlign w:val="center"/>
          </w:tcPr>
          <w:p w14:paraId="481F4F8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0.567</w:t>
            </w:r>
          </w:p>
        </w:tc>
        <w:tc>
          <w:tcPr>
            <w:tcW w:w="1100" w:type="dxa"/>
            <w:tcBorders>
              <w:top w:val="nil"/>
              <w:left w:val="nil"/>
              <w:bottom w:val="nil"/>
              <w:right w:val="nil"/>
            </w:tcBorders>
            <w:shd w:val="clear" w:color="auto" w:fill="auto"/>
            <w:tcMar>
              <w:top w:w="70" w:type="dxa"/>
              <w:left w:w="100" w:type="dxa"/>
              <w:bottom w:w="70" w:type="dxa"/>
              <w:right w:w="100" w:type="dxa"/>
            </w:tcMar>
            <w:vAlign w:val="center"/>
          </w:tcPr>
          <w:p w14:paraId="082638C3">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auto"/>
            <w:tcMar>
              <w:top w:w="70" w:type="dxa"/>
              <w:left w:w="100" w:type="dxa"/>
              <w:bottom w:w="70" w:type="dxa"/>
              <w:right w:w="100" w:type="dxa"/>
            </w:tcMar>
            <w:vAlign w:val="center"/>
          </w:tcPr>
          <w:p w14:paraId="3664BD67">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0.136</w:t>
            </w:r>
          </w:p>
        </w:tc>
        <w:tc>
          <w:tcPr>
            <w:tcW w:w="1600" w:type="dxa"/>
            <w:tcBorders>
              <w:top w:val="nil"/>
              <w:left w:val="nil"/>
              <w:bottom w:val="nil"/>
              <w:right w:val="nil"/>
            </w:tcBorders>
            <w:shd w:val="clear" w:color="auto" w:fill="auto"/>
            <w:tcMar>
              <w:top w:w="70" w:type="dxa"/>
              <w:left w:w="100" w:type="dxa"/>
              <w:bottom w:w="70" w:type="dxa"/>
              <w:right w:w="100" w:type="dxa"/>
            </w:tcMar>
            <w:vAlign w:val="center"/>
          </w:tcPr>
          <w:p w14:paraId="1C72ED8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0.712</w:t>
            </w:r>
          </w:p>
        </w:tc>
      </w:tr>
      <w:tr w14:paraId="749C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3D936971">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auto"/>
            <w:tcMar>
              <w:top w:w="70" w:type="dxa"/>
              <w:left w:w="100" w:type="dxa"/>
              <w:bottom w:w="70" w:type="dxa"/>
              <w:right w:w="100" w:type="dxa"/>
            </w:tcMar>
            <w:vAlign w:val="center"/>
          </w:tcPr>
          <w:p w14:paraId="597D3A23">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Full model + cumulative FI</w:t>
            </w:r>
          </w:p>
        </w:tc>
        <w:tc>
          <w:tcPr>
            <w:tcW w:w="900" w:type="dxa"/>
            <w:tcBorders>
              <w:top w:val="nil"/>
              <w:left w:val="nil"/>
              <w:bottom w:val="nil"/>
              <w:right w:val="nil"/>
            </w:tcBorders>
            <w:shd w:val="clear" w:color="auto" w:fill="auto"/>
            <w:tcMar>
              <w:top w:w="70" w:type="dxa"/>
              <w:left w:w="100" w:type="dxa"/>
              <w:bottom w:w="70" w:type="dxa"/>
              <w:right w:w="100" w:type="dxa"/>
            </w:tcMar>
            <w:vAlign w:val="center"/>
          </w:tcPr>
          <w:p w14:paraId="3A30C46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0.586</w:t>
            </w:r>
          </w:p>
        </w:tc>
        <w:tc>
          <w:tcPr>
            <w:tcW w:w="1700" w:type="dxa"/>
            <w:tcBorders>
              <w:top w:val="nil"/>
              <w:left w:val="nil"/>
              <w:bottom w:val="nil"/>
              <w:right w:val="nil"/>
            </w:tcBorders>
            <w:shd w:val="clear" w:color="auto" w:fill="auto"/>
            <w:tcMar>
              <w:top w:w="70" w:type="dxa"/>
              <w:left w:w="100" w:type="dxa"/>
              <w:bottom w:w="70" w:type="dxa"/>
              <w:right w:w="100" w:type="dxa"/>
            </w:tcMar>
            <w:vAlign w:val="center"/>
          </w:tcPr>
          <w:p w14:paraId="3EE083B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0.572</w:t>
            </w:r>
          </w:p>
        </w:tc>
        <w:tc>
          <w:tcPr>
            <w:tcW w:w="1100" w:type="dxa"/>
            <w:tcBorders>
              <w:top w:val="nil"/>
              <w:left w:val="nil"/>
              <w:bottom w:val="nil"/>
              <w:right w:val="nil"/>
            </w:tcBorders>
            <w:shd w:val="clear" w:color="auto" w:fill="auto"/>
            <w:tcMar>
              <w:top w:w="70" w:type="dxa"/>
              <w:left w:w="100" w:type="dxa"/>
              <w:bottom w:w="70" w:type="dxa"/>
              <w:right w:w="100" w:type="dxa"/>
            </w:tcMar>
            <w:vAlign w:val="center"/>
          </w:tcPr>
          <w:p w14:paraId="35B90BE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auto"/>
            <w:tcMar>
              <w:top w:w="70" w:type="dxa"/>
              <w:left w:w="100" w:type="dxa"/>
              <w:bottom w:w="70" w:type="dxa"/>
              <w:right w:w="100" w:type="dxa"/>
            </w:tcMar>
            <w:vAlign w:val="center"/>
          </w:tcPr>
          <w:p w14:paraId="692C584A">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0.136</w:t>
            </w:r>
          </w:p>
        </w:tc>
        <w:tc>
          <w:tcPr>
            <w:tcW w:w="1600" w:type="dxa"/>
            <w:tcBorders>
              <w:top w:val="nil"/>
              <w:left w:val="nil"/>
              <w:bottom w:val="nil"/>
              <w:right w:val="nil"/>
            </w:tcBorders>
            <w:shd w:val="clear" w:color="auto" w:fill="auto"/>
            <w:tcMar>
              <w:top w:w="70" w:type="dxa"/>
              <w:left w:w="100" w:type="dxa"/>
              <w:bottom w:w="70" w:type="dxa"/>
              <w:right w:w="100" w:type="dxa"/>
            </w:tcMar>
            <w:vAlign w:val="center"/>
          </w:tcPr>
          <w:p w14:paraId="053D3705">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0.693</w:t>
            </w:r>
          </w:p>
        </w:tc>
      </w:tr>
      <w:tr w14:paraId="768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4C984A1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31E8E926">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cumulative TyGFI</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2D9F2C6A">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94</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18E91E7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0.574</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68B0926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35E72537">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0.135</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4DDB5AE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0.792</w:t>
            </w:r>
          </w:p>
        </w:tc>
      </w:tr>
      <w:tr w14:paraId="1518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5C7B1917">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9-year follow-up</w:t>
            </w: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58912D61">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1E688FCD">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79</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0F41806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7</w:t>
            </w:r>
            <w:r>
              <w:rPr>
                <w:rFonts w:hint="default" w:ascii="Times New Roman" w:hAnsi="Times New Roman" w:cs="Times New Roman"/>
                <w:b w:val="0"/>
                <w:color w:val="000000"/>
                <w:sz w:val="24"/>
                <w:szCs w:val="24"/>
                <w:highlight w:val="none"/>
              </w:rPr>
              <w:t>2</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49571CB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0.187</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0ACD2C4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0.188</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7273DC4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0.831</w:t>
            </w:r>
          </w:p>
        </w:tc>
      </w:tr>
      <w:tr w14:paraId="68EF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3605BF3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54D84C02">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TyG</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7552D17C">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89</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1E3637A2">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81</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5B43567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0.186</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4D85EA1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0.187</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37DBACE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0.866</w:t>
            </w:r>
          </w:p>
        </w:tc>
      </w:tr>
      <w:tr w14:paraId="7073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1630A3A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60A64064">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FI</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2DB09979">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88</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70647D32">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0.58</w:t>
            </w:r>
            <w:r>
              <w:rPr>
                <w:rFonts w:hint="default" w:ascii="Times New Roman" w:hAnsi="Times New Roman" w:eastAsia="宋体" w:cs="Times New Roman"/>
                <w:b w:val="0"/>
                <w:color w:val="000000"/>
                <w:sz w:val="24"/>
                <w:szCs w:val="24"/>
                <w:highlight w:val="none"/>
                <w:lang w:val="en-US" w:eastAsia="zh-CN"/>
              </w:rPr>
              <w:t>4</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4D61B68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0.187</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2A11929F">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0.188</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7FFE6AA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0.829</w:t>
            </w:r>
          </w:p>
        </w:tc>
      </w:tr>
      <w:tr w14:paraId="792B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0A71418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FFFFFF"/>
            <w:tcMar>
              <w:top w:w="70" w:type="dxa"/>
              <w:left w:w="100" w:type="dxa"/>
              <w:bottom w:w="70" w:type="dxa"/>
              <w:right w:w="100" w:type="dxa"/>
            </w:tcMar>
            <w:vAlign w:val="center"/>
          </w:tcPr>
          <w:p w14:paraId="3F431BDF">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baseline TyGFI</w:t>
            </w:r>
          </w:p>
        </w:tc>
        <w:tc>
          <w:tcPr>
            <w:tcW w:w="900" w:type="dxa"/>
            <w:tcBorders>
              <w:top w:val="nil"/>
              <w:left w:val="nil"/>
              <w:bottom w:val="nil"/>
              <w:right w:val="nil"/>
            </w:tcBorders>
            <w:shd w:val="clear" w:color="auto" w:fill="FFFFFF"/>
            <w:tcMar>
              <w:top w:w="70" w:type="dxa"/>
              <w:left w:w="100" w:type="dxa"/>
              <w:bottom w:w="70" w:type="dxa"/>
              <w:right w:w="100" w:type="dxa"/>
            </w:tcMar>
            <w:vAlign w:val="center"/>
          </w:tcPr>
          <w:p w14:paraId="015263EC">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w:t>
            </w:r>
            <w:r>
              <w:rPr>
                <w:rFonts w:hint="default" w:ascii="Times New Roman" w:hAnsi="Times New Roman" w:eastAsia="宋体" w:cs="Times New Roman"/>
                <w:b w:val="0"/>
                <w:color w:val="000000"/>
                <w:sz w:val="24"/>
                <w:szCs w:val="24"/>
                <w:highlight w:val="none"/>
                <w:lang w:val="en-US" w:eastAsia="zh-CN"/>
              </w:rPr>
              <w:t>591</w:t>
            </w:r>
          </w:p>
        </w:tc>
        <w:tc>
          <w:tcPr>
            <w:tcW w:w="1700" w:type="dxa"/>
            <w:tcBorders>
              <w:top w:val="nil"/>
              <w:left w:val="nil"/>
              <w:bottom w:val="nil"/>
              <w:right w:val="nil"/>
            </w:tcBorders>
            <w:shd w:val="clear" w:color="auto" w:fill="FFFFFF"/>
            <w:tcMar>
              <w:top w:w="70" w:type="dxa"/>
              <w:left w:w="100" w:type="dxa"/>
              <w:bottom w:w="70" w:type="dxa"/>
              <w:right w:w="100" w:type="dxa"/>
            </w:tcMar>
            <w:vAlign w:val="center"/>
          </w:tcPr>
          <w:p w14:paraId="2A12BB57">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0.5</w:t>
            </w:r>
            <w:r>
              <w:rPr>
                <w:rFonts w:hint="default" w:ascii="Times New Roman" w:hAnsi="Times New Roman" w:eastAsia="宋体" w:cs="Times New Roman"/>
                <w:b w:val="0"/>
                <w:color w:val="000000"/>
                <w:sz w:val="24"/>
                <w:szCs w:val="24"/>
                <w:highlight w:val="none"/>
                <w:lang w:val="en-US" w:eastAsia="zh-CN"/>
              </w:rPr>
              <w:t>87</w:t>
            </w:r>
          </w:p>
        </w:tc>
        <w:tc>
          <w:tcPr>
            <w:tcW w:w="1100" w:type="dxa"/>
            <w:tcBorders>
              <w:top w:val="nil"/>
              <w:left w:val="nil"/>
              <w:bottom w:val="nil"/>
              <w:right w:val="nil"/>
            </w:tcBorders>
            <w:shd w:val="clear" w:color="auto" w:fill="FFFFFF"/>
            <w:tcMar>
              <w:top w:w="70" w:type="dxa"/>
              <w:left w:w="100" w:type="dxa"/>
              <w:bottom w:w="70" w:type="dxa"/>
              <w:right w:w="100" w:type="dxa"/>
            </w:tcMar>
            <w:vAlign w:val="center"/>
          </w:tcPr>
          <w:p w14:paraId="2196B80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0.186</w:t>
            </w:r>
          </w:p>
        </w:tc>
        <w:tc>
          <w:tcPr>
            <w:tcW w:w="1900" w:type="dxa"/>
            <w:tcBorders>
              <w:top w:val="nil"/>
              <w:left w:val="nil"/>
              <w:bottom w:val="nil"/>
              <w:right w:val="nil"/>
            </w:tcBorders>
            <w:shd w:val="clear" w:color="auto" w:fill="FFFFFF"/>
            <w:tcMar>
              <w:top w:w="70" w:type="dxa"/>
              <w:left w:w="100" w:type="dxa"/>
              <w:bottom w:w="70" w:type="dxa"/>
              <w:right w:w="100" w:type="dxa"/>
            </w:tcMar>
            <w:vAlign w:val="center"/>
          </w:tcPr>
          <w:p w14:paraId="12EE8925">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0.188</w:t>
            </w:r>
          </w:p>
        </w:tc>
        <w:tc>
          <w:tcPr>
            <w:tcW w:w="1600" w:type="dxa"/>
            <w:tcBorders>
              <w:top w:val="nil"/>
              <w:left w:val="nil"/>
              <w:bottom w:val="nil"/>
              <w:right w:val="nil"/>
            </w:tcBorders>
            <w:shd w:val="clear" w:color="auto" w:fill="FFFFFF"/>
            <w:tcMar>
              <w:top w:w="70" w:type="dxa"/>
              <w:left w:w="100" w:type="dxa"/>
              <w:bottom w:w="70" w:type="dxa"/>
              <w:right w:w="100" w:type="dxa"/>
            </w:tcMar>
            <w:vAlign w:val="center"/>
          </w:tcPr>
          <w:p w14:paraId="5C3E6687">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0.852</w:t>
            </w:r>
          </w:p>
        </w:tc>
      </w:tr>
      <w:tr w14:paraId="35A0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7101AE6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auto"/>
            <w:tcMar>
              <w:top w:w="70" w:type="dxa"/>
              <w:left w:w="100" w:type="dxa"/>
              <w:bottom w:w="70" w:type="dxa"/>
              <w:right w:w="100" w:type="dxa"/>
            </w:tcMar>
            <w:vAlign w:val="center"/>
          </w:tcPr>
          <w:p w14:paraId="4ED1D243">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Full model + cumulative TyG</w:t>
            </w:r>
          </w:p>
        </w:tc>
        <w:tc>
          <w:tcPr>
            <w:tcW w:w="900" w:type="dxa"/>
            <w:tcBorders>
              <w:top w:val="nil"/>
              <w:left w:val="nil"/>
              <w:bottom w:val="nil"/>
              <w:right w:val="nil"/>
            </w:tcBorders>
            <w:shd w:val="clear" w:color="auto" w:fill="auto"/>
            <w:tcMar>
              <w:top w:w="70" w:type="dxa"/>
              <w:left w:w="100" w:type="dxa"/>
              <w:bottom w:w="70" w:type="dxa"/>
              <w:right w:w="100" w:type="dxa"/>
            </w:tcMar>
            <w:vAlign w:val="center"/>
          </w:tcPr>
          <w:p w14:paraId="7951273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0.599</w:t>
            </w:r>
          </w:p>
        </w:tc>
        <w:tc>
          <w:tcPr>
            <w:tcW w:w="1700" w:type="dxa"/>
            <w:tcBorders>
              <w:top w:val="nil"/>
              <w:left w:val="nil"/>
              <w:bottom w:val="nil"/>
              <w:right w:val="nil"/>
            </w:tcBorders>
            <w:shd w:val="clear" w:color="auto" w:fill="auto"/>
            <w:tcMar>
              <w:top w:w="70" w:type="dxa"/>
              <w:left w:w="100" w:type="dxa"/>
              <w:bottom w:w="70" w:type="dxa"/>
              <w:right w:w="100" w:type="dxa"/>
            </w:tcMar>
            <w:vAlign w:val="center"/>
          </w:tcPr>
          <w:p w14:paraId="461AA58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0.590</w:t>
            </w:r>
          </w:p>
        </w:tc>
        <w:tc>
          <w:tcPr>
            <w:tcW w:w="1100" w:type="dxa"/>
            <w:tcBorders>
              <w:top w:val="nil"/>
              <w:left w:val="nil"/>
              <w:bottom w:val="nil"/>
              <w:right w:val="nil"/>
            </w:tcBorders>
            <w:shd w:val="clear" w:color="auto" w:fill="auto"/>
            <w:tcMar>
              <w:top w:w="70" w:type="dxa"/>
              <w:left w:w="100" w:type="dxa"/>
              <w:bottom w:w="70" w:type="dxa"/>
              <w:right w:w="100" w:type="dxa"/>
            </w:tcMar>
            <w:vAlign w:val="center"/>
          </w:tcPr>
          <w:p w14:paraId="6C83AC9C">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0.186</w:t>
            </w:r>
          </w:p>
        </w:tc>
        <w:tc>
          <w:tcPr>
            <w:tcW w:w="1900" w:type="dxa"/>
            <w:tcBorders>
              <w:top w:val="nil"/>
              <w:left w:val="nil"/>
              <w:bottom w:val="nil"/>
              <w:right w:val="nil"/>
            </w:tcBorders>
            <w:shd w:val="clear" w:color="auto" w:fill="auto"/>
            <w:tcMar>
              <w:top w:w="70" w:type="dxa"/>
              <w:left w:w="100" w:type="dxa"/>
              <w:bottom w:w="70" w:type="dxa"/>
              <w:right w:w="100" w:type="dxa"/>
            </w:tcMar>
            <w:vAlign w:val="center"/>
          </w:tcPr>
          <w:p w14:paraId="3A97748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0.187</w:t>
            </w:r>
          </w:p>
        </w:tc>
        <w:tc>
          <w:tcPr>
            <w:tcW w:w="1600" w:type="dxa"/>
            <w:tcBorders>
              <w:top w:val="nil"/>
              <w:left w:val="nil"/>
              <w:bottom w:val="nil"/>
              <w:right w:val="nil"/>
            </w:tcBorders>
            <w:shd w:val="clear" w:color="auto" w:fill="auto"/>
            <w:tcMar>
              <w:top w:w="70" w:type="dxa"/>
              <w:left w:w="100" w:type="dxa"/>
              <w:bottom w:w="70" w:type="dxa"/>
              <w:right w:w="100" w:type="dxa"/>
            </w:tcMar>
            <w:vAlign w:val="center"/>
          </w:tcPr>
          <w:p w14:paraId="7B3D95BC">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0.814</w:t>
            </w:r>
          </w:p>
        </w:tc>
      </w:tr>
      <w:tr w14:paraId="5728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nil"/>
              <w:right w:val="nil"/>
            </w:tcBorders>
            <w:shd w:val="clear" w:color="auto" w:fill="FFFFFF"/>
            <w:tcMar>
              <w:top w:w="70" w:type="dxa"/>
              <w:left w:w="100" w:type="dxa"/>
              <w:bottom w:w="70" w:type="dxa"/>
              <w:right w:w="100" w:type="dxa"/>
            </w:tcMar>
            <w:vAlign w:val="center"/>
          </w:tcPr>
          <w:p w14:paraId="636EFD9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nil"/>
              <w:right w:val="nil"/>
            </w:tcBorders>
            <w:shd w:val="clear" w:color="auto" w:fill="auto"/>
            <w:tcMar>
              <w:top w:w="70" w:type="dxa"/>
              <w:left w:w="100" w:type="dxa"/>
              <w:bottom w:w="70" w:type="dxa"/>
              <w:right w:w="100" w:type="dxa"/>
            </w:tcMar>
            <w:vAlign w:val="center"/>
          </w:tcPr>
          <w:p w14:paraId="27DB5C51">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Full model + cumulative FI</w:t>
            </w:r>
          </w:p>
        </w:tc>
        <w:tc>
          <w:tcPr>
            <w:tcW w:w="900" w:type="dxa"/>
            <w:tcBorders>
              <w:top w:val="nil"/>
              <w:left w:val="nil"/>
              <w:bottom w:val="nil"/>
              <w:right w:val="nil"/>
            </w:tcBorders>
            <w:shd w:val="clear" w:color="auto" w:fill="auto"/>
            <w:tcMar>
              <w:top w:w="70" w:type="dxa"/>
              <w:left w:w="100" w:type="dxa"/>
              <w:bottom w:w="70" w:type="dxa"/>
              <w:right w:w="100" w:type="dxa"/>
            </w:tcMar>
            <w:vAlign w:val="center"/>
          </w:tcPr>
          <w:p w14:paraId="050B8B8C">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w:t>
            </w:r>
            <w:r>
              <w:rPr>
                <w:rFonts w:hint="default" w:ascii="Times New Roman" w:hAnsi="Times New Roman" w:eastAsia="宋体" w:cs="Times New Roman"/>
                <w:b w:val="0"/>
                <w:color w:val="000000"/>
                <w:sz w:val="24"/>
                <w:szCs w:val="24"/>
                <w:highlight w:val="none"/>
                <w:lang w:val="en-US" w:eastAsia="zh-CN"/>
              </w:rPr>
              <w:t>594</w:t>
            </w:r>
          </w:p>
        </w:tc>
        <w:tc>
          <w:tcPr>
            <w:tcW w:w="1700" w:type="dxa"/>
            <w:tcBorders>
              <w:top w:val="nil"/>
              <w:left w:val="nil"/>
              <w:bottom w:val="nil"/>
              <w:right w:val="nil"/>
            </w:tcBorders>
            <w:shd w:val="clear" w:color="auto" w:fill="auto"/>
            <w:tcMar>
              <w:top w:w="70" w:type="dxa"/>
              <w:left w:w="100" w:type="dxa"/>
              <w:bottom w:w="70" w:type="dxa"/>
              <w:right w:w="100" w:type="dxa"/>
            </w:tcMar>
            <w:vAlign w:val="center"/>
          </w:tcPr>
          <w:p w14:paraId="36B6D10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0.598</w:t>
            </w:r>
          </w:p>
        </w:tc>
        <w:tc>
          <w:tcPr>
            <w:tcW w:w="1100" w:type="dxa"/>
            <w:tcBorders>
              <w:top w:val="nil"/>
              <w:left w:val="nil"/>
              <w:bottom w:val="nil"/>
              <w:right w:val="nil"/>
            </w:tcBorders>
            <w:shd w:val="clear" w:color="auto" w:fill="auto"/>
            <w:tcMar>
              <w:top w:w="70" w:type="dxa"/>
              <w:left w:w="100" w:type="dxa"/>
              <w:bottom w:w="70" w:type="dxa"/>
              <w:right w:w="100" w:type="dxa"/>
            </w:tcMar>
            <w:vAlign w:val="center"/>
          </w:tcPr>
          <w:p w14:paraId="5DF95094">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0.186</w:t>
            </w:r>
          </w:p>
        </w:tc>
        <w:tc>
          <w:tcPr>
            <w:tcW w:w="1900" w:type="dxa"/>
            <w:tcBorders>
              <w:top w:val="nil"/>
              <w:left w:val="nil"/>
              <w:bottom w:val="nil"/>
              <w:right w:val="nil"/>
            </w:tcBorders>
            <w:shd w:val="clear" w:color="auto" w:fill="auto"/>
            <w:tcMar>
              <w:top w:w="70" w:type="dxa"/>
              <w:left w:w="100" w:type="dxa"/>
              <w:bottom w:w="70" w:type="dxa"/>
              <w:right w:w="100" w:type="dxa"/>
            </w:tcMar>
            <w:vAlign w:val="center"/>
          </w:tcPr>
          <w:p w14:paraId="61C7DD5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0.187</w:t>
            </w:r>
          </w:p>
        </w:tc>
        <w:tc>
          <w:tcPr>
            <w:tcW w:w="1600" w:type="dxa"/>
            <w:tcBorders>
              <w:top w:val="nil"/>
              <w:left w:val="nil"/>
              <w:bottom w:val="nil"/>
              <w:right w:val="nil"/>
            </w:tcBorders>
            <w:shd w:val="clear" w:color="auto" w:fill="auto"/>
            <w:tcMar>
              <w:top w:w="70" w:type="dxa"/>
              <w:left w:w="100" w:type="dxa"/>
              <w:bottom w:w="70" w:type="dxa"/>
              <w:right w:w="100" w:type="dxa"/>
            </w:tcMar>
            <w:vAlign w:val="center"/>
          </w:tcPr>
          <w:p w14:paraId="22E469CC">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AU" w:eastAsia="en-US"/>
              </w:rPr>
            </w:pPr>
            <w:r>
              <w:rPr>
                <w:rFonts w:hint="default" w:ascii="Times New Roman" w:hAnsi="Times New Roman" w:cs="Times New Roman"/>
                <w:b w:val="0"/>
                <w:color w:val="000000"/>
                <w:sz w:val="24"/>
                <w:szCs w:val="24"/>
                <w:highlight w:val="none"/>
              </w:rPr>
              <w:t>0.796</w:t>
            </w:r>
          </w:p>
        </w:tc>
      </w:tr>
      <w:tr w14:paraId="44E1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0D7D20AA">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33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730007F7">
            <w:pPr>
              <w:pageBreakBefore w:val="0"/>
              <w:widowControl/>
              <w:kinsoku/>
              <w:wordWrap/>
              <w:overflowPunct/>
              <w:topLinePunct w:val="0"/>
              <w:bidi w:val="0"/>
              <w:spacing w:after="0" w:line="360" w:lineRule="auto"/>
              <w:jc w:val="left"/>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Fully  model + cumulative TyGFI</w:t>
            </w:r>
          </w:p>
        </w:tc>
        <w:tc>
          <w:tcPr>
            <w:tcW w:w="9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53E1F22D">
            <w:pPr>
              <w:pageBreakBefore w:val="0"/>
              <w:widowControl/>
              <w:kinsoku/>
              <w:wordWrap/>
              <w:overflowPunct/>
              <w:topLinePunct w:val="0"/>
              <w:bidi w:val="0"/>
              <w:spacing w:after="0" w:line="360" w:lineRule="auto"/>
              <w:jc w:val="center"/>
              <w:rPr>
                <w:rFonts w:hint="default" w:ascii="Times New Roman" w:hAnsi="Times New Roman" w:eastAsia="宋体"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rPr>
              <w:t>0.60</w:t>
            </w:r>
            <w:r>
              <w:rPr>
                <w:rFonts w:hint="default" w:ascii="Times New Roman" w:hAnsi="Times New Roman" w:eastAsia="宋体" w:cs="Times New Roman"/>
                <w:b w:val="0"/>
                <w:color w:val="000000"/>
                <w:sz w:val="24"/>
                <w:szCs w:val="24"/>
                <w:highlight w:val="none"/>
                <w:lang w:val="en-US" w:eastAsia="zh-CN"/>
              </w:rPr>
              <w:t>1</w:t>
            </w:r>
          </w:p>
        </w:tc>
        <w:tc>
          <w:tcPr>
            <w:tcW w:w="17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7F41703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0.599</w:t>
            </w:r>
          </w:p>
        </w:tc>
        <w:tc>
          <w:tcPr>
            <w:tcW w:w="11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0393550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0.186</w:t>
            </w:r>
          </w:p>
        </w:tc>
        <w:tc>
          <w:tcPr>
            <w:tcW w:w="19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43287D3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0.187</w:t>
            </w:r>
          </w:p>
        </w:tc>
        <w:tc>
          <w:tcPr>
            <w:tcW w:w="1600" w:type="dxa"/>
            <w:tcBorders>
              <w:top w:val="nil"/>
              <w:left w:val="nil"/>
              <w:bottom w:val="single" w:color="000000" w:sz="12" w:space="0"/>
              <w:right w:val="nil"/>
            </w:tcBorders>
            <w:shd w:val="clear" w:color="auto" w:fill="FFFFFF"/>
            <w:tcMar>
              <w:top w:w="70" w:type="dxa"/>
              <w:left w:w="100" w:type="dxa"/>
              <w:bottom w:w="70" w:type="dxa"/>
              <w:right w:w="100" w:type="dxa"/>
            </w:tcMar>
            <w:vAlign w:val="center"/>
          </w:tcPr>
          <w:p w14:paraId="6CB93C0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0.866</w:t>
            </w:r>
          </w:p>
        </w:tc>
      </w:tr>
    </w:tbl>
    <w:p w14:paraId="3008A383">
      <w:pPr>
        <w:pageBreakBefore w:val="0"/>
        <w:widowControl/>
        <w:kinsoku/>
        <w:wordWrap/>
        <w:overflowPunct/>
        <w:topLinePunct w:val="0"/>
        <w:bidi w:val="0"/>
        <w:spacing w:line="360" w:lineRule="auto"/>
        <w:jc w:val="both"/>
        <w:rPr>
          <w:rFonts w:hint="default" w:ascii="Times New Roman" w:hAnsi="Times New Roman" w:cs="Times New Roman" w:eastAsiaTheme="minorEastAsia"/>
          <w:b w:val="0"/>
          <w:bCs w:val="0"/>
          <w:sz w:val="24"/>
          <w:szCs w:val="24"/>
          <w:highlight w:val="none"/>
        </w:rPr>
      </w:pPr>
      <w:r>
        <w:rPr>
          <w:rFonts w:hint="default" w:ascii="Times New Roman" w:hAnsi="Times New Roman" w:cs="Times New Roman" w:eastAsiaTheme="minorEastAsia"/>
          <w:b w:val="0"/>
          <w:bCs w:val="0"/>
          <w:sz w:val="24"/>
          <w:szCs w:val="24"/>
          <w:highlight w:val="none"/>
        </w:rPr>
        <w:t>AUC, area under the receiver operating characteristic curve; FI, frailty index; TyG, triglyceride-glucose index; TyGFI, triglyceride-glucose frailty index. The fully adjusted model included age, sex, BMI, smoking status, drinking status, diabetes, dyslipidemia, heart disease, stroke, and kidney disease. Missing covariates were multiply imputed before model fitting. Internal validation was performed using 1,000 bootstrap resamples. Model calibration was assessed using the Brier score and calibration slope, with calibration slopes closer to 1 and lower Brier scores indicating better calibration.</w:t>
      </w:r>
    </w:p>
    <w:p w14:paraId="77EBFC1C">
      <w:pPr>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br w:type="page"/>
      </w:r>
    </w:p>
    <w:p w14:paraId="4C7BD1B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b/>
          <w:bCs/>
          <w:sz w:val="24"/>
          <w:szCs w:val="24"/>
          <w:highlight w:val="none"/>
        </w:rPr>
        <w:t>Supplementary Table</w:t>
      </w:r>
      <w:r>
        <w:rPr>
          <w:rFonts w:hint="default" w:ascii="Times New Roman" w:hAnsi="Times New Roman" w:cs="Times New Roman" w:eastAsiaTheme="minorEastAsia"/>
          <w:b/>
          <w:bCs/>
          <w:sz w:val="24"/>
          <w:szCs w:val="24"/>
          <w:highlight w:val="none"/>
          <w:lang w:val="en-US" w:eastAsia="zh-CN"/>
        </w:rPr>
        <w:t xml:space="preserve"> S7</w:t>
      </w:r>
      <w:r>
        <w:rPr>
          <w:rFonts w:hint="default" w:ascii="Times New Roman" w:hAnsi="Times New Roman" w:cs="Times New Roman" w:eastAsiaTheme="minorEastAsia"/>
          <w:b/>
          <w:bCs/>
          <w:sz w:val="24"/>
          <w:szCs w:val="24"/>
          <w:highlight w:val="none"/>
        </w:rPr>
        <w:t>.</w:t>
      </w:r>
      <w:r>
        <w:rPr>
          <w:rFonts w:hint="default" w:ascii="Times New Roman" w:hAnsi="Times New Roman" w:cs="Times New Roman" w:eastAsiaTheme="minorEastAsia"/>
          <w:sz w:val="24"/>
          <w:szCs w:val="24"/>
          <w:highlight w:val="none"/>
        </w:rPr>
        <w:t xml:space="preserve"> Sensitivity analyses evaluating the incremental value of cumulative TyGFI beyond cumulative TyG and cumulative FI.</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4035"/>
        <w:gridCol w:w="3692"/>
        <w:gridCol w:w="1924"/>
      </w:tblGrid>
      <w:tr w14:paraId="58A9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tcBorders>
              <w:top w:val="single" w:color="000000" w:sz="12" w:space="0"/>
              <w:left w:val="nil"/>
              <w:bottom w:val="single" w:color="000000" w:sz="4" w:space="0"/>
              <w:right w:val="nil"/>
              <w:tl2br w:val="nil"/>
            </w:tcBorders>
            <w:shd w:val="clear" w:color="auto" w:fill="FFFFFF"/>
            <w:vAlign w:val="center"/>
          </w:tcPr>
          <w:p w14:paraId="0456EC5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Follow-up</w:t>
            </w:r>
          </w:p>
        </w:tc>
        <w:tc>
          <w:tcPr>
            <w:tcW w:w="1518" w:type="pct"/>
            <w:tcBorders>
              <w:top w:val="single" w:color="000000" w:sz="12" w:space="0"/>
              <w:left w:val="nil"/>
              <w:bottom w:val="single" w:color="000000" w:sz="4" w:space="0"/>
              <w:right w:val="nil"/>
            </w:tcBorders>
            <w:shd w:val="clear" w:color="auto" w:fill="FFFFFF"/>
            <w:vAlign w:val="center"/>
          </w:tcPr>
          <w:p w14:paraId="102798F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Exposure term</w:t>
            </w:r>
          </w:p>
        </w:tc>
        <w:tc>
          <w:tcPr>
            <w:tcW w:w="1389" w:type="pct"/>
            <w:tcBorders>
              <w:top w:val="single" w:color="000000" w:sz="12" w:space="0"/>
              <w:left w:val="nil"/>
              <w:bottom w:val="single" w:color="000000" w:sz="4" w:space="0"/>
              <w:right w:val="nil"/>
            </w:tcBorders>
            <w:shd w:val="clear" w:color="auto" w:fill="FFFFFF"/>
            <w:vAlign w:val="center"/>
          </w:tcPr>
          <w:p w14:paraId="2DE6D61A">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OR (95% CI)</w:t>
            </w:r>
          </w:p>
        </w:tc>
        <w:tc>
          <w:tcPr>
            <w:tcW w:w="724" w:type="pct"/>
            <w:tcBorders>
              <w:top w:val="single" w:color="000000" w:sz="12" w:space="0"/>
              <w:left w:val="nil"/>
              <w:bottom w:val="single" w:color="000000" w:sz="4" w:space="0"/>
              <w:right w:val="nil"/>
            </w:tcBorders>
            <w:shd w:val="clear" w:color="auto" w:fill="FFFFFF"/>
            <w:vAlign w:val="center"/>
          </w:tcPr>
          <w:p w14:paraId="0569087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P value</w:t>
            </w:r>
          </w:p>
        </w:tc>
      </w:tr>
      <w:tr w14:paraId="14A9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restart"/>
            <w:tcBorders>
              <w:top w:val="single" w:color="000000" w:sz="4" w:space="0"/>
              <w:left w:val="nil"/>
              <w:bottom w:val="nil"/>
              <w:right w:val="nil"/>
            </w:tcBorders>
            <w:shd w:val="clear" w:color="auto" w:fill="FFFFFF"/>
            <w:vAlign w:val="center"/>
          </w:tcPr>
          <w:p w14:paraId="65017CA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7-year follow-up</w:t>
            </w:r>
          </w:p>
        </w:tc>
        <w:tc>
          <w:tcPr>
            <w:tcW w:w="1518" w:type="pct"/>
            <w:tcBorders>
              <w:top w:val="single" w:color="000000" w:sz="4" w:space="0"/>
              <w:left w:val="nil"/>
              <w:bottom w:val="nil"/>
              <w:right w:val="nil"/>
            </w:tcBorders>
            <w:shd w:val="clear" w:color="auto" w:fill="FFFFFF"/>
            <w:vAlign w:val="center"/>
          </w:tcPr>
          <w:p w14:paraId="2747FB1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TyGFI</w:t>
            </w:r>
          </w:p>
        </w:tc>
        <w:tc>
          <w:tcPr>
            <w:tcW w:w="1389" w:type="pct"/>
            <w:tcBorders>
              <w:top w:val="single" w:color="000000" w:sz="4" w:space="0"/>
              <w:left w:val="nil"/>
              <w:bottom w:val="nil"/>
              <w:right w:val="nil"/>
            </w:tcBorders>
            <w:shd w:val="clear" w:color="auto" w:fill="FFFFFF"/>
            <w:vAlign w:val="center"/>
          </w:tcPr>
          <w:p w14:paraId="6FB56D76">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lang w:val="en-US" w:eastAsia="zh-CN"/>
              </w:rPr>
              <w:t>1.18 (1.08-1.29)</w:t>
            </w:r>
          </w:p>
        </w:tc>
        <w:tc>
          <w:tcPr>
            <w:tcW w:w="724" w:type="pct"/>
            <w:tcBorders>
              <w:top w:val="single" w:color="000000" w:sz="4" w:space="0"/>
              <w:left w:val="nil"/>
              <w:bottom w:val="nil"/>
              <w:right w:val="nil"/>
            </w:tcBorders>
            <w:shd w:val="clear" w:color="auto" w:fill="FFFFFF"/>
            <w:vAlign w:val="center"/>
          </w:tcPr>
          <w:p w14:paraId="7B7394E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lang w:val="en-US" w:eastAsia="zh-CN"/>
              </w:rPr>
              <w:t>&lt;0.001</w:t>
            </w:r>
          </w:p>
        </w:tc>
      </w:tr>
      <w:tr w14:paraId="53FB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continue"/>
            <w:tcBorders>
              <w:top w:val="nil"/>
              <w:left w:val="nil"/>
              <w:bottom w:val="nil"/>
              <w:right w:val="nil"/>
            </w:tcBorders>
            <w:shd w:val="clear" w:color="auto" w:fill="FFFFFF"/>
            <w:vAlign w:val="center"/>
          </w:tcPr>
          <w:p w14:paraId="6404396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1518" w:type="pct"/>
            <w:tcBorders>
              <w:top w:val="nil"/>
              <w:left w:val="nil"/>
              <w:bottom w:val="nil"/>
              <w:right w:val="nil"/>
            </w:tcBorders>
            <w:shd w:val="clear" w:color="auto" w:fill="FFFFFF"/>
            <w:vAlign w:val="center"/>
          </w:tcPr>
          <w:p w14:paraId="4A430628">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TyG</w:t>
            </w:r>
          </w:p>
        </w:tc>
        <w:tc>
          <w:tcPr>
            <w:tcW w:w="1389" w:type="pct"/>
            <w:tcBorders>
              <w:top w:val="nil"/>
              <w:left w:val="nil"/>
              <w:bottom w:val="nil"/>
              <w:right w:val="nil"/>
            </w:tcBorders>
            <w:shd w:val="clear" w:color="auto" w:fill="FFFFFF"/>
            <w:vAlign w:val="center"/>
          </w:tcPr>
          <w:p w14:paraId="1869304F">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1.20 (1.10-1.31)</w:t>
            </w:r>
          </w:p>
        </w:tc>
        <w:tc>
          <w:tcPr>
            <w:tcW w:w="724" w:type="pct"/>
            <w:tcBorders>
              <w:top w:val="nil"/>
              <w:left w:val="nil"/>
              <w:bottom w:val="nil"/>
              <w:right w:val="nil"/>
            </w:tcBorders>
            <w:shd w:val="clear" w:color="auto" w:fill="FFFFFF"/>
            <w:vAlign w:val="center"/>
          </w:tcPr>
          <w:p w14:paraId="0BF21639">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&lt;0.001</w:t>
            </w:r>
          </w:p>
        </w:tc>
      </w:tr>
      <w:tr w14:paraId="6DCF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continue"/>
            <w:tcBorders>
              <w:top w:val="nil"/>
              <w:left w:val="nil"/>
              <w:bottom w:val="nil"/>
              <w:right w:val="nil"/>
            </w:tcBorders>
            <w:shd w:val="clear" w:color="auto" w:fill="FFFFFF"/>
            <w:vAlign w:val="center"/>
          </w:tcPr>
          <w:p w14:paraId="25200713">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1518" w:type="pct"/>
            <w:tcBorders>
              <w:top w:val="nil"/>
              <w:left w:val="nil"/>
              <w:bottom w:val="nil"/>
              <w:right w:val="nil"/>
            </w:tcBorders>
            <w:shd w:val="clear" w:color="auto" w:fill="FFFFFF"/>
            <w:vAlign w:val="center"/>
          </w:tcPr>
          <w:p w14:paraId="3AAE8F77">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FI</w:t>
            </w:r>
          </w:p>
        </w:tc>
        <w:tc>
          <w:tcPr>
            <w:tcW w:w="1389" w:type="pct"/>
            <w:tcBorders>
              <w:top w:val="nil"/>
              <w:left w:val="nil"/>
              <w:bottom w:val="nil"/>
              <w:right w:val="nil"/>
            </w:tcBorders>
            <w:shd w:val="clear" w:color="auto" w:fill="FFFFFF"/>
            <w:vAlign w:val="center"/>
          </w:tcPr>
          <w:p w14:paraId="1D28F48A">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1.19 (1.09-1.30)</w:t>
            </w:r>
          </w:p>
        </w:tc>
        <w:tc>
          <w:tcPr>
            <w:tcW w:w="724" w:type="pct"/>
            <w:tcBorders>
              <w:top w:val="nil"/>
              <w:left w:val="nil"/>
              <w:bottom w:val="nil"/>
              <w:right w:val="nil"/>
            </w:tcBorders>
            <w:shd w:val="clear" w:color="auto" w:fill="FFFFFF"/>
            <w:vAlign w:val="center"/>
          </w:tcPr>
          <w:p w14:paraId="36F5EA4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&lt;0.001</w:t>
            </w:r>
          </w:p>
        </w:tc>
      </w:tr>
      <w:tr w14:paraId="35A2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restart"/>
            <w:tcBorders>
              <w:top w:val="nil"/>
              <w:left w:val="nil"/>
              <w:bottom w:val="nil"/>
              <w:right w:val="nil"/>
            </w:tcBorders>
            <w:shd w:val="clear" w:color="auto" w:fill="FFFFFF"/>
            <w:vAlign w:val="center"/>
          </w:tcPr>
          <w:p w14:paraId="72B3BDA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9-year follow-up</w:t>
            </w:r>
          </w:p>
        </w:tc>
        <w:tc>
          <w:tcPr>
            <w:tcW w:w="1518" w:type="pct"/>
            <w:tcBorders>
              <w:top w:val="nil"/>
              <w:left w:val="nil"/>
              <w:bottom w:val="nil"/>
              <w:right w:val="nil"/>
            </w:tcBorders>
            <w:shd w:val="clear" w:color="auto" w:fill="FFFFFF"/>
            <w:vAlign w:val="center"/>
          </w:tcPr>
          <w:p w14:paraId="5A6DD71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TyGFI</w:t>
            </w:r>
          </w:p>
        </w:tc>
        <w:tc>
          <w:tcPr>
            <w:tcW w:w="1389" w:type="pct"/>
            <w:tcBorders>
              <w:top w:val="nil"/>
              <w:left w:val="nil"/>
              <w:bottom w:val="nil"/>
              <w:right w:val="nil"/>
            </w:tcBorders>
            <w:shd w:val="clear" w:color="auto" w:fill="FFFFFF"/>
            <w:vAlign w:val="center"/>
          </w:tcPr>
          <w:p w14:paraId="5F29A4D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lang w:val="en-US" w:eastAsia="zh-CN"/>
              </w:rPr>
              <w:t>1.18 (1.08-1.29)</w:t>
            </w:r>
          </w:p>
        </w:tc>
        <w:tc>
          <w:tcPr>
            <w:tcW w:w="724" w:type="pct"/>
            <w:tcBorders>
              <w:top w:val="nil"/>
              <w:left w:val="nil"/>
              <w:bottom w:val="nil"/>
              <w:right w:val="nil"/>
            </w:tcBorders>
            <w:shd w:val="clear" w:color="auto" w:fill="FFFFFF"/>
            <w:vAlign w:val="center"/>
          </w:tcPr>
          <w:p w14:paraId="03724D4D">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zh-CN"/>
              </w:rPr>
            </w:pPr>
            <w:r>
              <w:rPr>
                <w:rFonts w:hint="default" w:ascii="Times New Roman" w:hAnsi="Times New Roman" w:cs="Times New Roman"/>
                <w:b w:val="0"/>
                <w:color w:val="000000"/>
                <w:sz w:val="24"/>
                <w:szCs w:val="24"/>
                <w:highlight w:val="none"/>
                <w:lang w:val="en-US" w:eastAsia="zh-CN"/>
              </w:rPr>
              <w:t>&lt;0.001</w:t>
            </w:r>
          </w:p>
        </w:tc>
      </w:tr>
      <w:tr w14:paraId="7692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continue"/>
            <w:tcBorders>
              <w:top w:val="nil"/>
              <w:left w:val="nil"/>
              <w:bottom w:val="nil"/>
              <w:right w:val="nil"/>
            </w:tcBorders>
            <w:shd w:val="clear" w:color="auto" w:fill="FFFFFF"/>
            <w:vAlign w:val="center"/>
          </w:tcPr>
          <w:p w14:paraId="7F376F7B">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1518" w:type="pct"/>
            <w:tcBorders>
              <w:top w:val="nil"/>
              <w:left w:val="nil"/>
              <w:bottom w:val="nil"/>
              <w:right w:val="nil"/>
            </w:tcBorders>
            <w:shd w:val="clear" w:color="auto" w:fill="FFFFFF"/>
            <w:vAlign w:val="center"/>
          </w:tcPr>
          <w:p w14:paraId="6AD9F8EC">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TyG</w:t>
            </w:r>
          </w:p>
        </w:tc>
        <w:tc>
          <w:tcPr>
            <w:tcW w:w="1389" w:type="pct"/>
            <w:tcBorders>
              <w:top w:val="nil"/>
              <w:left w:val="nil"/>
              <w:bottom w:val="nil"/>
              <w:right w:val="nil"/>
            </w:tcBorders>
            <w:shd w:val="clear" w:color="auto" w:fill="auto"/>
            <w:vAlign w:val="center"/>
          </w:tcPr>
          <w:p w14:paraId="35B1C59E">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1.25 (1.16-1.34)</w:t>
            </w:r>
          </w:p>
        </w:tc>
        <w:tc>
          <w:tcPr>
            <w:tcW w:w="724" w:type="pct"/>
            <w:tcBorders>
              <w:top w:val="nil"/>
              <w:left w:val="nil"/>
              <w:bottom w:val="nil"/>
              <w:right w:val="nil"/>
            </w:tcBorders>
            <w:shd w:val="clear" w:color="auto" w:fill="auto"/>
            <w:vAlign w:val="center"/>
          </w:tcPr>
          <w:p w14:paraId="1C3CD25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&lt;0.001</w:t>
            </w:r>
          </w:p>
        </w:tc>
      </w:tr>
      <w:tr w14:paraId="0473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7" w:type="pct"/>
            <w:vMerge w:val="continue"/>
            <w:tcBorders>
              <w:top w:val="nil"/>
              <w:left w:val="nil"/>
              <w:bottom w:val="single" w:color="000000" w:sz="12" w:space="0"/>
              <w:right w:val="nil"/>
            </w:tcBorders>
            <w:shd w:val="clear" w:color="auto" w:fill="FFFFFF"/>
            <w:vAlign w:val="center"/>
          </w:tcPr>
          <w:p w14:paraId="5581CF4F">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p>
        </w:tc>
        <w:tc>
          <w:tcPr>
            <w:tcW w:w="1518" w:type="pct"/>
            <w:tcBorders>
              <w:top w:val="nil"/>
              <w:left w:val="nil"/>
              <w:bottom w:val="single" w:color="000000" w:sz="12" w:space="0"/>
              <w:right w:val="nil"/>
            </w:tcBorders>
            <w:shd w:val="clear" w:color="auto" w:fill="FFFFFF"/>
            <w:vAlign w:val="center"/>
          </w:tcPr>
          <w:p w14:paraId="45D2AE50">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cs="Times New Roman"/>
                <w:b w:val="0"/>
                <w:color w:val="000000"/>
                <w:sz w:val="24"/>
                <w:szCs w:val="24"/>
                <w:highlight w:val="none"/>
              </w:rPr>
              <w:t>Cumulative FI</w:t>
            </w:r>
          </w:p>
        </w:tc>
        <w:tc>
          <w:tcPr>
            <w:tcW w:w="1389" w:type="pct"/>
            <w:tcBorders>
              <w:top w:val="nil"/>
              <w:left w:val="nil"/>
              <w:bottom w:val="single" w:color="000000" w:sz="12" w:space="0"/>
              <w:right w:val="nil"/>
            </w:tcBorders>
            <w:shd w:val="clear" w:color="auto" w:fill="auto"/>
            <w:vAlign w:val="center"/>
          </w:tcPr>
          <w:p w14:paraId="5ADB6181">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1.19 (1.10-1.28)</w:t>
            </w:r>
          </w:p>
        </w:tc>
        <w:tc>
          <w:tcPr>
            <w:tcW w:w="724" w:type="pct"/>
            <w:tcBorders>
              <w:top w:val="nil"/>
              <w:left w:val="nil"/>
              <w:bottom w:val="single" w:color="000000" w:sz="12" w:space="0"/>
              <w:right w:val="nil"/>
            </w:tcBorders>
            <w:shd w:val="clear" w:color="auto" w:fill="auto"/>
            <w:vAlign w:val="center"/>
          </w:tcPr>
          <w:p w14:paraId="385FC622">
            <w:pPr>
              <w:pageBreakBefore w:val="0"/>
              <w:widowControl/>
              <w:kinsoku/>
              <w:wordWrap/>
              <w:overflowPunct/>
              <w:topLinePunct w:val="0"/>
              <w:bidi w:val="0"/>
              <w:spacing w:after="0" w:line="360" w:lineRule="auto"/>
              <w:jc w:val="center"/>
              <w:rPr>
                <w:rFonts w:hint="default" w:ascii="Times New Roman" w:hAnsi="Times New Roman" w:cs="Times New Roman"/>
                <w:b w:val="0"/>
                <w:color w:val="000000"/>
                <w:sz w:val="24"/>
                <w:szCs w:val="24"/>
                <w:highlight w:val="none"/>
                <w:lang w:val="en-US" w:eastAsia="en-US"/>
              </w:rPr>
            </w:pPr>
            <w:r>
              <w:rPr>
                <w:rFonts w:hint="default" w:ascii="Times New Roman" w:hAnsi="Times New Roman" w:cs="Times New Roman"/>
                <w:b w:val="0"/>
                <w:color w:val="000000"/>
                <w:sz w:val="24"/>
                <w:szCs w:val="24"/>
                <w:highlight w:val="none"/>
              </w:rPr>
              <w:t>&lt;0.001</w:t>
            </w:r>
          </w:p>
        </w:tc>
      </w:tr>
    </w:tbl>
    <w:p w14:paraId="5C56ECF8">
      <w:pPr>
        <w:pageBreakBefore w:val="0"/>
        <w:widowControl/>
        <w:kinsoku/>
        <w:wordWrap/>
        <w:overflowPunct/>
        <w:topLinePunct w:val="0"/>
        <w:bidi w:val="0"/>
        <w:spacing w:before="120" w:after="0" w:line="360" w:lineRule="auto"/>
        <w:rPr>
          <w:rFonts w:hint="default" w:ascii="Times New Roman" w:hAnsi="Times New Roman" w:cs="Times New Roman"/>
          <w:sz w:val="24"/>
          <w:szCs w:val="24"/>
          <w:highlight w:val="none"/>
        </w:rPr>
      </w:pPr>
      <w:r>
        <w:rPr>
          <w:rFonts w:hint="default" w:ascii="Times New Roman" w:hAnsi="Times New Roman" w:eastAsia="Times New Roman" w:cs="Times New Roman"/>
          <w:sz w:val="24"/>
          <w:szCs w:val="24"/>
          <w:highlight w:val="none"/>
        </w:rPr>
        <w:t>Values are pooled odds ratios (95% CIs) from 20 imputed datasets and were combined according to Rubin's rules. Odds ratios are per 1-SD increment. The fully adjusted model included age, sex, BMI, current smoking, current drinking, diabetes, dyslipidemia, heart disease, stroke, and kidney disease. Exposure and outcome variables were not imputed. Cumulative TyG and cumulative FI were reconstructed using the same time-weighted approach as cumulative TyGFI from Wave 1 and Wave 3 measurements. In the component-plus-product model, the P value for cumulative TyGFI evaluates whether the product term adds information after cumulative TyG and cumulative FI are already included. TyG, triglyceride-glucose index; FI, frailty index; TyGFI, triglyceride-glucose frailty index.</w:t>
      </w:r>
    </w:p>
    <w:p w14:paraId="362E80E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p>
    <w:p w14:paraId="2382BF85">
      <w:pPr>
        <w:pageBreakBefore w:val="0"/>
        <w:widowControl/>
        <w:kinsoku/>
        <w:wordWrap/>
        <w:overflowPunct/>
        <w:topLinePunct w:val="0"/>
        <w:bidi w:val="0"/>
        <w:spacing w:after="200" w:line="360" w:lineRule="auto"/>
        <w:rPr>
          <w:rFonts w:hint="default" w:ascii="Times New Roman" w:hAnsi="Times New Roman" w:cs="Times New Roman"/>
          <w:sz w:val="24"/>
          <w:szCs w:val="24"/>
          <w:highlight w:val="none"/>
        </w:rPr>
      </w:pPr>
      <w:r>
        <w:rPr>
          <w:rFonts w:hint="default" w:ascii="Times New Roman" w:hAnsi="Times New Roman" w:cs="Times New Roman" w:eastAsiaTheme="minorEastAsia"/>
          <w:b/>
          <w:bCs/>
          <w:sz w:val="24"/>
          <w:szCs w:val="24"/>
          <w:highlight w:val="none"/>
        </w:rPr>
        <w:t xml:space="preserve">Supplementary </w:t>
      </w:r>
      <w:r>
        <w:rPr>
          <w:rFonts w:hint="default" w:ascii="Times New Roman" w:hAnsi="Times New Roman" w:eastAsia="Times New Roman" w:cs="Times New Roman"/>
          <w:b/>
          <w:sz w:val="24"/>
          <w:szCs w:val="24"/>
          <w:highlight w:val="none"/>
        </w:rPr>
        <w:t>Table</w:t>
      </w:r>
      <w:r>
        <w:rPr>
          <w:rFonts w:hint="default" w:ascii="Times New Roman" w:hAnsi="Times New Roman" w:eastAsia="宋体" w:cs="Times New Roman"/>
          <w:b/>
          <w:sz w:val="24"/>
          <w:szCs w:val="24"/>
          <w:highlight w:val="none"/>
          <w:lang w:val="en-US" w:eastAsia="zh-CN"/>
        </w:rPr>
        <w:t xml:space="preserve"> S8</w:t>
      </w:r>
      <w:r>
        <w:rPr>
          <w:rFonts w:hint="default" w:ascii="Times New Roman" w:hAnsi="Times New Roman" w:eastAsia="Times New Roman" w:cs="Times New Roman"/>
          <w:b/>
          <w:sz w:val="24"/>
          <w:szCs w:val="24"/>
          <w:highlight w:val="none"/>
        </w:rPr>
        <w:t xml:space="preserve">. </w:t>
      </w:r>
      <w:r>
        <w:rPr>
          <w:rFonts w:hint="default" w:ascii="Times New Roman" w:hAnsi="Times New Roman" w:eastAsia="宋体" w:cs="Times New Roman"/>
          <w:b/>
          <w:sz w:val="24"/>
          <w:szCs w:val="24"/>
          <w:highlight w:val="none"/>
          <w:lang w:val="en-US" w:eastAsia="zh-CN"/>
        </w:rPr>
        <w:t xml:space="preserve"> </w:t>
      </w:r>
      <w:r>
        <w:rPr>
          <w:rFonts w:hint="default" w:ascii="Times New Roman" w:hAnsi="Times New Roman" w:eastAsia="Times New Roman" w:cs="Times New Roman"/>
          <w:sz w:val="24"/>
          <w:szCs w:val="24"/>
          <w:highlight w:val="none"/>
        </w:rPr>
        <w:t>Sensitivity analyses of the association between cumulative TyGFI and incident hypertension under an expanded adjustment model.</w:t>
      </w:r>
    </w:p>
    <w:tbl>
      <w:tblPr>
        <w:tblStyle w:val="8"/>
        <w:tblW w:w="46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4"/>
        <w:gridCol w:w="1727"/>
        <w:gridCol w:w="2554"/>
        <w:gridCol w:w="1363"/>
        <w:gridCol w:w="2554"/>
        <w:gridCol w:w="1410"/>
      </w:tblGrid>
      <w:tr w14:paraId="13F2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42" w:type="pct"/>
            <w:tcBorders>
              <w:top w:val="single" w:color="000000" w:sz="12" w:space="0"/>
              <w:left w:val="nil"/>
              <w:bottom w:val="single" w:color="000000" w:sz="4" w:space="0"/>
              <w:right w:val="nil"/>
              <w:tl2br w:val="nil"/>
            </w:tcBorders>
            <w:shd w:val="clear" w:color="auto" w:fill="FFFFFF"/>
            <w:vAlign w:val="center"/>
          </w:tcPr>
          <w:p w14:paraId="22A5F612">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Cumulative TyGFI</w:t>
            </w:r>
          </w:p>
        </w:tc>
        <w:tc>
          <w:tcPr>
            <w:tcW w:w="693" w:type="pct"/>
            <w:tcBorders>
              <w:top w:val="single" w:color="000000" w:sz="12" w:space="0"/>
              <w:left w:val="nil"/>
              <w:bottom w:val="single" w:color="000000" w:sz="4" w:space="0"/>
              <w:right w:val="nil"/>
            </w:tcBorders>
            <w:shd w:val="clear" w:color="auto" w:fill="FFFFFF"/>
            <w:vAlign w:val="center"/>
          </w:tcPr>
          <w:p w14:paraId="682DCD91">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Events (n)</w:t>
            </w:r>
          </w:p>
        </w:tc>
        <w:tc>
          <w:tcPr>
            <w:tcW w:w="1572" w:type="pct"/>
            <w:gridSpan w:val="2"/>
            <w:tcBorders>
              <w:top w:val="single" w:color="000000" w:sz="12" w:space="0"/>
              <w:left w:val="nil"/>
              <w:bottom w:val="single" w:color="000000" w:sz="4" w:space="0"/>
              <w:right w:val="nil"/>
            </w:tcBorders>
            <w:shd w:val="clear" w:color="auto" w:fill="FFFFFF"/>
            <w:vAlign w:val="center"/>
          </w:tcPr>
          <w:p w14:paraId="50CBC744">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Model 4</w:t>
            </w:r>
          </w:p>
        </w:tc>
        <w:tc>
          <w:tcPr>
            <w:tcW w:w="1591" w:type="pct"/>
            <w:gridSpan w:val="2"/>
            <w:tcBorders>
              <w:top w:val="single" w:color="000000" w:sz="12" w:space="0"/>
              <w:left w:val="nil"/>
              <w:bottom w:val="single" w:color="000000" w:sz="4" w:space="0"/>
              <w:right w:val="nil"/>
            </w:tcBorders>
            <w:shd w:val="clear" w:color="auto" w:fill="FFFFFF"/>
            <w:vAlign w:val="center"/>
          </w:tcPr>
          <w:p w14:paraId="09309177">
            <w:pPr>
              <w:pageBreakBefore w:val="0"/>
              <w:widowControl/>
              <w:kinsoku/>
              <w:wordWrap/>
              <w:overflowPunct/>
              <w:topLinePunct w:val="0"/>
              <w:bidi w:val="0"/>
              <w:snapToGrid w:val="0"/>
              <w:spacing w:before="0" w:after="0" w:line="360" w:lineRule="auto"/>
              <w:jc w:val="center"/>
              <w:rPr>
                <w:rFonts w:hint="default" w:ascii="Times New Roman" w:hAnsi="Times New Roman" w:eastAsia="宋体" w:cs="Times New Roman"/>
                <w:b w:val="0"/>
                <w:color w:val="000000"/>
                <w:sz w:val="24"/>
                <w:szCs w:val="24"/>
                <w:highlight w:val="none"/>
                <w:lang w:val="en-US" w:eastAsia="zh-CN" w:bidi="ar-SA"/>
              </w:rPr>
            </w:pPr>
            <w:r>
              <w:rPr>
                <w:rFonts w:hint="default" w:ascii="Times New Roman" w:hAnsi="Times New Roman" w:eastAsia="宋体" w:cs="Times New Roman"/>
                <w:b w:val="0"/>
                <w:color w:val="000000"/>
                <w:sz w:val="24"/>
                <w:szCs w:val="24"/>
                <w:highlight w:val="none"/>
                <w:lang w:val="en-US" w:eastAsia="zh-CN"/>
              </w:rPr>
              <w:t>Model 5</w:t>
            </w:r>
          </w:p>
        </w:tc>
      </w:tr>
      <w:tr w14:paraId="76C8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42" w:type="pct"/>
            <w:tcBorders>
              <w:top w:val="single" w:color="000000" w:sz="4" w:space="0"/>
              <w:left w:val="nil"/>
              <w:bottom w:val="nil"/>
              <w:right w:val="nil"/>
            </w:tcBorders>
            <w:shd w:val="clear" w:color="auto" w:fill="FFFFFF"/>
            <w:vAlign w:val="center"/>
          </w:tcPr>
          <w:p w14:paraId="00E9447E">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p>
        </w:tc>
        <w:tc>
          <w:tcPr>
            <w:tcW w:w="693" w:type="pct"/>
            <w:tcBorders>
              <w:top w:val="single" w:color="000000" w:sz="4" w:space="0"/>
              <w:left w:val="nil"/>
              <w:bottom w:val="nil"/>
              <w:right w:val="nil"/>
            </w:tcBorders>
            <w:shd w:val="clear" w:color="auto" w:fill="FFFFFF"/>
            <w:vAlign w:val="center"/>
          </w:tcPr>
          <w:p w14:paraId="5D4B9E19">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p>
        </w:tc>
        <w:tc>
          <w:tcPr>
            <w:tcW w:w="1025" w:type="pct"/>
            <w:tcBorders>
              <w:top w:val="single" w:color="000000" w:sz="4" w:space="0"/>
              <w:left w:val="nil"/>
              <w:bottom w:val="nil"/>
              <w:right w:val="nil"/>
            </w:tcBorders>
            <w:shd w:val="clear" w:color="auto" w:fill="FFFFFF"/>
            <w:vAlign w:val="center"/>
          </w:tcPr>
          <w:p w14:paraId="20BB4F13">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HR (95% CI)</w:t>
            </w:r>
          </w:p>
        </w:tc>
        <w:tc>
          <w:tcPr>
            <w:tcW w:w="546" w:type="pct"/>
            <w:tcBorders>
              <w:top w:val="single" w:color="000000" w:sz="4" w:space="0"/>
              <w:left w:val="nil"/>
              <w:bottom w:val="nil"/>
              <w:right w:val="nil"/>
            </w:tcBorders>
            <w:shd w:val="clear" w:color="auto" w:fill="FFFFFF"/>
            <w:vAlign w:val="center"/>
          </w:tcPr>
          <w:p w14:paraId="6F2A56A0">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P value</w:t>
            </w:r>
          </w:p>
        </w:tc>
        <w:tc>
          <w:tcPr>
            <w:tcW w:w="1025" w:type="pct"/>
            <w:tcBorders>
              <w:top w:val="single" w:color="000000" w:sz="4" w:space="0"/>
              <w:left w:val="nil"/>
              <w:bottom w:val="nil"/>
              <w:right w:val="nil"/>
            </w:tcBorders>
            <w:shd w:val="clear" w:color="auto" w:fill="FFFFFF"/>
            <w:vAlign w:val="center"/>
          </w:tcPr>
          <w:p w14:paraId="22A5465E">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HR (95% CI)</w:t>
            </w:r>
          </w:p>
        </w:tc>
        <w:tc>
          <w:tcPr>
            <w:tcW w:w="566" w:type="pct"/>
            <w:tcBorders>
              <w:top w:val="single" w:color="000000" w:sz="4" w:space="0"/>
              <w:left w:val="nil"/>
              <w:bottom w:val="nil"/>
              <w:right w:val="nil"/>
            </w:tcBorders>
            <w:shd w:val="clear" w:color="auto" w:fill="FFFFFF"/>
            <w:vAlign w:val="center"/>
          </w:tcPr>
          <w:p w14:paraId="7BE978F3">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P value</w:t>
            </w:r>
          </w:p>
        </w:tc>
      </w:tr>
      <w:tr w14:paraId="55E2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nil"/>
              <w:right w:val="nil"/>
            </w:tcBorders>
            <w:shd w:val="clear" w:color="auto" w:fill="FFFFFF"/>
            <w:vAlign w:val="center"/>
          </w:tcPr>
          <w:p w14:paraId="48BD5BB4">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Per 1-SD increase</w:t>
            </w:r>
          </w:p>
        </w:tc>
        <w:tc>
          <w:tcPr>
            <w:tcW w:w="693" w:type="pct"/>
            <w:tcBorders>
              <w:top w:val="nil"/>
              <w:left w:val="nil"/>
              <w:bottom w:val="nil"/>
              <w:right w:val="nil"/>
            </w:tcBorders>
            <w:shd w:val="clear" w:color="auto" w:fill="FFFFFF"/>
            <w:vAlign w:val="center"/>
          </w:tcPr>
          <w:p w14:paraId="6C52E3E3">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w:t>
            </w:r>
          </w:p>
        </w:tc>
        <w:tc>
          <w:tcPr>
            <w:tcW w:w="1025" w:type="pct"/>
            <w:tcBorders>
              <w:top w:val="nil"/>
              <w:left w:val="nil"/>
              <w:bottom w:val="nil"/>
              <w:right w:val="nil"/>
            </w:tcBorders>
            <w:shd w:val="clear" w:color="auto" w:fill="FFFFFF"/>
            <w:vAlign w:val="center"/>
          </w:tcPr>
          <w:p w14:paraId="1180AEA0">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1.15 (1.08-1.22)</w:t>
            </w:r>
          </w:p>
        </w:tc>
        <w:tc>
          <w:tcPr>
            <w:tcW w:w="546" w:type="pct"/>
            <w:tcBorders>
              <w:top w:val="nil"/>
              <w:left w:val="nil"/>
              <w:bottom w:val="nil"/>
              <w:right w:val="nil"/>
            </w:tcBorders>
            <w:shd w:val="clear" w:color="auto" w:fill="FFFFFF"/>
            <w:vAlign w:val="center"/>
          </w:tcPr>
          <w:p w14:paraId="31F91AD9">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&lt;0.001</w:t>
            </w:r>
          </w:p>
        </w:tc>
        <w:tc>
          <w:tcPr>
            <w:tcW w:w="1025" w:type="pct"/>
            <w:tcBorders>
              <w:top w:val="nil"/>
              <w:left w:val="nil"/>
              <w:bottom w:val="nil"/>
              <w:right w:val="nil"/>
            </w:tcBorders>
            <w:shd w:val="clear" w:color="auto" w:fill="FFFFFF"/>
            <w:vAlign w:val="center"/>
          </w:tcPr>
          <w:p w14:paraId="25B5A268">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1.16 (1.10-1.23)</w:t>
            </w:r>
          </w:p>
        </w:tc>
        <w:tc>
          <w:tcPr>
            <w:tcW w:w="566" w:type="pct"/>
            <w:tcBorders>
              <w:top w:val="nil"/>
              <w:left w:val="nil"/>
              <w:bottom w:val="nil"/>
              <w:right w:val="nil"/>
            </w:tcBorders>
            <w:shd w:val="clear" w:color="auto" w:fill="FFFFFF"/>
            <w:vAlign w:val="center"/>
          </w:tcPr>
          <w:p w14:paraId="52362BED">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&lt;0.001</w:t>
            </w:r>
          </w:p>
        </w:tc>
      </w:tr>
      <w:tr w14:paraId="3A2B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nil"/>
              <w:right w:val="nil"/>
            </w:tcBorders>
            <w:shd w:val="clear" w:color="auto" w:fill="FFFFFF"/>
            <w:vAlign w:val="center"/>
          </w:tcPr>
          <w:p w14:paraId="1AC36726">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Q1</w:t>
            </w:r>
          </w:p>
        </w:tc>
        <w:tc>
          <w:tcPr>
            <w:tcW w:w="693" w:type="pct"/>
            <w:tcBorders>
              <w:top w:val="nil"/>
              <w:left w:val="nil"/>
              <w:bottom w:val="nil"/>
              <w:right w:val="nil"/>
            </w:tcBorders>
            <w:shd w:val="clear" w:color="auto" w:fill="FFFFFF"/>
            <w:vAlign w:val="center"/>
          </w:tcPr>
          <w:p w14:paraId="6A18644F">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212</w:t>
            </w:r>
          </w:p>
        </w:tc>
        <w:tc>
          <w:tcPr>
            <w:tcW w:w="1025" w:type="pct"/>
            <w:tcBorders>
              <w:top w:val="nil"/>
              <w:left w:val="nil"/>
              <w:bottom w:val="nil"/>
              <w:right w:val="nil"/>
            </w:tcBorders>
            <w:shd w:val="clear" w:color="auto" w:fill="FFFFFF"/>
            <w:vAlign w:val="center"/>
          </w:tcPr>
          <w:p w14:paraId="1D91FD7C">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1.00 (Reference)</w:t>
            </w:r>
          </w:p>
        </w:tc>
        <w:tc>
          <w:tcPr>
            <w:tcW w:w="546" w:type="pct"/>
            <w:tcBorders>
              <w:top w:val="nil"/>
              <w:left w:val="nil"/>
              <w:bottom w:val="nil"/>
              <w:right w:val="nil"/>
            </w:tcBorders>
            <w:shd w:val="clear" w:color="auto" w:fill="FFFFFF"/>
            <w:vAlign w:val="center"/>
          </w:tcPr>
          <w:p w14:paraId="1473BF25">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w:t>
            </w:r>
          </w:p>
        </w:tc>
        <w:tc>
          <w:tcPr>
            <w:tcW w:w="1025" w:type="pct"/>
            <w:tcBorders>
              <w:top w:val="nil"/>
              <w:left w:val="nil"/>
              <w:bottom w:val="nil"/>
              <w:right w:val="nil"/>
            </w:tcBorders>
            <w:shd w:val="clear" w:color="auto" w:fill="FFFFFF"/>
            <w:vAlign w:val="center"/>
          </w:tcPr>
          <w:p w14:paraId="5588A535">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1.00 (Reference)</w:t>
            </w:r>
          </w:p>
        </w:tc>
        <w:tc>
          <w:tcPr>
            <w:tcW w:w="566" w:type="pct"/>
            <w:tcBorders>
              <w:top w:val="nil"/>
              <w:left w:val="nil"/>
              <w:bottom w:val="nil"/>
              <w:right w:val="nil"/>
            </w:tcBorders>
            <w:shd w:val="clear" w:color="auto" w:fill="FFFFFF"/>
            <w:vAlign w:val="center"/>
          </w:tcPr>
          <w:p w14:paraId="387DC717">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w:t>
            </w:r>
          </w:p>
        </w:tc>
      </w:tr>
      <w:tr w14:paraId="130A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nil"/>
              <w:right w:val="nil"/>
            </w:tcBorders>
            <w:shd w:val="clear" w:color="auto" w:fill="FFFFFF"/>
            <w:vAlign w:val="center"/>
          </w:tcPr>
          <w:p w14:paraId="120C9754">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Q2</w:t>
            </w:r>
          </w:p>
        </w:tc>
        <w:tc>
          <w:tcPr>
            <w:tcW w:w="693" w:type="pct"/>
            <w:tcBorders>
              <w:top w:val="nil"/>
              <w:left w:val="nil"/>
              <w:bottom w:val="nil"/>
              <w:right w:val="nil"/>
            </w:tcBorders>
            <w:shd w:val="clear" w:color="auto" w:fill="FFFFFF"/>
            <w:vAlign w:val="center"/>
          </w:tcPr>
          <w:p w14:paraId="793FBDF0">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243</w:t>
            </w:r>
          </w:p>
        </w:tc>
        <w:tc>
          <w:tcPr>
            <w:tcW w:w="1025" w:type="pct"/>
            <w:tcBorders>
              <w:top w:val="nil"/>
              <w:left w:val="nil"/>
              <w:bottom w:val="nil"/>
              <w:right w:val="nil"/>
            </w:tcBorders>
            <w:shd w:val="clear" w:color="auto" w:fill="FFFFFF"/>
            <w:vAlign w:val="center"/>
          </w:tcPr>
          <w:p w14:paraId="5806D340">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1.23 (1.02-1.48)</w:t>
            </w:r>
          </w:p>
        </w:tc>
        <w:tc>
          <w:tcPr>
            <w:tcW w:w="546" w:type="pct"/>
            <w:tcBorders>
              <w:top w:val="nil"/>
              <w:left w:val="nil"/>
              <w:bottom w:val="nil"/>
              <w:right w:val="nil"/>
            </w:tcBorders>
            <w:shd w:val="clear" w:color="auto" w:fill="FFFFFF"/>
            <w:vAlign w:val="center"/>
          </w:tcPr>
          <w:p w14:paraId="693B85BC">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0.033</w:t>
            </w:r>
          </w:p>
        </w:tc>
        <w:tc>
          <w:tcPr>
            <w:tcW w:w="1025" w:type="pct"/>
            <w:tcBorders>
              <w:top w:val="nil"/>
              <w:left w:val="nil"/>
              <w:bottom w:val="nil"/>
              <w:right w:val="nil"/>
            </w:tcBorders>
            <w:shd w:val="clear" w:color="auto" w:fill="FFFFFF"/>
            <w:vAlign w:val="center"/>
          </w:tcPr>
          <w:p w14:paraId="77D52E56">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1.25 (1.04-1.50)</w:t>
            </w:r>
          </w:p>
        </w:tc>
        <w:tc>
          <w:tcPr>
            <w:tcW w:w="566" w:type="pct"/>
            <w:tcBorders>
              <w:top w:val="nil"/>
              <w:left w:val="nil"/>
              <w:bottom w:val="nil"/>
              <w:right w:val="nil"/>
            </w:tcBorders>
            <w:shd w:val="clear" w:color="auto" w:fill="FFFFFF"/>
            <w:vAlign w:val="center"/>
          </w:tcPr>
          <w:p w14:paraId="3F383C05">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0.019</w:t>
            </w:r>
          </w:p>
        </w:tc>
      </w:tr>
      <w:tr w14:paraId="4933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nil"/>
              <w:right w:val="nil"/>
            </w:tcBorders>
            <w:shd w:val="clear" w:color="auto" w:fill="FFFFFF"/>
            <w:vAlign w:val="center"/>
          </w:tcPr>
          <w:p w14:paraId="13A1C5E4">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Q3</w:t>
            </w:r>
          </w:p>
        </w:tc>
        <w:tc>
          <w:tcPr>
            <w:tcW w:w="693" w:type="pct"/>
            <w:tcBorders>
              <w:top w:val="nil"/>
              <w:left w:val="nil"/>
              <w:bottom w:val="nil"/>
              <w:right w:val="nil"/>
            </w:tcBorders>
            <w:shd w:val="clear" w:color="auto" w:fill="FFFFFF"/>
            <w:vAlign w:val="center"/>
          </w:tcPr>
          <w:p w14:paraId="21164DAA">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244</w:t>
            </w:r>
          </w:p>
        </w:tc>
        <w:tc>
          <w:tcPr>
            <w:tcW w:w="1025" w:type="pct"/>
            <w:tcBorders>
              <w:top w:val="nil"/>
              <w:left w:val="nil"/>
              <w:bottom w:val="nil"/>
              <w:right w:val="nil"/>
            </w:tcBorders>
            <w:shd w:val="clear" w:color="auto" w:fill="FFFFFF"/>
            <w:vAlign w:val="center"/>
          </w:tcPr>
          <w:p w14:paraId="62FF5CD8">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1.21 (1.00-1.46)</w:t>
            </w:r>
          </w:p>
        </w:tc>
        <w:tc>
          <w:tcPr>
            <w:tcW w:w="546" w:type="pct"/>
            <w:tcBorders>
              <w:top w:val="nil"/>
              <w:left w:val="nil"/>
              <w:bottom w:val="nil"/>
              <w:right w:val="nil"/>
            </w:tcBorders>
            <w:shd w:val="clear" w:color="auto" w:fill="FFFFFF"/>
            <w:vAlign w:val="center"/>
          </w:tcPr>
          <w:p w14:paraId="7717ADE1">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0.048</w:t>
            </w:r>
          </w:p>
        </w:tc>
        <w:tc>
          <w:tcPr>
            <w:tcW w:w="1025" w:type="pct"/>
            <w:tcBorders>
              <w:top w:val="nil"/>
              <w:left w:val="nil"/>
              <w:bottom w:val="nil"/>
              <w:right w:val="nil"/>
            </w:tcBorders>
            <w:shd w:val="clear" w:color="auto" w:fill="FFFFFF"/>
            <w:vAlign w:val="center"/>
          </w:tcPr>
          <w:p w14:paraId="53A72087">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1.25 (1.04-1.51)</w:t>
            </w:r>
          </w:p>
        </w:tc>
        <w:tc>
          <w:tcPr>
            <w:tcW w:w="566" w:type="pct"/>
            <w:tcBorders>
              <w:top w:val="nil"/>
              <w:left w:val="nil"/>
              <w:bottom w:val="nil"/>
              <w:right w:val="nil"/>
            </w:tcBorders>
            <w:shd w:val="clear" w:color="auto" w:fill="FFFFFF"/>
            <w:vAlign w:val="center"/>
          </w:tcPr>
          <w:p w14:paraId="1E871CE3">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0.019</w:t>
            </w:r>
          </w:p>
        </w:tc>
      </w:tr>
      <w:tr w14:paraId="2DCB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nil"/>
              <w:right w:val="nil"/>
            </w:tcBorders>
            <w:shd w:val="clear" w:color="auto" w:fill="FFFFFF"/>
            <w:vAlign w:val="center"/>
          </w:tcPr>
          <w:p w14:paraId="605444F8">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Q4</w:t>
            </w:r>
          </w:p>
        </w:tc>
        <w:tc>
          <w:tcPr>
            <w:tcW w:w="693" w:type="pct"/>
            <w:tcBorders>
              <w:top w:val="nil"/>
              <w:left w:val="nil"/>
              <w:bottom w:val="nil"/>
              <w:right w:val="nil"/>
            </w:tcBorders>
            <w:shd w:val="clear" w:color="auto" w:fill="FFFFFF"/>
            <w:vAlign w:val="center"/>
          </w:tcPr>
          <w:p w14:paraId="0F624470">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284</w:t>
            </w:r>
          </w:p>
        </w:tc>
        <w:tc>
          <w:tcPr>
            <w:tcW w:w="1025" w:type="pct"/>
            <w:tcBorders>
              <w:top w:val="nil"/>
              <w:left w:val="nil"/>
              <w:bottom w:val="nil"/>
              <w:right w:val="nil"/>
            </w:tcBorders>
            <w:shd w:val="clear" w:color="auto" w:fill="FFFFFF"/>
            <w:vAlign w:val="center"/>
          </w:tcPr>
          <w:p w14:paraId="0605B50F">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1.46 (1.20-1.77)</w:t>
            </w:r>
          </w:p>
        </w:tc>
        <w:tc>
          <w:tcPr>
            <w:tcW w:w="546" w:type="pct"/>
            <w:tcBorders>
              <w:top w:val="nil"/>
              <w:left w:val="nil"/>
              <w:bottom w:val="nil"/>
              <w:right w:val="nil"/>
            </w:tcBorders>
            <w:shd w:val="clear" w:color="auto" w:fill="FFFFFF"/>
            <w:vAlign w:val="center"/>
          </w:tcPr>
          <w:p w14:paraId="2231705A">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&lt;0.001</w:t>
            </w:r>
          </w:p>
        </w:tc>
        <w:tc>
          <w:tcPr>
            <w:tcW w:w="1025" w:type="pct"/>
            <w:tcBorders>
              <w:top w:val="nil"/>
              <w:left w:val="nil"/>
              <w:bottom w:val="nil"/>
              <w:right w:val="nil"/>
            </w:tcBorders>
            <w:shd w:val="clear" w:color="auto" w:fill="FFFFFF"/>
            <w:vAlign w:val="center"/>
          </w:tcPr>
          <w:p w14:paraId="727F531C">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1.54 (1.28-1.86)</w:t>
            </w:r>
          </w:p>
        </w:tc>
        <w:tc>
          <w:tcPr>
            <w:tcW w:w="566" w:type="pct"/>
            <w:tcBorders>
              <w:top w:val="nil"/>
              <w:left w:val="nil"/>
              <w:bottom w:val="nil"/>
              <w:right w:val="nil"/>
            </w:tcBorders>
            <w:shd w:val="clear" w:color="auto" w:fill="FFFFFF"/>
            <w:vAlign w:val="center"/>
          </w:tcPr>
          <w:p w14:paraId="2449B562">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&lt;0.001</w:t>
            </w:r>
          </w:p>
        </w:tc>
      </w:tr>
      <w:tr w14:paraId="18B4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2" w:type="pct"/>
            <w:tcBorders>
              <w:top w:val="nil"/>
              <w:left w:val="nil"/>
              <w:bottom w:val="single" w:color="000000" w:sz="12" w:space="0"/>
              <w:right w:val="nil"/>
            </w:tcBorders>
            <w:shd w:val="clear" w:color="auto" w:fill="FFFFFF"/>
            <w:vAlign w:val="center"/>
          </w:tcPr>
          <w:p w14:paraId="6BB10E87">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P for trend</w:t>
            </w:r>
          </w:p>
        </w:tc>
        <w:tc>
          <w:tcPr>
            <w:tcW w:w="693" w:type="pct"/>
            <w:tcBorders>
              <w:top w:val="nil"/>
              <w:left w:val="nil"/>
              <w:bottom w:val="single" w:color="000000" w:sz="12" w:space="0"/>
              <w:right w:val="nil"/>
            </w:tcBorders>
            <w:shd w:val="clear" w:color="auto" w:fill="FFFFFF"/>
            <w:vAlign w:val="center"/>
          </w:tcPr>
          <w:p w14:paraId="1C79B75F">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w:t>
            </w:r>
          </w:p>
        </w:tc>
        <w:tc>
          <w:tcPr>
            <w:tcW w:w="1025" w:type="pct"/>
            <w:tcBorders>
              <w:top w:val="nil"/>
              <w:left w:val="nil"/>
              <w:bottom w:val="single" w:color="000000" w:sz="12" w:space="0"/>
              <w:right w:val="nil"/>
            </w:tcBorders>
            <w:shd w:val="clear" w:color="auto" w:fill="FFFFFF"/>
            <w:vAlign w:val="center"/>
          </w:tcPr>
          <w:p w14:paraId="40C4C7C8">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w:t>
            </w:r>
          </w:p>
        </w:tc>
        <w:tc>
          <w:tcPr>
            <w:tcW w:w="546" w:type="pct"/>
            <w:tcBorders>
              <w:top w:val="nil"/>
              <w:left w:val="nil"/>
              <w:bottom w:val="single" w:color="000000" w:sz="12" w:space="0"/>
              <w:right w:val="nil"/>
            </w:tcBorders>
            <w:shd w:val="clear" w:color="auto" w:fill="FFFFFF"/>
            <w:vAlign w:val="center"/>
          </w:tcPr>
          <w:p w14:paraId="29704CCE">
            <w:pPr>
              <w:pageBreakBefore w:val="0"/>
              <w:widowControl/>
              <w:kinsoku/>
              <w:wordWrap/>
              <w:overflowPunct/>
              <w:topLinePunct w:val="0"/>
              <w:bidi w:val="0"/>
              <w:snapToGrid w:val="0"/>
              <w:spacing w:before="0" w:after="0" w:line="360" w:lineRule="auto"/>
              <w:jc w:val="center"/>
              <w:rPr>
                <w:rFonts w:hint="default" w:ascii="Times New Roman" w:hAnsi="Times New Roman" w:cs="Times New Roman"/>
                <w:b w:val="0"/>
                <w:color w:val="000000"/>
                <w:sz w:val="24"/>
                <w:szCs w:val="24"/>
                <w:highlight w:val="none"/>
              </w:rPr>
            </w:pPr>
            <w:r>
              <w:rPr>
                <w:rFonts w:hint="default" w:ascii="Times New Roman" w:hAnsi="Times New Roman" w:eastAsia="Times New Roman" w:cs="Times New Roman"/>
                <w:b w:val="0"/>
                <w:color w:val="000000"/>
                <w:sz w:val="24"/>
                <w:szCs w:val="24"/>
                <w:highlight w:val="none"/>
              </w:rPr>
              <w:t>&lt;0.001</w:t>
            </w:r>
          </w:p>
        </w:tc>
        <w:tc>
          <w:tcPr>
            <w:tcW w:w="1025" w:type="pct"/>
            <w:tcBorders>
              <w:top w:val="nil"/>
              <w:left w:val="nil"/>
              <w:bottom w:val="single" w:color="000000" w:sz="12" w:space="0"/>
              <w:right w:val="nil"/>
            </w:tcBorders>
            <w:shd w:val="clear" w:color="auto" w:fill="FFFFFF"/>
            <w:vAlign w:val="center"/>
          </w:tcPr>
          <w:p w14:paraId="35A353BF">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w:t>
            </w:r>
          </w:p>
        </w:tc>
        <w:tc>
          <w:tcPr>
            <w:tcW w:w="566" w:type="pct"/>
            <w:tcBorders>
              <w:top w:val="nil"/>
              <w:left w:val="nil"/>
              <w:bottom w:val="single" w:color="000000" w:sz="12" w:space="0"/>
              <w:right w:val="nil"/>
            </w:tcBorders>
            <w:shd w:val="clear" w:color="auto" w:fill="FFFFFF"/>
            <w:vAlign w:val="center"/>
          </w:tcPr>
          <w:p w14:paraId="57F5633A">
            <w:pPr>
              <w:pageBreakBefore w:val="0"/>
              <w:widowControl/>
              <w:kinsoku/>
              <w:wordWrap/>
              <w:overflowPunct/>
              <w:topLinePunct w:val="0"/>
              <w:bidi w:val="0"/>
              <w:snapToGrid w:val="0"/>
              <w:spacing w:before="0" w:after="0" w:line="360" w:lineRule="auto"/>
              <w:jc w:val="center"/>
              <w:rPr>
                <w:rFonts w:hint="default" w:ascii="Times New Roman" w:hAnsi="Times New Roman" w:eastAsia="Times New Roman" w:cs="Times New Roman"/>
                <w:b w:val="0"/>
                <w:color w:val="000000"/>
                <w:sz w:val="24"/>
                <w:szCs w:val="24"/>
                <w:highlight w:val="none"/>
                <w:lang w:val="en-US" w:eastAsia="en-US" w:bidi="ar-SA"/>
              </w:rPr>
            </w:pPr>
            <w:r>
              <w:rPr>
                <w:rFonts w:hint="default" w:ascii="Times New Roman" w:hAnsi="Times New Roman" w:eastAsia="Times New Roman" w:cs="Times New Roman"/>
                <w:b w:val="0"/>
                <w:color w:val="000000"/>
                <w:sz w:val="24"/>
                <w:szCs w:val="24"/>
                <w:highlight w:val="none"/>
              </w:rPr>
              <w:t>&lt;0.001</w:t>
            </w:r>
          </w:p>
        </w:tc>
      </w:tr>
    </w:tbl>
    <w:p w14:paraId="32C54F4B">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p>
    <w:p w14:paraId="28E81609">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Values are hazard ratios (HRs) with 95% confidence intervals (CIs), pooled from 20 multiply imputed datasets and combined according to Rubin's rules. Model 4 was additionally adjusted for baseline systolic blood pressure, baseline diastolic blood pressure, residence, education level, total cholesterol, HDL-C, LDL-C, log-transformed C-reactive protein (CRP), and serum creatinine, in addition to the covariates included in Model 3. Triglycerides and fasting plasma glucose were not additionally adjusted because they are components of the TyG index.</w:t>
      </w:r>
      <w:r>
        <w:rPr>
          <w:rFonts w:hint="default" w:ascii="Times New Roman" w:hAnsi="Times New Roman" w:cs="Times New Roman" w:eastAsiaTheme="minorEastAsia"/>
          <w:sz w:val="24"/>
          <w:szCs w:val="24"/>
          <w:highlight w:val="none"/>
          <w:lang w:val="en-US" w:eastAsia="zh-CN"/>
        </w:rPr>
        <w:t xml:space="preserve"> M</w:t>
      </w:r>
      <w:r>
        <w:rPr>
          <w:rFonts w:hint="default" w:ascii="Times New Roman" w:hAnsi="Times New Roman" w:cs="Times New Roman" w:eastAsiaTheme="minorEastAsia"/>
          <w:sz w:val="24"/>
          <w:szCs w:val="24"/>
          <w:highlight w:val="none"/>
        </w:rPr>
        <w:t xml:space="preserve">odel </w:t>
      </w:r>
      <w:r>
        <w:rPr>
          <w:rFonts w:hint="default" w:ascii="Times New Roman" w:hAnsi="Times New Roman" w:cs="Times New Roman" w:eastAsiaTheme="minorEastAsia"/>
          <w:sz w:val="24"/>
          <w:szCs w:val="24"/>
          <w:highlight w:val="none"/>
          <w:lang w:val="en-US" w:eastAsia="zh-CN"/>
        </w:rPr>
        <w:t xml:space="preserve">5 </w:t>
      </w:r>
      <w:r>
        <w:rPr>
          <w:rFonts w:hint="default" w:ascii="Times New Roman" w:hAnsi="Times New Roman" w:cs="Times New Roman" w:eastAsiaTheme="minorEastAsia"/>
          <w:sz w:val="24"/>
          <w:szCs w:val="24"/>
          <w:highlight w:val="none"/>
        </w:rPr>
        <w:t xml:space="preserve">adjusted for age, sex, BMI, current smoking, current drinking, and dyslipidemia, while excluding diabetes, heart disease, stroke, and kidney disease. </w:t>
      </w:r>
    </w:p>
    <w:p w14:paraId="2D46DE9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Abbreviations: TyGFI, triglyceride-glucose frailty index; HDL-C, high-density lipoprotein cholesterol; LDL-C, low-density lipoprotein cholesterol; CRP, C-reactive protein.</w:t>
      </w:r>
    </w:p>
    <w:p w14:paraId="1EE022A7">
      <w:pPr>
        <w:pageBreakBefore w:val="0"/>
        <w:widowControl/>
        <w:kinsoku/>
        <w:wordWrap/>
        <w:overflowPunct/>
        <w:topLinePunct w:val="0"/>
        <w:bidi w:val="0"/>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br w:type="page"/>
      </w:r>
    </w:p>
    <w:p w14:paraId="378184BC">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b/>
          <w:bCs/>
          <w:sz w:val="24"/>
          <w:szCs w:val="24"/>
          <w:highlight w:val="none"/>
        </w:rPr>
        <w:t>Supplementary Figure S</w:t>
      </w:r>
      <w:r>
        <w:rPr>
          <w:rFonts w:hint="default" w:ascii="Times New Roman" w:hAnsi="Times New Roman" w:cs="Times New Roman" w:eastAsiaTheme="minorEastAsia"/>
          <w:b/>
          <w:bCs/>
          <w:sz w:val="24"/>
          <w:szCs w:val="24"/>
          <w:highlight w:val="none"/>
          <w:lang w:val="en-US" w:eastAsia="zh-CN"/>
        </w:rPr>
        <w:t>1</w:t>
      </w:r>
      <w:r>
        <w:rPr>
          <w:rFonts w:hint="default" w:ascii="Times New Roman" w:hAnsi="Times New Roman" w:cs="Times New Roman" w:eastAsiaTheme="minorEastAsia"/>
          <w:b/>
          <w:bCs/>
          <w:sz w:val="24"/>
          <w:szCs w:val="24"/>
          <w:highlight w:val="none"/>
        </w:rPr>
        <w:t xml:space="preserve">. </w:t>
      </w:r>
      <w:r>
        <w:rPr>
          <w:rFonts w:hint="default" w:ascii="Times New Roman" w:hAnsi="Times New Roman" w:cs="Times New Roman" w:eastAsiaTheme="minorEastAsia"/>
          <w:sz w:val="24"/>
          <w:szCs w:val="24"/>
          <w:highlight w:val="none"/>
        </w:rPr>
        <w:t>Calibration plots comparing the fully adjusted model and the fully adjusted model plus cumulative TyGFI for predicting incident hypertension at the 7-year (A) and 9-year (B) follow-up. The dashed diagonal line represents perfect calibration.</w:t>
      </w:r>
    </w:p>
    <w:p w14:paraId="591DCD20">
      <w:pPr>
        <w:pageBreakBefore w:val="0"/>
        <w:widowControl/>
        <w:kinsoku/>
        <w:wordWrap/>
        <w:overflowPunct/>
        <w:topLinePunct w:val="0"/>
        <w:bidi w:val="0"/>
        <w:spacing w:line="360" w:lineRule="auto"/>
        <w:jc w:val="both"/>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lang w:eastAsia="zh-CN"/>
        </w:rPr>
        <w:drawing>
          <wp:inline distT="0" distB="0" distL="114300" distR="114300">
            <wp:extent cx="8293735" cy="3777615"/>
            <wp:effectExtent l="0" t="0" r="2540" b="381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7"/>
                    <a:stretch>
                      <a:fillRect/>
                    </a:stretch>
                  </pic:blipFill>
                  <pic:spPr>
                    <a:xfrm>
                      <a:off x="0" y="0"/>
                      <a:ext cx="8293735" cy="3777615"/>
                    </a:xfrm>
                    <a:prstGeom prst="rect">
                      <a:avLst/>
                    </a:prstGeom>
                  </pic:spPr>
                </pic:pic>
              </a:graphicData>
            </a:graphic>
          </wp:inline>
        </w:drawing>
      </w:r>
    </w:p>
    <w:bookmarkEnd w:id="2"/>
    <w:sectPr>
      <w:headerReference r:id="rId5" w:type="default"/>
      <w:pgSz w:w="14740" w:h="20863"/>
      <w:pgMar w:top="2211" w:right="947" w:bottom="1174"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76638">
    <w:pPr>
      <w:spacing w:after="0" w:line="240" w:lineRule="auto"/>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lOWY0OGY0ZTRkZDY2Yjc0ZDQ4NzZlMjhjN2RjNTQifQ=="/>
  </w:docVars>
  <w:rsids>
    <w:rsidRoot w:val="009C62CB"/>
    <w:rsid w:val="000721D6"/>
    <w:rsid w:val="000A0D15"/>
    <w:rsid w:val="000F209F"/>
    <w:rsid w:val="00115F36"/>
    <w:rsid w:val="001350DF"/>
    <w:rsid w:val="00141855"/>
    <w:rsid w:val="001502CF"/>
    <w:rsid w:val="0018236E"/>
    <w:rsid w:val="00185302"/>
    <w:rsid w:val="001D7F6F"/>
    <w:rsid w:val="001F400C"/>
    <w:rsid w:val="002B6F66"/>
    <w:rsid w:val="003301F3"/>
    <w:rsid w:val="003872E6"/>
    <w:rsid w:val="003B6102"/>
    <w:rsid w:val="003E461B"/>
    <w:rsid w:val="00400687"/>
    <w:rsid w:val="00446CEC"/>
    <w:rsid w:val="004A07CB"/>
    <w:rsid w:val="004A5E35"/>
    <w:rsid w:val="004C44E8"/>
    <w:rsid w:val="0050648F"/>
    <w:rsid w:val="00560609"/>
    <w:rsid w:val="00592C18"/>
    <w:rsid w:val="005B26DA"/>
    <w:rsid w:val="006332A6"/>
    <w:rsid w:val="00693447"/>
    <w:rsid w:val="006F28CA"/>
    <w:rsid w:val="007A303A"/>
    <w:rsid w:val="00902F4A"/>
    <w:rsid w:val="009810F1"/>
    <w:rsid w:val="009A5F2C"/>
    <w:rsid w:val="009A66B9"/>
    <w:rsid w:val="009B28AF"/>
    <w:rsid w:val="009C62CB"/>
    <w:rsid w:val="009E2DB7"/>
    <w:rsid w:val="00A129C2"/>
    <w:rsid w:val="00A25EB0"/>
    <w:rsid w:val="00A7746A"/>
    <w:rsid w:val="00A86EB2"/>
    <w:rsid w:val="00AA6A5C"/>
    <w:rsid w:val="00B1263E"/>
    <w:rsid w:val="00B256D4"/>
    <w:rsid w:val="00B52554"/>
    <w:rsid w:val="00BF3D13"/>
    <w:rsid w:val="00BF6FA8"/>
    <w:rsid w:val="00C73533"/>
    <w:rsid w:val="00CF63FD"/>
    <w:rsid w:val="00E63F7E"/>
    <w:rsid w:val="00E734EB"/>
    <w:rsid w:val="00E930A5"/>
    <w:rsid w:val="00ED445B"/>
    <w:rsid w:val="00F36307"/>
    <w:rsid w:val="00F5177A"/>
    <w:rsid w:val="00F87753"/>
    <w:rsid w:val="00FB72C6"/>
    <w:rsid w:val="08306578"/>
    <w:rsid w:val="12D579BB"/>
    <w:rsid w:val="17B943BD"/>
    <w:rsid w:val="17BF3161"/>
    <w:rsid w:val="18D35C08"/>
    <w:rsid w:val="198D1F39"/>
    <w:rsid w:val="1C364085"/>
    <w:rsid w:val="1C980A44"/>
    <w:rsid w:val="1EE41A26"/>
    <w:rsid w:val="1F3A4035"/>
    <w:rsid w:val="20572A79"/>
    <w:rsid w:val="26321682"/>
    <w:rsid w:val="26424FFE"/>
    <w:rsid w:val="2A4616A0"/>
    <w:rsid w:val="2D300825"/>
    <w:rsid w:val="31807F18"/>
    <w:rsid w:val="33811DDB"/>
    <w:rsid w:val="352C0058"/>
    <w:rsid w:val="380B6117"/>
    <w:rsid w:val="3B273D9E"/>
    <w:rsid w:val="46A362D1"/>
    <w:rsid w:val="48111527"/>
    <w:rsid w:val="48C44395"/>
    <w:rsid w:val="4FF67CEC"/>
    <w:rsid w:val="51C8756C"/>
    <w:rsid w:val="55B41744"/>
    <w:rsid w:val="56951575"/>
    <w:rsid w:val="595B7D4F"/>
    <w:rsid w:val="5B0D5B7E"/>
    <w:rsid w:val="5C6C50D2"/>
    <w:rsid w:val="5E6A028D"/>
    <w:rsid w:val="601C5DB3"/>
    <w:rsid w:val="660D2337"/>
    <w:rsid w:val="661928CB"/>
    <w:rsid w:val="68C35652"/>
    <w:rsid w:val="6C152AE5"/>
    <w:rsid w:val="6DB16743"/>
    <w:rsid w:val="701D6086"/>
    <w:rsid w:val="750D2564"/>
    <w:rsid w:val="758D193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259" w:lineRule="auto"/>
    </w:pPr>
    <w:rPr>
      <w:rFonts w:asciiTheme="minorHAnsi" w:hAnsiTheme="minorHAnsi" w:eastAsiaTheme="minorHAnsi" w:cstheme="minorBidi"/>
      <w:sz w:val="22"/>
      <w:szCs w:val="22"/>
      <w:lang w:val="en-AU" w:eastAsia="en-US" w:bidi="ar-SA"/>
    </w:rPr>
  </w:style>
  <w:style w:type="paragraph" w:styleId="2">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unhideWhenUsed/>
    <w:qFormat/>
    <w:uiPriority w:val="99"/>
    <w:pPr>
      <w:spacing w:line="240" w:lineRule="auto"/>
    </w:pPr>
    <w:rPr>
      <w:rFonts w:eastAsiaTheme="minorEastAsia"/>
      <w:sz w:val="20"/>
      <w:szCs w:val="20"/>
      <w:lang w:eastAsia="zh-CN"/>
    </w:rPr>
  </w:style>
  <w:style w:type="paragraph" w:styleId="4">
    <w:name w:val="footer"/>
    <w:basedOn w:val="1"/>
    <w:link w:val="14"/>
    <w:autoRedefine/>
    <w:unhideWhenUsed/>
    <w:qFormat/>
    <w:uiPriority w:val="99"/>
    <w:pPr>
      <w:tabs>
        <w:tab w:val="center" w:pos="4513"/>
        <w:tab w:val="right" w:pos="9026"/>
      </w:tabs>
      <w:spacing w:after="0" w:line="240" w:lineRule="auto"/>
    </w:pPr>
  </w:style>
  <w:style w:type="paragraph" w:styleId="5">
    <w:name w:val="header"/>
    <w:basedOn w:val="1"/>
    <w:link w:val="13"/>
    <w:autoRedefine/>
    <w:unhideWhenUsed/>
    <w:qFormat/>
    <w:uiPriority w:val="99"/>
    <w:pPr>
      <w:tabs>
        <w:tab w:val="center" w:pos="4513"/>
        <w:tab w:val="right" w:pos="9026"/>
      </w:tabs>
      <w:spacing w:after="0" w:line="240" w:lineRule="auto"/>
    </w:p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semiHidden/>
    <w:unhideWhenUsed/>
    <w:qFormat/>
    <w:uiPriority w:val="99"/>
    <w:rPr>
      <w:color w:val="954F72" w:themeColor="followedHyperlink"/>
      <w:u w:val="single"/>
      <w14:textFill>
        <w14:solidFill>
          <w14:schemeClr w14:val="folHlink"/>
        </w14:solidFill>
      </w14:textFill>
    </w:rPr>
  </w:style>
  <w:style w:type="character" w:styleId="11">
    <w:name w:val="Hyperlink"/>
    <w:basedOn w:val="9"/>
    <w:autoRedefine/>
    <w:semiHidden/>
    <w:unhideWhenUsed/>
    <w:qFormat/>
    <w:uiPriority w:val="0"/>
    <w:rPr>
      <w:color w:val="0563C1"/>
      <w:u w:val="single"/>
    </w:rPr>
  </w:style>
  <w:style w:type="character" w:styleId="12">
    <w:name w:val="HTML Code"/>
    <w:basedOn w:val="9"/>
    <w:semiHidden/>
    <w:unhideWhenUsed/>
    <w:qFormat/>
    <w:uiPriority w:val="99"/>
    <w:rPr>
      <w:rFonts w:ascii="Courier New" w:hAnsi="Courier New"/>
      <w:sz w:val="20"/>
    </w:rPr>
  </w:style>
  <w:style w:type="character" w:customStyle="1" w:styleId="13">
    <w:name w:val="页眉 字符"/>
    <w:basedOn w:val="9"/>
    <w:link w:val="5"/>
    <w:autoRedefine/>
    <w:qFormat/>
    <w:uiPriority w:val="99"/>
  </w:style>
  <w:style w:type="character" w:customStyle="1" w:styleId="14">
    <w:name w:val="页脚 字符"/>
    <w:basedOn w:val="9"/>
    <w:link w:val="4"/>
    <w:autoRedefine/>
    <w:qFormat/>
    <w:uiPriority w:val="99"/>
  </w:style>
  <w:style w:type="character" w:customStyle="1" w:styleId="15">
    <w:name w:val="批注文字 字符"/>
    <w:basedOn w:val="9"/>
    <w:link w:val="3"/>
    <w:qFormat/>
    <w:uiPriority w:val="99"/>
    <w:rPr>
      <w:rFonts w:eastAsiaTheme="minorEastAsia"/>
      <w:sz w:val="20"/>
      <w:szCs w:val="20"/>
      <w:lang w:eastAsia="zh-CN"/>
    </w:rPr>
  </w:style>
  <w:style w:type="paragraph" w:customStyle="1" w:styleId="16">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17">
    <w:name w:val="CM1"/>
    <w:basedOn w:val="1"/>
    <w:next w:val="1"/>
    <w:autoRedefine/>
    <w:qFormat/>
    <w:uiPriority w:val="0"/>
    <w:pPr>
      <w:widowControl w:val="0"/>
      <w:autoSpaceDE w:val="0"/>
      <w:autoSpaceDN w:val="0"/>
      <w:adjustRightInd w:val="0"/>
      <w:spacing w:after="0" w:line="240" w:lineRule="auto"/>
    </w:pPr>
    <w:rPr>
      <w:rFonts w:ascii="Calibri" w:hAnsi="Calibri" w:eastAsia="Times New Roman" w:cs="Times New Roman"/>
      <w:sz w:val="24"/>
      <w:szCs w:val="24"/>
      <w:lang w:val="en-CA" w:eastAsia="en-C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Monash University</Company>
  <Pages>11</Pages>
  <Words>903</Words>
  <Characters>4550</Characters>
  <Lines>1</Lines>
  <Paragraphs>1</Paragraphs>
  <TotalTime>0</TotalTime>
  <ScaleCrop>false</ScaleCrop>
  <LinksUpToDate>false</LinksUpToDate>
  <CharactersWithSpaces>5255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2020-03-09T22:08:00Z</dcterms:created>
  <dc:creator>Matthew Page</dc:creator>
  <cp:lastModifiedBy>Zoey.</cp:lastModifiedBy>
  <dcterms:modified xsi:type="dcterms:W3CDTF">2026-08-07T12:53:23Z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5E799C04FDFC4799AF1703C0D600D820</vt:lpwstr>
  </property>
  <property fmtid="{D5CDD505-2E9C-101B-9397-08002B2CF9AE}" pid="4" name="GrammarlyDocumentId">
    <vt:lpwstr>42d072e00d50ba565cb00b81b9bef526391fab0d75ca446baa9e84c61e75d01d</vt:lpwstr>
  </property>
  <property fmtid="{D5CDD505-2E9C-101B-9397-08002B2CF9AE}" pid="5" name="KSOTemplateDocerSaveRecord">
    <vt:lpwstr>eyJoZGlkIjoiMzRjNmNmNDhjMTZiYTBiODE1MThiZTVkMzk4NDcwZDciLCJ1c2VySWQiOiIzMjkyNTIxMTYifQ==</vt:lpwstr>
  </property>
</Properties>
</file>