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outlineLvl w:val="9"/>
      </w:pPr>
      <w:r>
        <w:rPr>
          <w:rFonts w:ascii="Times New Roman" w:hAnsi="Times New Roman" w:eastAsia="Times New Roman" w:cs="Times New Roman"/>
          <w:b/>
          <w:i w:val="0"/>
          <w:color w:val="000000"/>
          <w:sz w:val="28"/>
          <w:u w:val="none"/>
        </w:rPr>
        <w:t>Additional file 1: Supplementary information</w:t>
      </w:r>
    </w:p>
    <w:p>
      <w:pPr>
        <w:spacing w:line="360" w:lineRule="auto" w:before="0" w:after="80"/>
        <w:jc w:val="center"/>
        <w:outlineLvl w:val="9"/>
      </w:pPr>
      <w:r>
        <w:rPr>
          <w:rFonts w:ascii="Times New Roman" w:hAnsi="Times New Roman" w:eastAsia="Times New Roman" w:cs="Times New Roman"/>
          <w:b/>
          <w:i w:val="0"/>
          <w:color w:val="000000"/>
          <w:sz w:val="24"/>
          <w:u w:val="none"/>
        </w:rPr>
        <w:t>Cardiorespiratory fitness gap during stable recovery after percutaneous coronary intervention relative to a contemporaneous angiographic reference group: a propensity score overlap-weighted cross-sectional study</w:t>
      </w:r>
    </w:p>
    <w:p>
      <w:pPr>
        <w:keepNext/>
        <w:spacing w:line="360" w:lineRule="auto" w:before="240" w:after="120"/>
        <w:outlineLvl w:val="9"/>
      </w:pPr>
      <w:r>
        <w:rPr>
          <w:rFonts w:ascii="Times New Roman" w:hAnsi="Times New Roman" w:eastAsia="Times New Roman" w:cs="Times New Roman"/>
          <w:b/>
          <w:i w:val="0"/>
          <w:color w:val="000000"/>
          <w:sz w:val="24"/>
          <w:u w:val="none"/>
        </w:rPr>
        <w:t>Supplementary methods</w:t>
      </w:r>
    </w:p>
    <w:p>
      <w:pPr>
        <w:keepNext/>
        <w:spacing w:line="360" w:lineRule="auto" w:before="160" w:after="80"/>
        <w:outlineLvl w:val="9"/>
      </w:pPr>
      <w:r>
        <w:rPr>
          <w:rFonts w:ascii="Times New Roman" w:hAnsi="Times New Roman" w:eastAsia="Times New Roman" w:cs="Times New Roman"/>
          <w:b/>
          <w:i w:val="0"/>
          <w:color w:val="000000"/>
          <w:sz w:val="22"/>
          <w:u w:val="none"/>
        </w:rPr>
        <w:t>Participant screening</w:t>
      </w:r>
    </w:p>
    <w:p>
      <w:pPr>
        <w:spacing w:line="360" w:lineRule="auto" w:before="0" w:after="120"/>
        <w:jc w:val="both"/>
        <w:outlineLvl w:val="9"/>
      </w:pPr>
      <w:r>
        <w:rPr>
          <w:rFonts w:ascii="Times New Roman" w:hAnsi="Times New Roman" w:eastAsia="Times New Roman" w:cs="Times New Roman"/>
          <w:b w:val="0"/>
          <w:i w:val="0"/>
          <w:color w:val="000000"/>
          <w:u w:val="none"/>
        </w:rPr>
        <w:t>The initial database search identified 2443 potentially relevant records. Before eligibility assessment, 769 records were excluded: 231 duplicate patients or examinations, 385 examinations outside the prespecified study period, 118 records for which coronary angiography, CPET, and body-composition data could not be reliably linked, and 35 records with missing or implausible key dates. We then excluded 466 patients with previous myocardial infarction or coronary revascularization, 35 with LVEF &lt;50%, 5 with moderate-to-severe valvular disease, 18 with severe anemia (hemoglobin &lt;80 g/L), and 27 whose study group could not be established. CPET quality control excluded 379 patients with peak RER &lt;1.0 and 30 with other CPET data-quality failures; body-composition quality control excluded 32 patients. The final cohort comprised 682 participants: 209 in the reference group and 473 in the PCI group.</w:t>
      </w:r>
    </w:p>
    <w:p>
      <w:pPr>
        <w:spacing w:line="360" w:lineRule="auto" w:before="0" w:after="120"/>
        <w:jc w:val="both"/>
        <w:outlineLvl w:val="9"/>
      </w:pPr>
      <w:r>
        <w:rPr>
          <w:rFonts w:ascii="Times New Roman" w:hAnsi="Times New Roman" w:eastAsia="Times New Roman" w:cs="Times New Roman"/>
          <w:b w:val="0"/>
          <w:i w:val="0"/>
          <w:color w:val="000000"/>
          <w:u w:val="none"/>
        </w:rPr>
        <w:t>Both groups completed the same study assessments 4–6 weeks after the corresponding coronary angiography or planned PCI; clinical data, laboratory tests, CPET, and body-composition measurements were obtained within the same assessment window. Principal analysis variables, NYHA class, and CCS class were complete in all 682 participants. No observations were excluded because of missing covariates from the core or expanded overlap-weighting models, principal outcome models, or full-cohort sensitivity analyses. Sample-size reductions in the cycle-ergometer-only and two propensity score-matched analyses arose from protocol restriction and matching, respectively, rather than from missing data.</w:t>
      </w:r>
    </w:p>
    <w:p>
      <w:pPr>
        <w:keepNext/>
        <w:spacing w:line="360" w:lineRule="auto" w:before="160" w:after="80"/>
        <w:outlineLvl w:val="9"/>
      </w:pPr>
      <w:r>
        <w:rPr>
          <w:rFonts w:ascii="Times New Roman" w:hAnsi="Times New Roman" w:eastAsia="Times New Roman" w:cs="Times New Roman"/>
          <w:b/>
          <w:i w:val="0"/>
          <w:color w:val="000000"/>
          <w:sz w:val="22"/>
          <w:u w:val="none"/>
        </w:rPr>
        <w:t>Overlap weighting and outcome models</w:t>
      </w:r>
    </w:p>
    <w:p>
      <w:pPr>
        <w:spacing w:line="360" w:lineRule="auto" w:before="0" w:after="120"/>
        <w:jc w:val="both"/>
        <w:outlineLvl w:val="9"/>
      </w:pPr>
      <w:r>
        <w:rPr>
          <w:rFonts w:ascii="Times New Roman" w:hAnsi="Times New Roman" w:eastAsia="Times New Roman" w:cs="Times New Roman"/>
          <w:b w:val="0"/>
          <w:i w:val="0"/>
          <w:color w:val="000000"/>
          <w:u w:val="none"/>
        </w:rPr>
        <w:t>The core propensity score model included age, sex, exercise protocol, hypertension, diabetes, and current smoking. Weights were assigned as 1−e(x) in the PCI group and e(x) in the reference group. Targeted outcome models included age, sex, exercise protocol, LVEF, and outcome-aligned body-composition measures. The primary extended model additionally included hemoglobin, eGFRMDRD, fasting blood glucose, current smoking, hypertension, diabetes, and beta-blocker use.</w:t>
      </w:r>
    </w:p>
    <w:p>
      <w:pPr>
        <w:keepNext/>
        <w:spacing w:line="360" w:lineRule="auto" w:before="160" w:after="80"/>
        <w:outlineLvl w:val="9"/>
      </w:pPr>
      <w:r>
        <w:rPr>
          <w:rFonts w:ascii="Times New Roman" w:hAnsi="Times New Roman" w:eastAsia="Times New Roman" w:cs="Times New Roman"/>
          <w:b/>
          <w:i w:val="0"/>
          <w:color w:val="000000"/>
          <w:sz w:val="22"/>
          <w:u w:val="none"/>
        </w:rPr>
        <w:t>Sensitivity analyses</w:t>
      </w:r>
    </w:p>
    <w:p>
      <w:pPr>
        <w:spacing w:line="360" w:lineRule="auto" w:before="0" w:after="120"/>
        <w:jc w:val="both"/>
        <w:outlineLvl w:val="9"/>
      </w:pPr>
      <w:r>
        <w:rPr>
          <w:rFonts w:ascii="Times New Roman" w:hAnsi="Times New Roman" w:eastAsia="Times New Roman" w:cs="Times New Roman"/>
          <w:b w:val="0"/>
          <w:i w:val="0"/>
          <w:color w:val="000000"/>
          <w:u w:val="none"/>
        </w:rPr>
        <w:t>Sensitivity analyses included overlap weighting with an expanded propensity score variable set, restriction to cycle-ergometer testing, alternative body-composition measures, unified SMM/BFM models, 1:1 propensity score matching based on prespecified age, sex, and exercise protocol, matching with the expanded propensity score variable set and exact matching on sex and exercise protocol, and recalculation of pVO₂ using the FRIEND equation in all 682 participants. Outcome models in matched cohorts used pair-clustered robust standard errors.</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S1 Propensity score and overlap-weight diagnostics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337"/>
        <w:gridCol w:w="1337"/>
        <w:gridCol w:w="1337"/>
        <w:gridCol w:w="1337"/>
        <w:gridCol w:w="1337"/>
        <w:gridCol w:w="1337"/>
        <w:gridCol w:w="1337"/>
      </w:tblGrid>
      <w:tr>
        <w:trPr>
          <w:tblHeader w:val="true"/>
          <w:cantSplit/>
        </w:trPr>
        <w:tc>
          <w:tcPr>
            <w:tcW w:type="dxa" w:w="1360"/>
            <w:vAlign w:val="center"/>
            <w:shd w:fill="E7E6E6"/>
          </w:tcPr>
          <w:p>
            <w:pPr>
              <w:spacing w:after="0"/>
              <w:jc w:val="center"/>
            </w:pPr>
            <w:r>
              <w:rPr>
                <w:rFonts w:ascii="Arial" w:hAnsi="Arial"/>
                <w:b/>
                <w:sz w:val="15"/>
              </w:rPr>
              <w:t>Propensity score model</w:t>
            </w:r>
          </w:p>
        </w:tc>
        <w:tc>
          <w:tcPr>
            <w:tcW w:type="dxa" w:w="1134"/>
            <w:vAlign w:val="center"/>
            <w:shd w:fill="E7E6E6"/>
          </w:tcPr>
          <w:p>
            <w:pPr>
              <w:spacing w:after="0"/>
              <w:jc w:val="center"/>
            </w:pPr>
            <w:r>
              <w:rPr>
                <w:rFonts w:ascii="Arial" w:hAnsi="Arial"/>
                <w:b/>
                <w:sz w:val="15"/>
              </w:rPr>
              <w:t>Group</w:t>
            </w:r>
          </w:p>
        </w:tc>
        <w:tc>
          <w:tcPr>
            <w:tcW w:type="dxa" w:w="680"/>
            <w:vAlign w:val="center"/>
            <w:shd w:fill="E7E6E6"/>
          </w:tcPr>
          <w:p>
            <w:pPr>
              <w:spacing w:after="0"/>
              <w:jc w:val="center"/>
            </w:pPr>
            <w:r>
              <w:rPr>
                <w:rFonts w:ascii="Arial" w:hAnsi="Arial"/>
                <w:b/>
                <w:sz w:val="15"/>
              </w:rPr>
              <w:t>n</w:t>
            </w:r>
          </w:p>
        </w:tc>
        <w:tc>
          <w:tcPr>
            <w:tcW w:type="dxa" w:w="1020"/>
            <w:vAlign w:val="center"/>
            <w:shd w:fill="E7E6E6"/>
          </w:tcPr>
          <w:p>
            <w:pPr>
              <w:spacing w:after="0"/>
              <w:jc w:val="center"/>
            </w:pPr>
            <w:r>
              <w:rPr>
                <w:rFonts w:ascii="Arial" w:hAnsi="Arial"/>
                <w:b/>
                <w:sz w:val="15"/>
              </w:rPr>
              <w:t>Sum of weights</w:t>
            </w:r>
          </w:p>
        </w:tc>
        <w:tc>
          <w:tcPr>
            <w:tcW w:type="dxa" w:w="1134"/>
            <w:vAlign w:val="center"/>
            <w:shd w:fill="E7E6E6"/>
          </w:tcPr>
          <w:p>
            <w:pPr>
              <w:spacing w:after="0"/>
              <w:jc w:val="center"/>
            </w:pPr>
            <w:r>
              <w:rPr>
                <w:rFonts w:ascii="Arial" w:hAnsi="Arial"/>
                <w:b/>
                <w:sz w:val="15"/>
              </w:rPr>
              <w:t>Effective sample size</w:t>
            </w:r>
          </w:p>
        </w:tc>
        <w:tc>
          <w:tcPr>
            <w:tcW w:type="dxa" w:w="1587"/>
            <w:vAlign w:val="center"/>
            <w:shd w:fill="E7E6E6"/>
          </w:tcPr>
          <w:p>
            <w:pPr>
              <w:spacing w:after="0"/>
              <w:jc w:val="center"/>
            </w:pPr>
            <w:r>
              <w:rPr>
                <w:rFonts w:ascii="Arial" w:hAnsi="Arial"/>
                <w:b/>
                <w:sz w:val="15"/>
              </w:rPr>
              <w:t>Weight range</w:t>
            </w:r>
          </w:p>
        </w:tc>
        <w:tc>
          <w:tcPr>
            <w:tcW w:type="dxa" w:w="1587"/>
            <w:vAlign w:val="center"/>
            <w:shd w:fill="E7E6E6"/>
          </w:tcPr>
          <w:p>
            <w:pPr>
              <w:spacing w:after="0"/>
              <w:jc w:val="center"/>
            </w:pPr>
            <w:r>
              <w:rPr>
                <w:rFonts w:ascii="Arial" w:hAnsi="Arial"/>
                <w:b/>
                <w:sz w:val="15"/>
              </w:rPr>
              <w:t>Propensity score range</w:t>
            </w:r>
          </w:p>
        </w:tc>
      </w:tr>
      <w:tr>
        <w:trPr>
          <w:cantSplit/>
        </w:trPr>
        <w:tc>
          <w:tcPr>
            <w:tcW w:type="dxa" w:w="1360"/>
            <w:vAlign w:val="center"/>
          </w:tcPr>
          <w:p>
            <w:pPr>
              <w:spacing w:after="0"/>
            </w:pPr>
            <w:r>
              <w:rPr>
                <w:rFonts w:ascii="Arial" w:hAnsi="Arial"/>
                <w:b w:val="0"/>
                <w:sz w:val="15"/>
              </w:rPr>
              <w:t>Core</w:t>
            </w:r>
          </w:p>
        </w:tc>
        <w:tc>
          <w:tcPr>
            <w:tcW w:type="dxa" w:w="1134"/>
            <w:vAlign w:val="center"/>
          </w:tcPr>
          <w:p>
            <w:pPr>
              <w:spacing w:after="0"/>
            </w:pPr>
            <w:r>
              <w:rPr>
                <w:rFonts w:ascii="Arial" w:hAnsi="Arial"/>
                <w:b w:val="0"/>
                <w:sz w:val="15"/>
              </w:rPr>
              <w:t>Reference</w:t>
            </w:r>
          </w:p>
        </w:tc>
        <w:tc>
          <w:tcPr>
            <w:tcW w:type="dxa" w:w="680"/>
            <w:vAlign w:val="center"/>
          </w:tcPr>
          <w:p>
            <w:pPr>
              <w:spacing w:after="0"/>
            </w:pPr>
            <w:r>
              <w:rPr>
                <w:rFonts w:ascii="Arial" w:hAnsi="Arial"/>
                <w:b w:val="0"/>
                <w:sz w:val="15"/>
              </w:rPr>
              <w:t>209</w:t>
            </w:r>
          </w:p>
        </w:tc>
        <w:tc>
          <w:tcPr>
            <w:tcW w:type="dxa" w:w="1020"/>
            <w:vAlign w:val="center"/>
          </w:tcPr>
          <w:p>
            <w:pPr>
              <w:spacing w:after="0"/>
            </w:pPr>
            <w:r>
              <w:rPr>
                <w:rFonts w:ascii="Arial" w:hAnsi="Arial"/>
                <w:b w:val="0"/>
                <w:sz w:val="15"/>
              </w:rPr>
              <w:t>115.60</w:t>
            </w:r>
          </w:p>
        </w:tc>
        <w:tc>
          <w:tcPr>
            <w:tcW w:type="dxa" w:w="1134"/>
            <w:vAlign w:val="center"/>
          </w:tcPr>
          <w:p>
            <w:pPr>
              <w:spacing w:after="0"/>
            </w:pPr>
            <w:r>
              <w:rPr>
                <w:rFonts w:ascii="Arial" w:hAnsi="Arial"/>
                <w:b w:val="0"/>
                <w:sz w:val="15"/>
              </w:rPr>
              <w:t>175.4</w:t>
            </w:r>
          </w:p>
        </w:tc>
        <w:tc>
          <w:tcPr>
            <w:tcW w:type="dxa" w:w="1587"/>
            <w:vAlign w:val="center"/>
          </w:tcPr>
          <w:p>
            <w:pPr>
              <w:spacing w:after="0"/>
            </w:pPr>
            <w:r>
              <w:rPr>
                <w:rFonts w:ascii="Arial" w:hAnsi="Arial"/>
                <w:b w:val="0"/>
                <w:sz w:val="15"/>
              </w:rPr>
              <w:t>0.067–0.946</w:t>
            </w:r>
          </w:p>
        </w:tc>
        <w:tc>
          <w:tcPr>
            <w:tcW w:type="dxa" w:w="1587"/>
            <w:vAlign w:val="center"/>
          </w:tcPr>
          <w:p>
            <w:pPr>
              <w:spacing w:after="0"/>
            </w:pPr>
            <w:r>
              <w:rPr>
                <w:rFonts w:ascii="Arial" w:hAnsi="Arial"/>
                <w:b w:val="0"/>
                <w:sz w:val="15"/>
              </w:rPr>
              <w:t>0.067–0.946</w:t>
            </w:r>
          </w:p>
        </w:tc>
      </w:tr>
      <w:tr>
        <w:trPr>
          <w:cantSplit/>
        </w:trPr>
        <w:tc>
          <w:tcPr>
            <w:tcW w:type="dxa" w:w="1360"/>
            <w:vAlign w:val="center"/>
          </w:tcPr>
          <w:p>
            <w:pPr>
              <w:spacing w:after="0"/>
            </w:pPr>
            <w:r>
              <w:rPr>
                <w:rFonts w:ascii="Arial" w:hAnsi="Arial"/>
                <w:b w:val="0"/>
                <w:sz w:val="15"/>
              </w:rPr>
              <w:t>Core</w:t>
            </w:r>
          </w:p>
        </w:tc>
        <w:tc>
          <w:tcPr>
            <w:tcW w:type="dxa" w:w="1134"/>
            <w:vAlign w:val="center"/>
          </w:tcPr>
          <w:p>
            <w:pPr>
              <w:spacing w:after="0"/>
            </w:pPr>
            <w:r>
              <w:rPr>
                <w:rFonts w:ascii="Arial" w:hAnsi="Arial"/>
                <w:b w:val="0"/>
                <w:sz w:val="15"/>
              </w:rPr>
              <w:t>PCI</w:t>
            </w:r>
          </w:p>
        </w:tc>
        <w:tc>
          <w:tcPr>
            <w:tcW w:type="dxa" w:w="680"/>
            <w:vAlign w:val="center"/>
          </w:tcPr>
          <w:p>
            <w:pPr>
              <w:spacing w:after="0"/>
            </w:pPr>
            <w:r>
              <w:rPr>
                <w:rFonts w:ascii="Arial" w:hAnsi="Arial"/>
                <w:b w:val="0"/>
                <w:sz w:val="15"/>
              </w:rPr>
              <w:t>473</w:t>
            </w:r>
          </w:p>
        </w:tc>
        <w:tc>
          <w:tcPr>
            <w:tcW w:type="dxa" w:w="1020"/>
            <w:vAlign w:val="center"/>
          </w:tcPr>
          <w:p>
            <w:pPr>
              <w:spacing w:after="0"/>
            </w:pPr>
            <w:r>
              <w:rPr>
                <w:rFonts w:ascii="Arial" w:hAnsi="Arial"/>
                <w:b w:val="0"/>
                <w:sz w:val="15"/>
              </w:rPr>
              <w:t>115.60</w:t>
            </w:r>
          </w:p>
        </w:tc>
        <w:tc>
          <w:tcPr>
            <w:tcW w:type="dxa" w:w="1134"/>
            <w:vAlign w:val="center"/>
          </w:tcPr>
          <w:p>
            <w:pPr>
              <w:spacing w:after="0"/>
            </w:pPr>
            <w:r>
              <w:rPr>
                <w:rFonts w:ascii="Arial" w:hAnsi="Arial"/>
                <w:b w:val="0"/>
                <w:sz w:val="15"/>
              </w:rPr>
              <w:t>340.1</w:t>
            </w:r>
          </w:p>
        </w:tc>
        <w:tc>
          <w:tcPr>
            <w:tcW w:type="dxa" w:w="1587"/>
            <w:vAlign w:val="center"/>
          </w:tcPr>
          <w:p>
            <w:pPr>
              <w:spacing w:after="0"/>
            </w:pPr>
            <w:r>
              <w:rPr>
                <w:rFonts w:ascii="Arial" w:hAnsi="Arial"/>
                <w:b w:val="0"/>
                <w:sz w:val="15"/>
              </w:rPr>
              <w:t>0.052–0.843</w:t>
            </w:r>
          </w:p>
        </w:tc>
        <w:tc>
          <w:tcPr>
            <w:tcW w:type="dxa" w:w="1587"/>
            <w:vAlign w:val="center"/>
          </w:tcPr>
          <w:p>
            <w:pPr>
              <w:spacing w:after="0"/>
            </w:pPr>
            <w:r>
              <w:rPr>
                <w:rFonts w:ascii="Arial" w:hAnsi="Arial"/>
                <w:b w:val="0"/>
                <w:sz w:val="15"/>
              </w:rPr>
              <w:t>0.157–0.948</w:t>
            </w:r>
          </w:p>
        </w:tc>
      </w:tr>
      <w:tr>
        <w:trPr>
          <w:cantSplit/>
        </w:trPr>
        <w:tc>
          <w:tcPr>
            <w:tcW w:type="dxa" w:w="1360"/>
            <w:vAlign w:val="center"/>
          </w:tcPr>
          <w:p>
            <w:pPr>
              <w:spacing w:after="0"/>
            </w:pPr>
            <w:r>
              <w:rPr>
                <w:rFonts w:ascii="Arial" w:hAnsi="Arial"/>
                <w:b w:val="0"/>
                <w:sz w:val="15"/>
              </w:rPr>
              <w:t>Core</w:t>
            </w:r>
          </w:p>
        </w:tc>
        <w:tc>
          <w:tcPr>
            <w:tcW w:type="dxa" w:w="1134"/>
            <w:vAlign w:val="center"/>
          </w:tcPr>
          <w:p>
            <w:pPr>
              <w:spacing w:after="0"/>
            </w:pPr>
            <w:r>
              <w:rPr>
                <w:rFonts w:ascii="Arial" w:hAnsi="Arial"/>
                <w:b w:val="0"/>
                <w:sz w:val="15"/>
              </w:rPr>
              <w:t>Overall</w:t>
            </w:r>
          </w:p>
        </w:tc>
        <w:tc>
          <w:tcPr>
            <w:tcW w:type="dxa" w:w="680"/>
            <w:vAlign w:val="center"/>
          </w:tcPr>
          <w:p>
            <w:pPr>
              <w:spacing w:after="0"/>
            </w:pPr>
            <w:r>
              <w:rPr>
                <w:rFonts w:ascii="Arial" w:hAnsi="Arial"/>
                <w:b w:val="0"/>
                <w:sz w:val="15"/>
              </w:rPr>
              <w:t>682</w:t>
            </w:r>
          </w:p>
        </w:tc>
        <w:tc>
          <w:tcPr>
            <w:tcW w:type="dxa" w:w="1020"/>
            <w:vAlign w:val="center"/>
          </w:tcPr>
          <w:p>
            <w:pPr>
              <w:spacing w:after="0"/>
            </w:pPr>
            <w:r>
              <w:rPr>
                <w:rFonts w:ascii="Arial" w:hAnsi="Arial"/>
                <w:b w:val="0"/>
                <w:sz w:val="15"/>
              </w:rPr>
              <w:t>231.19</w:t>
            </w:r>
          </w:p>
        </w:tc>
        <w:tc>
          <w:tcPr>
            <w:tcW w:type="dxa" w:w="1134"/>
            <w:vAlign w:val="center"/>
          </w:tcPr>
          <w:p>
            <w:pPr>
              <w:spacing w:after="0"/>
            </w:pPr>
            <w:r>
              <w:rPr>
                <w:rFonts w:ascii="Arial" w:hAnsi="Arial"/>
                <w:b w:val="0"/>
                <w:sz w:val="15"/>
              </w:rPr>
              <w:t>462.8</w:t>
            </w:r>
          </w:p>
        </w:tc>
        <w:tc>
          <w:tcPr>
            <w:tcW w:type="dxa" w:w="1587"/>
            <w:vAlign w:val="center"/>
          </w:tcPr>
          <w:p>
            <w:pPr>
              <w:spacing w:after="0"/>
            </w:pPr>
            <w:r>
              <w:rPr>
                <w:rFonts w:ascii="Arial" w:hAnsi="Arial"/>
                <w:b w:val="0"/>
                <w:sz w:val="15"/>
              </w:rPr>
              <w:t>0.052–0.946</w:t>
            </w:r>
          </w:p>
        </w:tc>
        <w:tc>
          <w:tcPr>
            <w:tcW w:type="dxa" w:w="1587"/>
            <w:vAlign w:val="center"/>
          </w:tcPr>
          <w:p>
            <w:pPr>
              <w:spacing w:after="0"/>
            </w:pPr>
            <w:r>
              <w:rPr>
                <w:rFonts w:ascii="Arial" w:hAnsi="Arial"/>
                <w:b w:val="0"/>
                <w:sz w:val="15"/>
              </w:rPr>
              <w:t>0.067–0.948</w:t>
            </w:r>
          </w:p>
        </w:tc>
      </w:tr>
      <w:tr>
        <w:trPr>
          <w:cantSplit/>
        </w:trPr>
        <w:tc>
          <w:tcPr>
            <w:tcW w:type="dxa" w:w="1360"/>
            <w:vAlign w:val="center"/>
          </w:tcPr>
          <w:p>
            <w:pPr>
              <w:spacing w:after="0"/>
            </w:pPr>
            <w:r>
              <w:rPr>
                <w:rFonts w:ascii="Arial" w:hAnsi="Arial"/>
                <w:b w:val="0"/>
                <w:sz w:val="15"/>
              </w:rPr>
              <w:t>Expanded</w:t>
            </w:r>
          </w:p>
        </w:tc>
        <w:tc>
          <w:tcPr>
            <w:tcW w:type="dxa" w:w="1134"/>
            <w:vAlign w:val="center"/>
          </w:tcPr>
          <w:p>
            <w:pPr>
              <w:spacing w:after="0"/>
            </w:pPr>
            <w:r>
              <w:rPr>
                <w:rFonts w:ascii="Arial" w:hAnsi="Arial"/>
                <w:b w:val="0"/>
                <w:sz w:val="15"/>
              </w:rPr>
              <w:t>Reference</w:t>
            </w:r>
          </w:p>
        </w:tc>
        <w:tc>
          <w:tcPr>
            <w:tcW w:type="dxa" w:w="680"/>
            <w:vAlign w:val="center"/>
          </w:tcPr>
          <w:p>
            <w:pPr>
              <w:spacing w:after="0"/>
            </w:pPr>
            <w:r>
              <w:rPr>
                <w:rFonts w:ascii="Arial" w:hAnsi="Arial"/>
                <w:b w:val="0"/>
                <w:sz w:val="15"/>
              </w:rPr>
              <w:t>209</w:t>
            </w:r>
          </w:p>
        </w:tc>
        <w:tc>
          <w:tcPr>
            <w:tcW w:type="dxa" w:w="1020"/>
            <w:vAlign w:val="center"/>
          </w:tcPr>
          <w:p>
            <w:pPr>
              <w:spacing w:after="0"/>
            </w:pPr>
            <w:r>
              <w:rPr>
                <w:rFonts w:ascii="Arial" w:hAnsi="Arial"/>
                <w:b w:val="0"/>
                <w:sz w:val="15"/>
              </w:rPr>
              <w:t>115.42</w:t>
            </w:r>
          </w:p>
        </w:tc>
        <w:tc>
          <w:tcPr>
            <w:tcW w:type="dxa" w:w="1134"/>
            <w:vAlign w:val="center"/>
          </w:tcPr>
          <w:p>
            <w:pPr>
              <w:spacing w:after="0"/>
            </w:pPr>
            <w:r>
              <w:rPr>
                <w:rFonts w:ascii="Arial" w:hAnsi="Arial"/>
                <w:b w:val="0"/>
                <w:sz w:val="15"/>
              </w:rPr>
              <w:t>175.8</w:t>
            </w:r>
          </w:p>
        </w:tc>
        <w:tc>
          <w:tcPr>
            <w:tcW w:type="dxa" w:w="1587"/>
            <w:vAlign w:val="center"/>
          </w:tcPr>
          <w:p>
            <w:pPr>
              <w:spacing w:after="0"/>
            </w:pPr>
            <w:r>
              <w:rPr>
                <w:rFonts w:ascii="Arial" w:hAnsi="Arial"/>
                <w:b w:val="0"/>
                <w:sz w:val="15"/>
              </w:rPr>
              <w:t>0.047–0.939</w:t>
            </w:r>
          </w:p>
        </w:tc>
        <w:tc>
          <w:tcPr>
            <w:tcW w:type="dxa" w:w="1587"/>
            <w:vAlign w:val="center"/>
          </w:tcPr>
          <w:p>
            <w:pPr>
              <w:spacing w:after="0"/>
            </w:pPr>
            <w:r>
              <w:rPr>
                <w:rFonts w:ascii="Arial" w:hAnsi="Arial"/>
                <w:b w:val="0"/>
                <w:sz w:val="15"/>
              </w:rPr>
              <w:t>0.047–0.939</w:t>
            </w:r>
          </w:p>
        </w:tc>
      </w:tr>
      <w:tr>
        <w:trPr>
          <w:cantSplit/>
        </w:trPr>
        <w:tc>
          <w:tcPr>
            <w:tcW w:type="dxa" w:w="1360"/>
            <w:vAlign w:val="center"/>
          </w:tcPr>
          <w:p>
            <w:pPr>
              <w:spacing w:after="0"/>
            </w:pPr>
            <w:r>
              <w:rPr>
                <w:rFonts w:ascii="Arial" w:hAnsi="Arial"/>
                <w:b w:val="0"/>
                <w:sz w:val="15"/>
              </w:rPr>
              <w:t>Expanded</w:t>
            </w:r>
          </w:p>
        </w:tc>
        <w:tc>
          <w:tcPr>
            <w:tcW w:type="dxa" w:w="1134"/>
            <w:vAlign w:val="center"/>
          </w:tcPr>
          <w:p>
            <w:pPr>
              <w:spacing w:after="0"/>
            </w:pPr>
            <w:r>
              <w:rPr>
                <w:rFonts w:ascii="Arial" w:hAnsi="Arial"/>
                <w:b w:val="0"/>
                <w:sz w:val="15"/>
              </w:rPr>
              <w:t>PCI</w:t>
            </w:r>
          </w:p>
        </w:tc>
        <w:tc>
          <w:tcPr>
            <w:tcW w:type="dxa" w:w="680"/>
            <w:vAlign w:val="center"/>
          </w:tcPr>
          <w:p>
            <w:pPr>
              <w:spacing w:after="0"/>
            </w:pPr>
            <w:r>
              <w:rPr>
                <w:rFonts w:ascii="Arial" w:hAnsi="Arial"/>
                <w:b w:val="0"/>
                <w:sz w:val="15"/>
              </w:rPr>
              <w:t>473</w:t>
            </w:r>
          </w:p>
        </w:tc>
        <w:tc>
          <w:tcPr>
            <w:tcW w:type="dxa" w:w="1020"/>
            <w:vAlign w:val="center"/>
          </w:tcPr>
          <w:p>
            <w:pPr>
              <w:spacing w:after="0"/>
            </w:pPr>
            <w:r>
              <w:rPr>
                <w:rFonts w:ascii="Arial" w:hAnsi="Arial"/>
                <w:b w:val="0"/>
                <w:sz w:val="15"/>
              </w:rPr>
              <w:t>115.42</w:t>
            </w:r>
          </w:p>
        </w:tc>
        <w:tc>
          <w:tcPr>
            <w:tcW w:type="dxa" w:w="1134"/>
            <w:vAlign w:val="center"/>
          </w:tcPr>
          <w:p>
            <w:pPr>
              <w:spacing w:after="0"/>
            </w:pPr>
            <w:r>
              <w:rPr>
                <w:rFonts w:ascii="Arial" w:hAnsi="Arial"/>
                <w:b w:val="0"/>
                <w:sz w:val="15"/>
              </w:rPr>
              <w:t>335.3</w:t>
            </w:r>
          </w:p>
        </w:tc>
        <w:tc>
          <w:tcPr>
            <w:tcW w:type="dxa" w:w="1587"/>
            <w:vAlign w:val="center"/>
          </w:tcPr>
          <w:p>
            <w:pPr>
              <w:spacing w:after="0"/>
            </w:pPr>
            <w:r>
              <w:rPr>
                <w:rFonts w:ascii="Arial" w:hAnsi="Arial"/>
                <w:b w:val="0"/>
                <w:sz w:val="15"/>
              </w:rPr>
              <w:t>0.033–0.833</w:t>
            </w:r>
          </w:p>
        </w:tc>
        <w:tc>
          <w:tcPr>
            <w:tcW w:type="dxa" w:w="1587"/>
            <w:vAlign w:val="center"/>
          </w:tcPr>
          <w:p>
            <w:pPr>
              <w:spacing w:after="0"/>
            </w:pPr>
            <w:r>
              <w:rPr>
                <w:rFonts w:ascii="Arial" w:hAnsi="Arial"/>
                <w:b w:val="0"/>
                <w:sz w:val="15"/>
              </w:rPr>
              <w:t>0.167–0.967</w:t>
            </w:r>
          </w:p>
        </w:tc>
      </w:tr>
      <w:tr>
        <w:trPr>
          <w:cantSplit/>
        </w:trPr>
        <w:tc>
          <w:tcPr>
            <w:tcW w:type="dxa" w:w="1360"/>
            <w:vAlign w:val="center"/>
          </w:tcPr>
          <w:p>
            <w:pPr>
              <w:spacing w:after="0"/>
            </w:pPr>
            <w:r>
              <w:rPr>
                <w:rFonts w:ascii="Arial" w:hAnsi="Arial"/>
                <w:b w:val="0"/>
                <w:sz w:val="15"/>
              </w:rPr>
              <w:t>Expanded</w:t>
            </w:r>
          </w:p>
        </w:tc>
        <w:tc>
          <w:tcPr>
            <w:tcW w:type="dxa" w:w="1134"/>
            <w:vAlign w:val="center"/>
          </w:tcPr>
          <w:p>
            <w:pPr>
              <w:spacing w:after="0"/>
            </w:pPr>
            <w:r>
              <w:rPr>
                <w:rFonts w:ascii="Arial" w:hAnsi="Arial"/>
                <w:b w:val="0"/>
                <w:sz w:val="15"/>
              </w:rPr>
              <w:t>Overall</w:t>
            </w:r>
          </w:p>
        </w:tc>
        <w:tc>
          <w:tcPr>
            <w:tcW w:type="dxa" w:w="680"/>
            <w:vAlign w:val="center"/>
          </w:tcPr>
          <w:p>
            <w:pPr>
              <w:spacing w:after="0"/>
            </w:pPr>
            <w:r>
              <w:rPr>
                <w:rFonts w:ascii="Arial" w:hAnsi="Arial"/>
                <w:b w:val="0"/>
                <w:sz w:val="15"/>
              </w:rPr>
              <w:t>682</w:t>
            </w:r>
          </w:p>
        </w:tc>
        <w:tc>
          <w:tcPr>
            <w:tcW w:type="dxa" w:w="1020"/>
            <w:vAlign w:val="center"/>
          </w:tcPr>
          <w:p>
            <w:pPr>
              <w:spacing w:after="0"/>
            </w:pPr>
            <w:r>
              <w:rPr>
                <w:rFonts w:ascii="Arial" w:hAnsi="Arial"/>
                <w:b w:val="0"/>
                <w:sz w:val="15"/>
              </w:rPr>
              <w:t>230.84</w:t>
            </w:r>
          </w:p>
        </w:tc>
        <w:tc>
          <w:tcPr>
            <w:tcW w:type="dxa" w:w="1134"/>
            <w:vAlign w:val="center"/>
          </w:tcPr>
          <w:p>
            <w:pPr>
              <w:spacing w:after="0"/>
            </w:pPr>
            <w:r>
              <w:rPr>
                <w:rFonts w:ascii="Arial" w:hAnsi="Arial"/>
                <w:b w:val="0"/>
                <w:sz w:val="15"/>
              </w:rPr>
              <w:t>461.3</w:t>
            </w:r>
          </w:p>
        </w:tc>
        <w:tc>
          <w:tcPr>
            <w:tcW w:type="dxa" w:w="1587"/>
            <w:vAlign w:val="center"/>
          </w:tcPr>
          <w:p>
            <w:pPr>
              <w:spacing w:after="0"/>
            </w:pPr>
            <w:r>
              <w:rPr>
                <w:rFonts w:ascii="Arial" w:hAnsi="Arial"/>
                <w:b w:val="0"/>
                <w:sz w:val="15"/>
              </w:rPr>
              <w:t>0.033–0.939</w:t>
            </w:r>
          </w:p>
        </w:tc>
        <w:tc>
          <w:tcPr>
            <w:tcW w:type="dxa" w:w="1587"/>
            <w:vAlign w:val="center"/>
          </w:tcPr>
          <w:p>
            <w:pPr>
              <w:spacing w:after="0"/>
            </w:pPr>
            <w:r>
              <w:rPr>
                <w:rFonts w:ascii="Arial" w:hAnsi="Arial"/>
                <w:b w:val="0"/>
                <w:sz w:val="15"/>
              </w:rPr>
              <w:t>0.047–0.967</w:t>
            </w:r>
          </w:p>
        </w:tc>
      </w:tr>
    </w:tbl>
    <w:p>
      <w:pPr>
        <w:spacing w:before="0" w:after="0" w:line="240" w:lineRule="auto"/>
        <w:jc w:val="left"/>
        <w:outlineLvl w:val="9"/>
      </w:pPr>
      <w:r>
        <w:rPr>
          <w:rFonts w:ascii="Times New Roman" w:hAnsi="Times New Roman" w:eastAsia="Times New Roman" w:cs="Times New Roman"/>
          <w:b/>
          <w:i w:val="0"/>
          <w:color w:val="000000"/>
          <w:sz w:val="18"/>
          <w:u w:val="none"/>
        </w:rPr>
        <w:t>The core model was used for the primary analysis. The expanded model additionally included hemoglobin, eGFRMDRD, and fasting blood glucose in the propensity score.</w:t>
      </w:r>
    </w:p>
    <w:p>
      <w:pPr>
        <w:spacing w:before="120" w:after="80"/>
        <w:jc w:val="center"/>
        <w:outlineLvl w:val="9"/>
        <w:keepNext/>
      </w:pPr>
      <w:r>
        <w:rPr>
          <w:rFonts w:ascii="Arial" w:hAnsi="Arial"/>
          <w:color w:val="000000"/>
          <w:u w:val="none"/>
        </w:rPr>
        <w:drawing>
          <wp:inline xmlns:a="http://schemas.openxmlformats.org/drawingml/2006/main" xmlns:pic="http://schemas.openxmlformats.org/drawingml/2006/picture">
            <wp:extent cx="5303520" cy="4092716"/>
            <wp:docPr id="4" name="Picture 4"/>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303520" cy="4092716"/>
                    </a:xfrm>
                    <a:prstGeom prst="rect"/>
                  </pic:spPr>
                </pic:pic>
              </a:graphicData>
            </a:graphic>
          </wp:inline>
        </w:drawing>
      </w:r>
    </w:p>
    <w:p>
      <w:pPr>
        <w:keepNext/>
        <w:spacing w:before="160" w:after="60" w:line="480" w:lineRule="auto"/>
        <w:jc w:val="left"/>
        <w:outlineLvl w:val="9"/>
      </w:pPr>
      <w:r>
        <w:rPr>
          <w:rFonts w:ascii="Times New Roman" w:hAnsi="Times New Roman" w:eastAsia="Times New Roman" w:cs="Times New Roman"/>
          <w:b/>
          <w:i w:val="0"/>
          <w:sz w:val="24"/>
        </w:rPr>
        <w:t>Supplementary Figure S1 Balance of selected covariates before and after overlap weighting</w:t>
      </w:r>
    </w:p>
    <w:p>
      <w:pPr>
        <w:keepLines/>
        <w:spacing w:before="0" w:after="0" w:line="480" w:lineRule="auto"/>
        <w:jc w:val="left"/>
      </w:pPr>
      <w:r>
        <w:rPr>
          <w:rFonts w:ascii="Times New Roman" w:hAnsi="Times New Roman" w:eastAsia="Times New Roman" w:cs="Times New Roman"/>
          <w:b w:val="0"/>
          <w:i w:val="0"/>
          <w:sz w:val="24"/>
        </w:rPr>
        <w:t>Circles and squares indicate absolute SMDs before and after weighting, respectively; the dashed line indicates 0.10. Asterisks identify variables included in the core propensity score model.</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S2A Associations of body-composition measures with CRF</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1417"/>
            <w:vAlign w:val="center"/>
            <w:shd w:fill="E7E6E6"/>
          </w:tcPr>
          <w:p>
            <w:pPr>
              <w:spacing w:after="0"/>
              <w:jc w:val="center"/>
            </w:pPr>
            <w:r>
              <w:rPr>
                <w:rFonts w:ascii="Arial" w:hAnsi="Arial"/>
                <w:b/>
                <w:sz w:val="16"/>
              </w:rPr>
              <w:t>Body-composition measure</w:t>
            </w:r>
          </w:p>
        </w:tc>
        <w:tc>
          <w:tcPr>
            <w:tcW w:type="dxa" w:w="1814"/>
            <w:vAlign w:val="center"/>
            <w:shd w:fill="E7E6E6"/>
          </w:tcPr>
          <w:p>
            <w:pPr>
              <w:spacing w:after="0"/>
              <w:jc w:val="center"/>
            </w:pPr>
            <w:r>
              <w:rPr>
                <w:rFonts w:ascii="Arial" w:hAnsi="Arial"/>
                <w:b/>
                <w:sz w:val="16"/>
              </w:rPr>
              <w:t>Coefficient per 1-SD increase</w:t>
            </w:r>
          </w:p>
        </w:tc>
        <w:tc>
          <w:tcPr>
            <w:tcW w:type="dxa" w:w="2041"/>
            <w:vAlign w:val="center"/>
            <w:shd w:fill="E7E6E6"/>
          </w:tcPr>
          <w:p>
            <w:pPr>
              <w:spacing w:after="0"/>
              <w:jc w:val="center"/>
            </w:pPr>
            <w:r>
              <w:rPr>
                <w:rFonts w:ascii="Arial" w:hAnsi="Arial"/>
                <w:b/>
                <w:sz w:val="16"/>
              </w:rPr>
              <w:t>95% CI</w:t>
            </w:r>
          </w:p>
        </w:tc>
        <w:tc>
          <w:tcPr>
            <w:tcW w:type="dxa" w:w="850"/>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Absolute VO₂peak</w:t>
            </w:r>
          </w:p>
        </w:tc>
        <w:tc>
          <w:tcPr>
            <w:tcW w:type="dxa" w:w="1417"/>
            <w:vAlign w:val="center"/>
          </w:tcPr>
          <w:p>
            <w:pPr>
              <w:spacing w:after="0"/>
            </w:pPr>
            <w:r>
              <w:rPr>
                <w:rFonts w:ascii="Arial" w:hAnsi="Arial"/>
                <w:b w:val="0"/>
                <w:sz w:val="16"/>
              </w:rPr>
              <w:t>SMM</w:t>
            </w:r>
          </w:p>
        </w:tc>
        <w:tc>
          <w:tcPr>
            <w:tcW w:type="dxa" w:w="1814"/>
            <w:vAlign w:val="center"/>
          </w:tcPr>
          <w:p>
            <w:pPr>
              <w:spacing w:after="0"/>
            </w:pPr>
            <w:r>
              <w:rPr>
                <w:rFonts w:ascii="Arial" w:hAnsi="Arial"/>
                <w:b w:val="0"/>
                <w:sz w:val="16"/>
              </w:rPr>
              <w:t>171.35</w:t>
            </w:r>
          </w:p>
        </w:tc>
        <w:tc>
          <w:tcPr>
            <w:tcW w:type="dxa" w:w="2041"/>
            <w:vAlign w:val="center"/>
          </w:tcPr>
          <w:p>
            <w:pPr>
              <w:spacing w:after="0"/>
            </w:pPr>
            <w:r>
              <w:rPr>
                <w:rFonts w:ascii="Arial" w:hAnsi="Arial"/>
                <w:b w:val="0"/>
                <w:sz w:val="16"/>
              </w:rPr>
              <w:t>125.33 to 217.37</w:t>
            </w:r>
          </w:p>
        </w:tc>
        <w:tc>
          <w:tcPr>
            <w:tcW w:type="dxa" w:w="850"/>
            <w:vAlign w:val="center"/>
          </w:tcPr>
          <w:p>
            <w:pPr>
              <w:spacing w:after="0"/>
            </w:pPr>
            <w:r>
              <w:rPr>
                <w:rFonts w:ascii="Arial" w:hAnsi="Arial"/>
                <w:b w:val="0"/>
                <w:sz w:val="16"/>
              </w:rPr>
              <w:t>&lt;0.001</w:t>
            </w:r>
          </w:p>
        </w:tc>
      </w:tr>
      <w:tr>
        <w:trPr>
          <w:cantSplit/>
        </w:trPr>
        <w:tc>
          <w:tcPr>
            <w:tcW w:type="dxa" w:w="1927"/>
            <w:vAlign w:val="center"/>
          </w:tcPr>
          <w:p>
            <w:pPr>
              <w:spacing w:after="0"/>
            </w:pPr>
            <w:r>
              <w:rPr>
                <w:rFonts w:ascii="Arial" w:hAnsi="Arial"/>
                <w:b w:val="0"/>
                <w:sz w:val="16"/>
              </w:rPr>
              <w:t>Absolute VO₂peak</w:t>
            </w:r>
          </w:p>
        </w:tc>
        <w:tc>
          <w:tcPr>
            <w:tcW w:type="dxa" w:w="1417"/>
            <w:vAlign w:val="center"/>
          </w:tcPr>
          <w:p>
            <w:pPr>
              <w:spacing w:after="0"/>
            </w:pPr>
            <w:r>
              <w:rPr>
                <w:rFonts w:ascii="Arial" w:hAnsi="Arial"/>
                <w:b w:val="0"/>
                <w:sz w:val="16"/>
              </w:rPr>
              <w:t>BFM</w:t>
            </w:r>
          </w:p>
        </w:tc>
        <w:tc>
          <w:tcPr>
            <w:tcW w:type="dxa" w:w="1814"/>
            <w:vAlign w:val="center"/>
          </w:tcPr>
          <w:p>
            <w:pPr>
              <w:spacing w:after="0"/>
            </w:pPr>
            <w:r>
              <w:rPr>
                <w:rFonts w:ascii="Arial" w:hAnsi="Arial"/>
                <w:b w:val="0"/>
                <w:sz w:val="16"/>
              </w:rPr>
              <w:t>42.02</w:t>
            </w:r>
          </w:p>
        </w:tc>
        <w:tc>
          <w:tcPr>
            <w:tcW w:type="dxa" w:w="2041"/>
            <w:vAlign w:val="center"/>
          </w:tcPr>
          <w:p>
            <w:pPr>
              <w:spacing w:after="0"/>
            </w:pPr>
            <w:r>
              <w:rPr>
                <w:rFonts w:ascii="Arial" w:hAnsi="Arial"/>
                <w:b w:val="0"/>
                <w:sz w:val="16"/>
              </w:rPr>
              <w:t>7.36 to 76.68</w:t>
            </w:r>
          </w:p>
        </w:tc>
        <w:tc>
          <w:tcPr>
            <w:tcW w:type="dxa" w:w="850"/>
            <w:vAlign w:val="center"/>
          </w:tcPr>
          <w:p>
            <w:pPr>
              <w:spacing w:after="0"/>
            </w:pPr>
            <w:r>
              <w:rPr>
                <w:rFonts w:ascii="Arial" w:hAnsi="Arial"/>
                <w:b w:val="0"/>
                <w:sz w:val="16"/>
              </w:rPr>
              <w:t>0.017</w:t>
            </w:r>
          </w:p>
        </w:tc>
      </w:tr>
      <w:tr>
        <w:trPr>
          <w:cantSplit/>
        </w:trPr>
        <w:tc>
          <w:tcPr>
            <w:tcW w:type="dxa" w:w="1927"/>
            <w:vAlign w:val="center"/>
          </w:tcPr>
          <w:p>
            <w:pPr>
              <w:spacing w:after="0"/>
            </w:pPr>
            <w:r>
              <w:rPr>
                <w:rFonts w:ascii="Arial" w:hAnsi="Arial"/>
                <w:b w:val="0"/>
                <w:sz w:val="16"/>
              </w:rPr>
              <w:t>VO₂peak/kg</w:t>
            </w:r>
          </w:p>
        </w:tc>
        <w:tc>
          <w:tcPr>
            <w:tcW w:type="dxa" w:w="1417"/>
            <w:vAlign w:val="center"/>
          </w:tcPr>
          <w:p>
            <w:pPr>
              <w:spacing w:after="0"/>
            </w:pPr>
            <w:r>
              <w:rPr>
                <w:rFonts w:ascii="Arial" w:hAnsi="Arial"/>
                <w:b w:val="0"/>
                <w:sz w:val="16"/>
              </w:rPr>
              <w:t>SMMI</w:t>
            </w:r>
          </w:p>
        </w:tc>
        <w:tc>
          <w:tcPr>
            <w:tcW w:type="dxa" w:w="1814"/>
            <w:vAlign w:val="center"/>
          </w:tcPr>
          <w:p>
            <w:pPr>
              <w:spacing w:after="0"/>
            </w:pPr>
            <w:r>
              <w:rPr>
                <w:rFonts w:ascii="Arial" w:hAnsi="Arial"/>
                <w:b w:val="0"/>
                <w:sz w:val="16"/>
              </w:rPr>
              <w:t>0.49</w:t>
            </w:r>
          </w:p>
        </w:tc>
        <w:tc>
          <w:tcPr>
            <w:tcW w:type="dxa" w:w="2041"/>
            <w:vAlign w:val="center"/>
          </w:tcPr>
          <w:p>
            <w:pPr>
              <w:spacing w:after="0"/>
            </w:pPr>
            <w:r>
              <w:rPr>
                <w:rFonts w:ascii="Arial" w:hAnsi="Arial"/>
                <w:b w:val="0"/>
                <w:sz w:val="16"/>
              </w:rPr>
              <w:t>−0.07 to 1.04</w:t>
            </w:r>
          </w:p>
        </w:tc>
        <w:tc>
          <w:tcPr>
            <w:tcW w:type="dxa" w:w="850"/>
            <w:vAlign w:val="center"/>
          </w:tcPr>
          <w:p>
            <w:pPr>
              <w:spacing w:after="0"/>
            </w:pPr>
            <w:r>
              <w:rPr>
                <w:rFonts w:ascii="Arial" w:hAnsi="Arial"/>
                <w:b w:val="0"/>
                <w:sz w:val="16"/>
              </w:rPr>
              <w:t>0.086</w:t>
            </w:r>
          </w:p>
        </w:tc>
      </w:tr>
      <w:tr>
        <w:trPr>
          <w:cantSplit/>
        </w:trPr>
        <w:tc>
          <w:tcPr>
            <w:tcW w:type="dxa" w:w="1927"/>
            <w:vAlign w:val="center"/>
          </w:tcPr>
          <w:p>
            <w:pPr>
              <w:spacing w:after="0"/>
            </w:pPr>
            <w:r>
              <w:rPr>
                <w:rFonts w:ascii="Arial" w:hAnsi="Arial"/>
                <w:b w:val="0"/>
                <w:sz w:val="16"/>
              </w:rPr>
              <w:t>VO₂peak/kg</w:t>
            </w:r>
          </w:p>
        </w:tc>
        <w:tc>
          <w:tcPr>
            <w:tcW w:type="dxa" w:w="1417"/>
            <w:vAlign w:val="center"/>
          </w:tcPr>
          <w:p>
            <w:pPr>
              <w:spacing w:after="0"/>
            </w:pPr>
            <w:r>
              <w:rPr>
                <w:rFonts w:ascii="Arial" w:hAnsi="Arial"/>
                <w:b w:val="0"/>
                <w:sz w:val="16"/>
              </w:rPr>
              <w:t>FMI</w:t>
            </w:r>
          </w:p>
        </w:tc>
        <w:tc>
          <w:tcPr>
            <w:tcW w:type="dxa" w:w="1814"/>
            <w:vAlign w:val="center"/>
          </w:tcPr>
          <w:p>
            <w:pPr>
              <w:spacing w:after="0"/>
            </w:pPr>
            <w:r>
              <w:rPr>
                <w:rFonts w:ascii="Arial" w:hAnsi="Arial"/>
                <w:b w:val="0"/>
                <w:sz w:val="16"/>
              </w:rPr>
              <w:t>−1.11</w:t>
            </w:r>
          </w:p>
        </w:tc>
        <w:tc>
          <w:tcPr>
            <w:tcW w:type="dxa" w:w="2041"/>
            <w:vAlign w:val="center"/>
          </w:tcPr>
          <w:p>
            <w:pPr>
              <w:spacing w:after="0"/>
            </w:pPr>
            <w:r>
              <w:rPr>
                <w:rFonts w:ascii="Arial" w:hAnsi="Arial"/>
                <w:b w:val="0"/>
                <w:sz w:val="16"/>
              </w:rPr>
              <w:t>−1.57 to −0.65</w:t>
            </w:r>
          </w:p>
        </w:tc>
        <w:tc>
          <w:tcPr>
            <w:tcW w:type="dxa" w:w="850"/>
            <w:vAlign w:val="center"/>
          </w:tcPr>
          <w:p>
            <w:pPr>
              <w:spacing w:after="0"/>
            </w:pPr>
            <w:r>
              <w:rPr>
                <w:rFonts w:ascii="Arial" w:hAnsi="Arial"/>
                <w:b w:val="0"/>
                <w:sz w:val="16"/>
              </w:rPr>
              <w:t>&lt;0.001</w:t>
            </w:r>
          </w:p>
        </w:tc>
      </w:tr>
      <w:tr>
        <w:trPr>
          <w:cantSplit/>
        </w:trPr>
        <w:tc>
          <w:tcPr>
            <w:tcW w:type="dxa" w:w="1927"/>
            <w:vAlign w:val="center"/>
          </w:tcPr>
          <w:p>
            <w:pPr>
              <w:spacing w:after="0"/>
            </w:pPr>
            <w:r>
              <w:rPr>
                <w:rFonts w:ascii="Arial" w:hAnsi="Arial"/>
                <w:b w:val="0"/>
                <w:sz w:val="16"/>
              </w:rPr>
              <w:t>pVO₂</w:t>
            </w:r>
          </w:p>
        </w:tc>
        <w:tc>
          <w:tcPr>
            <w:tcW w:type="dxa" w:w="1417"/>
            <w:vAlign w:val="center"/>
          </w:tcPr>
          <w:p>
            <w:pPr>
              <w:spacing w:after="0"/>
            </w:pPr>
            <w:r>
              <w:rPr>
                <w:rFonts w:ascii="Arial" w:hAnsi="Arial"/>
                <w:b w:val="0"/>
                <w:sz w:val="16"/>
              </w:rPr>
              <w:t>SMMI</w:t>
            </w:r>
          </w:p>
        </w:tc>
        <w:tc>
          <w:tcPr>
            <w:tcW w:type="dxa" w:w="1814"/>
            <w:vAlign w:val="center"/>
          </w:tcPr>
          <w:p>
            <w:pPr>
              <w:spacing w:after="0"/>
            </w:pPr>
            <w:r>
              <w:rPr>
                <w:rFonts w:ascii="Arial" w:hAnsi="Arial"/>
                <w:b w:val="0"/>
                <w:sz w:val="16"/>
              </w:rPr>
              <w:t>2.53</w:t>
            </w:r>
          </w:p>
        </w:tc>
        <w:tc>
          <w:tcPr>
            <w:tcW w:type="dxa" w:w="2041"/>
            <w:vAlign w:val="center"/>
          </w:tcPr>
          <w:p>
            <w:pPr>
              <w:spacing w:after="0"/>
            </w:pPr>
            <w:r>
              <w:rPr>
                <w:rFonts w:ascii="Arial" w:hAnsi="Arial"/>
                <w:b w:val="0"/>
                <w:sz w:val="16"/>
              </w:rPr>
              <w:t>0.66 to 4.39</w:t>
            </w:r>
          </w:p>
        </w:tc>
        <w:tc>
          <w:tcPr>
            <w:tcW w:type="dxa" w:w="850"/>
            <w:vAlign w:val="center"/>
          </w:tcPr>
          <w:p>
            <w:pPr>
              <w:spacing w:after="0"/>
            </w:pPr>
            <w:r>
              <w:rPr>
                <w:rFonts w:ascii="Arial" w:hAnsi="Arial"/>
                <w:b w:val="0"/>
                <w:sz w:val="16"/>
              </w:rPr>
              <w:t>0.008</w:t>
            </w:r>
          </w:p>
        </w:tc>
      </w:tr>
      <w:tr>
        <w:trPr>
          <w:cantSplit/>
        </w:trPr>
        <w:tc>
          <w:tcPr>
            <w:tcW w:type="dxa" w:w="1927"/>
            <w:vAlign w:val="center"/>
          </w:tcPr>
          <w:p>
            <w:pPr>
              <w:spacing w:after="0"/>
            </w:pPr>
            <w:r>
              <w:rPr>
                <w:rFonts w:ascii="Arial" w:hAnsi="Arial"/>
                <w:b w:val="0"/>
                <w:sz w:val="16"/>
              </w:rPr>
              <w:t>pVO₂</w:t>
            </w:r>
          </w:p>
        </w:tc>
        <w:tc>
          <w:tcPr>
            <w:tcW w:type="dxa" w:w="1417"/>
            <w:vAlign w:val="center"/>
          </w:tcPr>
          <w:p>
            <w:pPr>
              <w:spacing w:after="0"/>
            </w:pPr>
            <w:r>
              <w:rPr>
                <w:rFonts w:ascii="Arial" w:hAnsi="Arial"/>
                <w:b w:val="0"/>
                <w:sz w:val="16"/>
              </w:rPr>
              <w:t>FMI</w:t>
            </w:r>
          </w:p>
        </w:tc>
        <w:tc>
          <w:tcPr>
            <w:tcW w:type="dxa" w:w="1814"/>
            <w:vAlign w:val="center"/>
          </w:tcPr>
          <w:p>
            <w:pPr>
              <w:spacing w:after="0"/>
            </w:pPr>
            <w:r>
              <w:rPr>
                <w:rFonts w:ascii="Arial" w:hAnsi="Arial"/>
                <w:b w:val="0"/>
                <w:sz w:val="16"/>
              </w:rPr>
              <w:t>−0.76</w:t>
            </w:r>
          </w:p>
        </w:tc>
        <w:tc>
          <w:tcPr>
            <w:tcW w:type="dxa" w:w="2041"/>
            <w:vAlign w:val="center"/>
          </w:tcPr>
          <w:p>
            <w:pPr>
              <w:spacing w:after="0"/>
            </w:pPr>
            <w:r>
              <w:rPr>
                <w:rFonts w:ascii="Arial" w:hAnsi="Arial"/>
                <w:b w:val="0"/>
                <w:sz w:val="16"/>
              </w:rPr>
              <w:t>−2.45 to 0.93</w:t>
            </w:r>
          </w:p>
        </w:tc>
        <w:tc>
          <w:tcPr>
            <w:tcW w:type="dxa" w:w="850"/>
            <w:vAlign w:val="center"/>
          </w:tcPr>
          <w:p>
            <w:pPr>
              <w:spacing w:after="0"/>
            </w:pPr>
            <w:r>
              <w:rPr>
                <w:rFonts w:ascii="Arial" w:hAnsi="Arial"/>
                <w:b w:val="0"/>
                <w:sz w:val="16"/>
              </w:rPr>
              <w:t>0.379</w:t>
            </w:r>
          </w:p>
        </w:tc>
      </w:tr>
    </w:tbl>
    <w:p>
      <w:pPr>
        <w:spacing w:before="0" w:after="0" w:line="240" w:lineRule="auto"/>
        <w:jc w:val="left"/>
        <w:outlineLvl w:val="9"/>
      </w:pPr>
      <w:r>
        <w:rPr>
          <w:rFonts w:ascii="Times New Roman" w:hAnsi="Times New Roman" w:eastAsia="Times New Roman" w:cs="Times New Roman"/>
          <w:b/>
          <w:i w:val="0"/>
          <w:color w:val="000000"/>
          <w:sz w:val="18"/>
          <w:u w:val="none"/>
        </w:rPr>
        <w:t>Coefficients are from the primary extended overlap-weighted models and are expressed on the original scale of each outcome.</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S2B Joint body-composition interaction tests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2948"/>
            <w:vAlign w:val="center"/>
            <w:shd w:fill="E7E6E6"/>
          </w:tcPr>
          <w:p>
            <w:pPr>
              <w:spacing w:after="0"/>
              <w:jc w:val="center"/>
            </w:pPr>
            <w:r>
              <w:rPr>
                <w:rFonts w:ascii="Arial" w:hAnsi="Arial"/>
                <w:b/>
                <w:sz w:val="16"/>
              </w:rPr>
              <w:t>Joint interaction terms</w:t>
            </w:r>
          </w:p>
        </w:tc>
        <w:tc>
          <w:tcPr>
            <w:tcW w:type="dxa" w:w="1190"/>
            <w:vAlign w:val="center"/>
            <w:shd w:fill="E7E6E6"/>
          </w:tcPr>
          <w:p>
            <w:pPr>
              <w:spacing w:after="0"/>
              <w:jc w:val="center"/>
            </w:pPr>
            <w:r>
              <w:rPr>
                <w:rFonts w:ascii="Arial" w:hAnsi="Arial"/>
                <w:b/>
                <w:sz w:val="16"/>
              </w:rPr>
              <w:t>Wald χ²</w:t>
            </w:r>
          </w:p>
        </w:tc>
        <w:tc>
          <w:tcPr>
            <w:tcW w:type="dxa" w:w="963"/>
            <w:vAlign w:val="center"/>
            <w:shd w:fill="E7E6E6"/>
          </w:tcPr>
          <w:p>
            <w:pPr>
              <w:spacing w:after="0"/>
              <w:jc w:val="center"/>
            </w:pPr>
            <w:r>
              <w:rPr>
                <w:rFonts w:ascii="Arial" w:hAnsi="Arial"/>
                <w:b/>
                <w:sz w:val="16"/>
              </w:rPr>
              <w:t>df</w:t>
            </w:r>
          </w:p>
        </w:tc>
        <w:tc>
          <w:tcPr>
            <w:tcW w:type="dxa" w:w="963"/>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Absolute VO₂peak</w:t>
            </w:r>
          </w:p>
        </w:tc>
        <w:tc>
          <w:tcPr>
            <w:tcW w:type="dxa" w:w="2948"/>
            <w:vAlign w:val="center"/>
          </w:tcPr>
          <w:p>
            <w:pPr>
              <w:spacing w:after="0"/>
            </w:pPr>
            <w:r>
              <w:rPr>
                <w:rFonts w:ascii="Arial" w:hAnsi="Arial"/>
                <w:b w:val="0"/>
                <w:sz w:val="16"/>
              </w:rPr>
              <w:t>PCI×SMM, PCI×BFM</w:t>
            </w:r>
          </w:p>
        </w:tc>
        <w:tc>
          <w:tcPr>
            <w:tcW w:type="dxa" w:w="1190"/>
            <w:vAlign w:val="center"/>
          </w:tcPr>
          <w:p>
            <w:pPr>
              <w:spacing w:after="0"/>
            </w:pPr>
            <w:r>
              <w:rPr>
                <w:rFonts w:ascii="Arial" w:hAnsi="Arial"/>
                <w:b w:val="0"/>
                <w:sz w:val="16"/>
              </w:rPr>
              <w:t>3.99</w:t>
            </w:r>
          </w:p>
        </w:tc>
        <w:tc>
          <w:tcPr>
            <w:tcW w:type="dxa" w:w="963"/>
            <w:vAlign w:val="center"/>
          </w:tcPr>
          <w:p>
            <w:pPr>
              <w:spacing w:after="0"/>
            </w:pPr>
            <w:r>
              <w:rPr>
                <w:rFonts w:ascii="Arial" w:hAnsi="Arial"/>
                <w:b w:val="0"/>
                <w:sz w:val="16"/>
              </w:rPr>
              <w:t>2</w:t>
            </w:r>
          </w:p>
        </w:tc>
        <w:tc>
          <w:tcPr>
            <w:tcW w:type="dxa" w:w="963"/>
            <w:vAlign w:val="center"/>
          </w:tcPr>
          <w:p>
            <w:pPr>
              <w:spacing w:after="0"/>
            </w:pPr>
            <w:r>
              <w:rPr>
                <w:rFonts w:ascii="Arial" w:hAnsi="Arial"/>
                <w:b w:val="0"/>
                <w:sz w:val="16"/>
              </w:rPr>
              <w:t>0.136</w:t>
            </w:r>
          </w:p>
        </w:tc>
      </w:tr>
      <w:tr>
        <w:trPr>
          <w:cantSplit/>
        </w:trPr>
        <w:tc>
          <w:tcPr>
            <w:tcW w:type="dxa" w:w="1927"/>
            <w:vAlign w:val="center"/>
          </w:tcPr>
          <w:p>
            <w:pPr>
              <w:spacing w:after="0"/>
            </w:pPr>
            <w:r>
              <w:rPr>
                <w:rFonts w:ascii="Arial" w:hAnsi="Arial"/>
                <w:b w:val="0"/>
                <w:sz w:val="16"/>
              </w:rPr>
              <w:t>VO₂peak/kg</w:t>
            </w:r>
          </w:p>
        </w:tc>
        <w:tc>
          <w:tcPr>
            <w:tcW w:type="dxa" w:w="2948"/>
            <w:vAlign w:val="center"/>
          </w:tcPr>
          <w:p>
            <w:pPr>
              <w:spacing w:after="0"/>
            </w:pPr>
            <w:r>
              <w:rPr>
                <w:rFonts w:ascii="Arial" w:hAnsi="Arial"/>
                <w:b w:val="0"/>
                <w:sz w:val="16"/>
              </w:rPr>
              <w:t>PCI×SMMI, PCI×FMI</w:t>
            </w:r>
          </w:p>
        </w:tc>
        <w:tc>
          <w:tcPr>
            <w:tcW w:type="dxa" w:w="1190"/>
            <w:vAlign w:val="center"/>
          </w:tcPr>
          <w:p>
            <w:pPr>
              <w:spacing w:after="0"/>
            </w:pPr>
            <w:r>
              <w:rPr>
                <w:rFonts w:ascii="Arial" w:hAnsi="Arial"/>
                <w:b w:val="0"/>
                <w:sz w:val="16"/>
              </w:rPr>
              <w:t>6.49</w:t>
            </w:r>
          </w:p>
        </w:tc>
        <w:tc>
          <w:tcPr>
            <w:tcW w:type="dxa" w:w="963"/>
            <w:vAlign w:val="center"/>
          </w:tcPr>
          <w:p>
            <w:pPr>
              <w:spacing w:after="0"/>
            </w:pPr>
            <w:r>
              <w:rPr>
                <w:rFonts w:ascii="Arial" w:hAnsi="Arial"/>
                <w:b w:val="0"/>
                <w:sz w:val="16"/>
              </w:rPr>
              <w:t>2</w:t>
            </w:r>
          </w:p>
        </w:tc>
        <w:tc>
          <w:tcPr>
            <w:tcW w:type="dxa" w:w="963"/>
            <w:vAlign w:val="center"/>
          </w:tcPr>
          <w:p>
            <w:pPr>
              <w:spacing w:after="0"/>
            </w:pPr>
            <w:r>
              <w:rPr>
                <w:rFonts w:ascii="Arial" w:hAnsi="Arial"/>
                <w:b w:val="0"/>
                <w:sz w:val="16"/>
              </w:rPr>
              <w:t>0.039</w:t>
            </w:r>
          </w:p>
        </w:tc>
      </w:tr>
      <w:tr>
        <w:trPr>
          <w:cantSplit/>
        </w:trPr>
        <w:tc>
          <w:tcPr>
            <w:tcW w:type="dxa" w:w="1927"/>
            <w:vAlign w:val="center"/>
          </w:tcPr>
          <w:p>
            <w:pPr>
              <w:spacing w:after="0"/>
            </w:pPr>
            <w:r>
              <w:rPr>
                <w:rFonts w:ascii="Arial" w:hAnsi="Arial"/>
                <w:b w:val="0"/>
                <w:sz w:val="16"/>
              </w:rPr>
              <w:t>pVO₂</w:t>
            </w:r>
          </w:p>
        </w:tc>
        <w:tc>
          <w:tcPr>
            <w:tcW w:type="dxa" w:w="2948"/>
            <w:vAlign w:val="center"/>
          </w:tcPr>
          <w:p>
            <w:pPr>
              <w:spacing w:after="0"/>
            </w:pPr>
            <w:r>
              <w:rPr>
                <w:rFonts w:ascii="Arial" w:hAnsi="Arial"/>
                <w:b w:val="0"/>
                <w:sz w:val="16"/>
              </w:rPr>
              <w:t>PCI×SMMI, PCI×FMI</w:t>
            </w:r>
          </w:p>
        </w:tc>
        <w:tc>
          <w:tcPr>
            <w:tcW w:type="dxa" w:w="1190"/>
            <w:vAlign w:val="center"/>
          </w:tcPr>
          <w:p>
            <w:pPr>
              <w:spacing w:after="0"/>
            </w:pPr>
            <w:r>
              <w:rPr>
                <w:rFonts w:ascii="Arial" w:hAnsi="Arial"/>
                <w:b w:val="0"/>
                <w:sz w:val="16"/>
              </w:rPr>
              <w:t>2.64</w:t>
            </w:r>
          </w:p>
        </w:tc>
        <w:tc>
          <w:tcPr>
            <w:tcW w:type="dxa" w:w="963"/>
            <w:vAlign w:val="center"/>
          </w:tcPr>
          <w:p>
            <w:pPr>
              <w:spacing w:after="0"/>
            </w:pPr>
            <w:r>
              <w:rPr>
                <w:rFonts w:ascii="Arial" w:hAnsi="Arial"/>
                <w:b w:val="0"/>
                <w:sz w:val="16"/>
              </w:rPr>
              <w:t>2</w:t>
            </w:r>
          </w:p>
        </w:tc>
        <w:tc>
          <w:tcPr>
            <w:tcW w:type="dxa" w:w="963"/>
            <w:vAlign w:val="center"/>
          </w:tcPr>
          <w:p>
            <w:pPr>
              <w:spacing w:after="0"/>
            </w:pPr>
            <w:r>
              <w:rPr>
                <w:rFonts w:ascii="Arial" w:hAnsi="Arial"/>
                <w:b w:val="0"/>
                <w:sz w:val="16"/>
              </w:rPr>
              <w:t>0.268</w:t>
            </w:r>
          </w:p>
        </w:tc>
      </w:tr>
    </w:tbl>
    <w:p>
      <w:pPr>
        <w:spacing w:before="0" w:after="0" w:line="240" w:lineRule="auto"/>
        <w:jc w:val="left"/>
        <w:outlineLvl w:val="9"/>
      </w:pPr>
      <w:r>
        <w:rPr>
          <w:rFonts w:ascii="Times New Roman" w:hAnsi="Times New Roman" w:eastAsia="Times New Roman" w:cs="Times New Roman"/>
          <w:b/>
          <w:i w:val="0"/>
          <w:color w:val="000000"/>
          <w:sz w:val="18"/>
          <w:u w:val="none"/>
        </w:rPr>
        <w:t>Each outcome model simultaneously included both corresponding PCI×body-composition interaction terms; a two-degree-of-freedom joint Wald test was used.</w:t>
      </w:r>
    </w:p>
    <w:p>
      <w:pPr>
        <w:spacing w:before="120" w:after="80"/>
        <w:jc w:val="center"/>
        <w:outlineLvl w:val="9"/>
        <w:keepNext/>
      </w:pPr>
      <w:r>
        <w:rPr>
          <w:rFonts w:ascii="Arial" w:hAnsi="Arial"/>
          <w:color w:val="000000"/>
          <w:u w:val="none"/>
        </w:rPr>
        <w:drawing>
          <wp:inline xmlns:a="http://schemas.openxmlformats.org/drawingml/2006/main" xmlns:pic="http://schemas.openxmlformats.org/drawingml/2006/picture">
            <wp:extent cx="5577840" cy="1952244"/>
            <wp:docPr id="5" name="Picture 5"/>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577840" cy="1952244"/>
                    </a:xfrm>
                    <a:prstGeom prst="rect"/>
                  </pic:spPr>
                </pic:pic>
              </a:graphicData>
            </a:graphic>
          </wp:inline>
        </w:drawing>
      </w:r>
    </w:p>
    <w:p>
      <w:pPr>
        <w:keepNext/>
        <w:spacing w:before="160" w:after="60" w:line="480" w:lineRule="auto"/>
        <w:jc w:val="left"/>
        <w:outlineLvl w:val="9"/>
      </w:pPr>
      <w:r>
        <w:rPr>
          <w:rFonts w:ascii="Times New Roman" w:hAnsi="Times New Roman" w:eastAsia="Times New Roman" w:cs="Times New Roman"/>
          <w:b/>
          <w:i w:val="0"/>
          <w:sz w:val="24"/>
        </w:rPr>
        <w:t>Supplementary Figure S2 Associations of body composition with cardiorespiratory fitness</w:t>
      </w:r>
    </w:p>
    <w:p>
      <w:pPr>
        <w:keepLines/>
        <w:spacing w:before="0" w:after="0" w:line="480" w:lineRule="auto"/>
        <w:jc w:val="left"/>
      </w:pPr>
      <w:r>
        <w:rPr>
          <w:rFonts w:ascii="Times New Roman" w:hAnsi="Times New Roman" w:eastAsia="Times New Roman" w:cs="Times New Roman"/>
          <w:b w:val="0"/>
          <w:i w:val="0"/>
          <w:sz w:val="24"/>
        </w:rPr>
        <w:t>Points and horizontal lines show standardized regression coefficients and 95% CIs. Each coefficient represents the change in outcome standard deviations per 1-SD higher body-composition measure. n=682.</w:t>
      </w:r>
    </w:p>
    <w:p>
      <w:pPr>
        <w:keepNext/>
        <w:spacing w:before="0" w:after="0" w:line="480" w:lineRule="auto"/>
        <w:jc w:val="left"/>
        <w:outlineLvl w:val="9"/>
        <w:pageBreakBefore/>
      </w:pPr>
      <w:r>
        <w:rPr>
          <w:rFonts w:ascii="Times New Roman" w:hAnsi="Times New Roman" w:eastAsia="Times New Roman" w:cs="Times New Roman"/>
          <w:b w:val="0"/>
          <w:i w:val="0"/>
          <w:color w:val="000000"/>
          <w:sz w:val="24"/>
          <w:u w:val="none"/>
        </w:rPr>
        <w:t>Supplementary Table S3A Explained variance in nested weighted models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1984"/>
            <w:vAlign w:val="center"/>
            <w:shd w:fill="E7E6E6"/>
          </w:tcPr>
          <w:p>
            <w:pPr>
              <w:spacing w:after="0"/>
              <w:jc w:val="center"/>
            </w:pPr>
            <w:r>
              <w:rPr>
                <w:rFonts w:ascii="Arial" w:hAnsi="Arial"/>
                <w:b/>
                <w:sz w:val="16"/>
              </w:rPr>
              <w:t>Last block added</w:t>
            </w:r>
          </w:p>
        </w:tc>
        <w:tc>
          <w:tcPr>
            <w:tcW w:type="dxa" w:w="1247"/>
            <w:vAlign w:val="center"/>
            <w:shd w:fill="E7E6E6"/>
          </w:tcPr>
          <w:p>
            <w:pPr>
              <w:spacing w:after="0"/>
              <w:jc w:val="center"/>
            </w:pPr>
            <w:r>
              <w:rPr>
                <w:rFonts w:ascii="Arial" w:hAnsi="Arial"/>
                <w:b/>
                <w:sz w:val="16"/>
              </w:rPr>
              <w:t>Weighted R²</w:t>
            </w:r>
          </w:p>
        </w:tc>
        <w:tc>
          <w:tcPr>
            <w:tcW w:type="dxa" w:w="1247"/>
            <w:vAlign w:val="center"/>
            <w:shd w:fill="E7E6E6"/>
          </w:tcPr>
          <w:p>
            <w:pPr>
              <w:spacing w:after="0"/>
              <w:jc w:val="center"/>
            </w:pPr>
            <w:r>
              <w:rPr>
                <w:rFonts w:ascii="Arial" w:hAnsi="Arial"/>
                <w:b/>
                <w:sz w:val="16"/>
              </w:rPr>
              <w:t>ΔR²</w:t>
            </w:r>
          </w:p>
        </w:tc>
        <w:tc>
          <w:tcPr>
            <w:tcW w:type="dxa" w:w="1247"/>
            <w:vAlign w:val="center"/>
            <w:shd w:fill="E7E6E6"/>
          </w:tcPr>
          <w:p>
            <w:pPr>
              <w:spacing w:after="0"/>
              <w:jc w:val="center"/>
            </w:pPr>
            <w:r>
              <w:rPr>
                <w:rFonts w:ascii="Arial" w:hAnsi="Arial"/>
                <w:b/>
                <w:sz w:val="16"/>
              </w:rPr>
              <w:t>Partial R²</w:t>
            </w:r>
          </w:p>
        </w:tc>
      </w:tr>
      <w:tr>
        <w:trPr>
          <w:cantSplit/>
        </w:trPr>
        <w:tc>
          <w:tcPr>
            <w:tcW w:type="dxa" w:w="1927"/>
            <w:vAlign w:val="center"/>
          </w:tcPr>
          <w:p>
            <w:pPr>
              <w:spacing w:after="0"/>
            </w:pPr>
            <w:r>
              <w:rPr>
                <w:rFonts w:ascii="Arial" w:hAnsi="Arial"/>
                <w:b w:val="0"/>
                <w:sz w:val="16"/>
              </w:rPr>
              <w:t>Absolute VO₂peak</w:t>
            </w:r>
          </w:p>
        </w:tc>
        <w:tc>
          <w:tcPr>
            <w:tcW w:type="dxa" w:w="1984"/>
            <w:vAlign w:val="center"/>
          </w:tcPr>
          <w:p>
            <w:pPr>
              <w:spacing w:after="0"/>
            </w:pPr>
            <w:r>
              <w:rPr>
                <w:rFonts w:ascii="Arial" w:hAnsi="Arial"/>
                <w:b w:val="0"/>
                <w:sz w:val="16"/>
              </w:rPr>
              <w:t>Core variables</w:t>
            </w:r>
          </w:p>
        </w:tc>
        <w:tc>
          <w:tcPr>
            <w:tcW w:type="dxa" w:w="1247"/>
            <w:vAlign w:val="center"/>
          </w:tcPr>
          <w:p>
            <w:pPr>
              <w:spacing w:after="0"/>
            </w:pPr>
            <w:r>
              <w:rPr>
                <w:rFonts w:ascii="Arial" w:hAnsi="Arial"/>
                <w:b w:val="0"/>
                <w:sz w:val="16"/>
              </w:rPr>
              <w:t>0.555</w:t>
            </w:r>
          </w:p>
        </w:tc>
        <w:tc>
          <w:tcPr>
            <w:tcW w:type="dxa" w:w="1247"/>
            <w:vAlign w:val="center"/>
          </w:tcPr>
          <w:p>
            <w:pPr>
              <w:spacing w:after="0"/>
            </w:pPr>
            <w:r>
              <w:rPr>
                <w:rFonts w:ascii="Arial" w:hAnsi="Arial"/>
                <w:b w:val="0"/>
                <w:sz w:val="16"/>
              </w:rPr>
              <w:t>—</w:t>
            </w:r>
          </w:p>
        </w:tc>
        <w:tc>
          <w:tcPr>
            <w:tcW w:type="dxa" w:w="1247"/>
            <w:vAlign w:val="center"/>
          </w:tcPr>
          <w:p>
            <w:pPr>
              <w:spacing w:after="0"/>
            </w:pPr>
            <w:r>
              <w:rPr>
                <w:rFonts w:ascii="Arial" w:hAnsi="Arial"/>
                <w:b w:val="0"/>
                <w:sz w:val="16"/>
              </w:rPr>
              <w:t>—</w:t>
            </w:r>
          </w:p>
        </w:tc>
      </w:tr>
      <w:tr>
        <w:trPr>
          <w:cantSplit/>
        </w:trPr>
        <w:tc>
          <w:tcPr>
            <w:tcW w:type="dxa" w:w="1927"/>
            <w:vAlign w:val="center"/>
          </w:tcPr>
          <w:p>
            <w:pPr>
              <w:spacing w:after="0"/>
            </w:pPr>
            <w:r>
              <w:rPr>
                <w:rFonts w:ascii="Arial" w:hAnsi="Arial"/>
                <w:b w:val="0"/>
                <w:sz w:val="16"/>
              </w:rPr>
              <w:t>Absolute VO₂peak</w:t>
            </w:r>
          </w:p>
        </w:tc>
        <w:tc>
          <w:tcPr>
            <w:tcW w:type="dxa" w:w="1984"/>
            <w:vAlign w:val="center"/>
          </w:tcPr>
          <w:p>
            <w:pPr>
              <w:spacing w:after="0"/>
            </w:pPr>
            <w:r>
              <w:rPr>
                <w:rFonts w:ascii="Arial" w:hAnsi="Arial"/>
                <w:b w:val="0"/>
                <w:sz w:val="16"/>
              </w:rPr>
              <w:t>Body composition</w:t>
            </w:r>
          </w:p>
        </w:tc>
        <w:tc>
          <w:tcPr>
            <w:tcW w:type="dxa" w:w="1247"/>
            <w:vAlign w:val="center"/>
          </w:tcPr>
          <w:p>
            <w:pPr>
              <w:spacing w:after="0"/>
            </w:pPr>
            <w:r>
              <w:rPr>
                <w:rFonts w:ascii="Arial" w:hAnsi="Arial"/>
                <w:b w:val="0"/>
                <w:sz w:val="16"/>
              </w:rPr>
              <w:t>0.644</w:t>
            </w:r>
          </w:p>
        </w:tc>
        <w:tc>
          <w:tcPr>
            <w:tcW w:type="dxa" w:w="1247"/>
            <w:vAlign w:val="center"/>
          </w:tcPr>
          <w:p>
            <w:pPr>
              <w:spacing w:after="0"/>
            </w:pPr>
            <w:r>
              <w:rPr>
                <w:rFonts w:ascii="Arial" w:hAnsi="Arial"/>
                <w:b w:val="0"/>
                <w:sz w:val="16"/>
              </w:rPr>
              <w:t>8.9%</w:t>
            </w:r>
          </w:p>
        </w:tc>
        <w:tc>
          <w:tcPr>
            <w:tcW w:type="dxa" w:w="1247"/>
            <w:vAlign w:val="center"/>
          </w:tcPr>
          <w:p>
            <w:pPr>
              <w:spacing w:after="0"/>
            </w:pPr>
            <w:r>
              <w:rPr>
                <w:rFonts w:ascii="Arial" w:hAnsi="Arial"/>
                <w:b w:val="0"/>
                <w:sz w:val="16"/>
              </w:rPr>
              <w:t>20.0%</w:t>
            </w:r>
          </w:p>
        </w:tc>
      </w:tr>
      <w:tr>
        <w:trPr>
          <w:cantSplit/>
        </w:trPr>
        <w:tc>
          <w:tcPr>
            <w:tcW w:type="dxa" w:w="1927"/>
            <w:vAlign w:val="center"/>
          </w:tcPr>
          <w:p>
            <w:pPr>
              <w:spacing w:after="0"/>
            </w:pPr>
            <w:r>
              <w:rPr>
                <w:rFonts w:ascii="Arial" w:hAnsi="Arial"/>
                <w:b w:val="0"/>
                <w:sz w:val="16"/>
              </w:rPr>
              <w:t>Absolute VO₂peak</w:t>
            </w:r>
          </w:p>
        </w:tc>
        <w:tc>
          <w:tcPr>
            <w:tcW w:type="dxa" w:w="1984"/>
            <w:vAlign w:val="center"/>
          </w:tcPr>
          <w:p>
            <w:pPr>
              <w:spacing w:after="0"/>
            </w:pPr>
            <w:r>
              <w:rPr>
                <w:rFonts w:ascii="Arial" w:hAnsi="Arial"/>
                <w:b w:val="0"/>
                <w:sz w:val="16"/>
              </w:rPr>
              <w:t>Clinical/metabolic factors</w:t>
            </w:r>
          </w:p>
        </w:tc>
        <w:tc>
          <w:tcPr>
            <w:tcW w:type="dxa" w:w="1247"/>
            <w:vAlign w:val="center"/>
          </w:tcPr>
          <w:p>
            <w:pPr>
              <w:spacing w:after="0"/>
            </w:pPr>
            <w:r>
              <w:rPr>
                <w:rFonts w:ascii="Arial" w:hAnsi="Arial"/>
                <w:b w:val="0"/>
                <w:sz w:val="16"/>
              </w:rPr>
              <w:t>0.661</w:t>
            </w:r>
          </w:p>
        </w:tc>
        <w:tc>
          <w:tcPr>
            <w:tcW w:type="dxa" w:w="1247"/>
            <w:vAlign w:val="center"/>
          </w:tcPr>
          <w:p>
            <w:pPr>
              <w:spacing w:after="0"/>
            </w:pPr>
            <w:r>
              <w:rPr>
                <w:rFonts w:ascii="Arial" w:hAnsi="Arial"/>
                <w:b w:val="0"/>
                <w:sz w:val="16"/>
              </w:rPr>
              <w:t>1.7%</w:t>
            </w:r>
          </w:p>
        </w:tc>
        <w:tc>
          <w:tcPr>
            <w:tcW w:type="dxa" w:w="1247"/>
            <w:vAlign w:val="center"/>
          </w:tcPr>
          <w:p>
            <w:pPr>
              <w:spacing w:after="0"/>
            </w:pPr>
            <w:r>
              <w:rPr>
                <w:rFonts w:ascii="Arial" w:hAnsi="Arial"/>
                <w:b w:val="0"/>
                <w:sz w:val="16"/>
              </w:rPr>
              <w:t>4.7%</w:t>
            </w:r>
          </w:p>
        </w:tc>
      </w:tr>
      <w:tr>
        <w:trPr>
          <w:cantSplit/>
        </w:trPr>
        <w:tc>
          <w:tcPr>
            <w:tcW w:type="dxa" w:w="1927"/>
            <w:vAlign w:val="center"/>
          </w:tcPr>
          <w:p>
            <w:pPr>
              <w:spacing w:after="0"/>
            </w:pPr>
            <w:r>
              <w:rPr>
                <w:rFonts w:ascii="Arial" w:hAnsi="Arial"/>
                <w:b w:val="0"/>
                <w:sz w:val="16"/>
              </w:rPr>
              <w:t>Absolute VO₂peak</w:t>
            </w:r>
          </w:p>
        </w:tc>
        <w:tc>
          <w:tcPr>
            <w:tcW w:type="dxa" w:w="1984"/>
            <w:vAlign w:val="center"/>
          </w:tcPr>
          <w:p>
            <w:pPr>
              <w:spacing w:after="0"/>
            </w:pPr>
            <w:r>
              <w:rPr>
                <w:rFonts w:ascii="Arial" w:hAnsi="Arial"/>
                <w:b w:val="0"/>
                <w:sz w:val="16"/>
              </w:rPr>
              <w:t>PCI status</w:t>
            </w:r>
          </w:p>
        </w:tc>
        <w:tc>
          <w:tcPr>
            <w:tcW w:type="dxa" w:w="1247"/>
            <w:vAlign w:val="center"/>
          </w:tcPr>
          <w:p>
            <w:pPr>
              <w:spacing w:after="0"/>
            </w:pPr>
            <w:r>
              <w:rPr>
                <w:rFonts w:ascii="Arial" w:hAnsi="Arial"/>
                <w:b w:val="0"/>
                <w:sz w:val="16"/>
              </w:rPr>
              <w:t>0.665</w:t>
            </w:r>
          </w:p>
        </w:tc>
        <w:tc>
          <w:tcPr>
            <w:tcW w:type="dxa" w:w="1247"/>
            <w:vAlign w:val="center"/>
          </w:tcPr>
          <w:p>
            <w:pPr>
              <w:spacing w:after="0"/>
            </w:pPr>
            <w:r>
              <w:rPr>
                <w:rFonts w:ascii="Arial" w:hAnsi="Arial"/>
                <w:b w:val="0"/>
                <w:sz w:val="16"/>
              </w:rPr>
              <w:t>0.4%</w:t>
            </w:r>
          </w:p>
        </w:tc>
        <w:tc>
          <w:tcPr>
            <w:tcW w:type="dxa" w:w="1247"/>
            <w:vAlign w:val="center"/>
          </w:tcPr>
          <w:p>
            <w:pPr>
              <w:spacing w:after="0"/>
            </w:pPr>
            <w:r>
              <w:rPr>
                <w:rFonts w:ascii="Arial" w:hAnsi="Arial"/>
                <w:b w:val="0"/>
                <w:sz w:val="16"/>
              </w:rPr>
              <w:t>1.1%</w:t>
            </w:r>
          </w:p>
        </w:tc>
      </w:tr>
      <w:tr>
        <w:trPr>
          <w:cantSplit/>
        </w:trPr>
        <w:tc>
          <w:tcPr>
            <w:tcW w:type="dxa" w:w="1927"/>
            <w:vAlign w:val="center"/>
          </w:tcPr>
          <w:p>
            <w:pPr>
              <w:spacing w:after="0"/>
            </w:pPr>
            <w:r>
              <w:rPr>
                <w:rFonts w:ascii="Arial" w:hAnsi="Arial"/>
                <w:b w:val="0"/>
                <w:sz w:val="16"/>
              </w:rPr>
              <w:t>VO₂peak/kg</w:t>
            </w:r>
          </w:p>
        </w:tc>
        <w:tc>
          <w:tcPr>
            <w:tcW w:type="dxa" w:w="1984"/>
            <w:vAlign w:val="center"/>
          </w:tcPr>
          <w:p>
            <w:pPr>
              <w:spacing w:after="0"/>
            </w:pPr>
            <w:r>
              <w:rPr>
                <w:rFonts w:ascii="Arial" w:hAnsi="Arial"/>
                <w:b w:val="0"/>
                <w:sz w:val="16"/>
              </w:rPr>
              <w:t>Core variables</w:t>
            </w:r>
          </w:p>
        </w:tc>
        <w:tc>
          <w:tcPr>
            <w:tcW w:type="dxa" w:w="1247"/>
            <w:vAlign w:val="center"/>
          </w:tcPr>
          <w:p>
            <w:pPr>
              <w:spacing w:after="0"/>
            </w:pPr>
            <w:r>
              <w:rPr>
                <w:rFonts w:ascii="Arial" w:hAnsi="Arial"/>
                <w:b w:val="0"/>
                <w:sz w:val="16"/>
              </w:rPr>
              <w:t>0.470</w:t>
            </w:r>
          </w:p>
        </w:tc>
        <w:tc>
          <w:tcPr>
            <w:tcW w:type="dxa" w:w="1247"/>
            <w:vAlign w:val="center"/>
          </w:tcPr>
          <w:p>
            <w:pPr>
              <w:spacing w:after="0"/>
            </w:pPr>
            <w:r>
              <w:rPr>
                <w:rFonts w:ascii="Arial" w:hAnsi="Arial"/>
                <w:b w:val="0"/>
                <w:sz w:val="16"/>
              </w:rPr>
              <w:t>—</w:t>
            </w:r>
          </w:p>
        </w:tc>
        <w:tc>
          <w:tcPr>
            <w:tcW w:type="dxa" w:w="1247"/>
            <w:vAlign w:val="center"/>
          </w:tcPr>
          <w:p>
            <w:pPr>
              <w:spacing w:after="0"/>
            </w:pPr>
            <w:r>
              <w:rPr>
                <w:rFonts w:ascii="Arial" w:hAnsi="Arial"/>
                <w:b w:val="0"/>
                <w:sz w:val="16"/>
              </w:rPr>
              <w:t>—</w:t>
            </w:r>
          </w:p>
        </w:tc>
      </w:tr>
      <w:tr>
        <w:trPr>
          <w:cantSplit/>
        </w:trPr>
        <w:tc>
          <w:tcPr>
            <w:tcW w:type="dxa" w:w="1927"/>
            <w:vAlign w:val="center"/>
          </w:tcPr>
          <w:p>
            <w:pPr>
              <w:spacing w:after="0"/>
            </w:pPr>
            <w:r>
              <w:rPr>
                <w:rFonts w:ascii="Arial" w:hAnsi="Arial"/>
                <w:b w:val="0"/>
                <w:sz w:val="16"/>
              </w:rPr>
              <w:t>VO₂peak/kg</w:t>
            </w:r>
          </w:p>
        </w:tc>
        <w:tc>
          <w:tcPr>
            <w:tcW w:type="dxa" w:w="1984"/>
            <w:vAlign w:val="center"/>
          </w:tcPr>
          <w:p>
            <w:pPr>
              <w:spacing w:after="0"/>
            </w:pPr>
            <w:r>
              <w:rPr>
                <w:rFonts w:ascii="Arial" w:hAnsi="Arial"/>
                <w:b w:val="0"/>
                <w:sz w:val="16"/>
              </w:rPr>
              <w:t>Body composition</w:t>
            </w:r>
          </w:p>
        </w:tc>
        <w:tc>
          <w:tcPr>
            <w:tcW w:type="dxa" w:w="1247"/>
            <w:vAlign w:val="center"/>
          </w:tcPr>
          <w:p>
            <w:pPr>
              <w:spacing w:after="0"/>
            </w:pPr>
            <w:r>
              <w:rPr>
                <w:rFonts w:ascii="Arial" w:hAnsi="Arial"/>
                <w:b w:val="0"/>
                <w:sz w:val="16"/>
              </w:rPr>
              <w:t>0.501</w:t>
            </w:r>
          </w:p>
        </w:tc>
        <w:tc>
          <w:tcPr>
            <w:tcW w:type="dxa" w:w="1247"/>
            <w:vAlign w:val="center"/>
          </w:tcPr>
          <w:p>
            <w:pPr>
              <w:spacing w:after="0"/>
            </w:pPr>
            <w:r>
              <w:rPr>
                <w:rFonts w:ascii="Arial" w:hAnsi="Arial"/>
                <w:b w:val="0"/>
                <w:sz w:val="16"/>
              </w:rPr>
              <w:t>3.1%</w:t>
            </w:r>
          </w:p>
        </w:tc>
        <w:tc>
          <w:tcPr>
            <w:tcW w:type="dxa" w:w="1247"/>
            <w:vAlign w:val="center"/>
          </w:tcPr>
          <w:p>
            <w:pPr>
              <w:spacing w:after="0"/>
            </w:pPr>
            <w:r>
              <w:rPr>
                <w:rFonts w:ascii="Arial" w:hAnsi="Arial"/>
                <w:b w:val="0"/>
                <w:sz w:val="16"/>
              </w:rPr>
              <w:t>5.8%</w:t>
            </w:r>
          </w:p>
        </w:tc>
      </w:tr>
      <w:tr>
        <w:trPr>
          <w:cantSplit/>
        </w:trPr>
        <w:tc>
          <w:tcPr>
            <w:tcW w:type="dxa" w:w="1927"/>
            <w:vAlign w:val="center"/>
          </w:tcPr>
          <w:p>
            <w:pPr>
              <w:spacing w:after="0"/>
            </w:pPr>
            <w:r>
              <w:rPr>
                <w:rFonts w:ascii="Arial" w:hAnsi="Arial"/>
                <w:b w:val="0"/>
                <w:sz w:val="16"/>
              </w:rPr>
              <w:t>VO₂peak/kg</w:t>
            </w:r>
          </w:p>
        </w:tc>
        <w:tc>
          <w:tcPr>
            <w:tcW w:type="dxa" w:w="1984"/>
            <w:vAlign w:val="center"/>
          </w:tcPr>
          <w:p>
            <w:pPr>
              <w:spacing w:after="0"/>
            </w:pPr>
            <w:r>
              <w:rPr>
                <w:rFonts w:ascii="Arial" w:hAnsi="Arial"/>
                <w:b w:val="0"/>
                <w:sz w:val="16"/>
              </w:rPr>
              <w:t>Clinical/metabolic factors</w:t>
            </w:r>
          </w:p>
        </w:tc>
        <w:tc>
          <w:tcPr>
            <w:tcW w:type="dxa" w:w="1247"/>
            <w:vAlign w:val="center"/>
          </w:tcPr>
          <w:p>
            <w:pPr>
              <w:spacing w:after="0"/>
            </w:pPr>
            <w:r>
              <w:rPr>
                <w:rFonts w:ascii="Arial" w:hAnsi="Arial"/>
                <w:b w:val="0"/>
                <w:sz w:val="16"/>
              </w:rPr>
              <w:t>0.531</w:t>
            </w:r>
          </w:p>
        </w:tc>
        <w:tc>
          <w:tcPr>
            <w:tcW w:type="dxa" w:w="1247"/>
            <w:vAlign w:val="center"/>
          </w:tcPr>
          <w:p>
            <w:pPr>
              <w:spacing w:after="0"/>
            </w:pPr>
            <w:r>
              <w:rPr>
                <w:rFonts w:ascii="Arial" w:hAnsi="Arial"/>
                <w:b w:val="0"/>
                <w:sz w:val="16"/>
              </w:rPr>
              <w:t>3.0%</w:t>
            </w:r>
          </w:p>
        </w:tc>
        <w:tc>
          <w:tcPr>
            <w:tcW w:type="dxa" w:w="1247"/>
            <w:vAlign w:val="center"/>
          </w:tcPr>
          <w:p>
            <w:pPr>
              <w:spacing w:after="0"/>
            </w:pPr>
            <w:r>
              <w:rPr>
                <w:rFonts w:ascii="Arial" w:hAnsi="Arial"/>
                <w:b w:val="0"/>
                <w:sz w:val="16"/>
              </w:rPr>
              <w:t>6.0%</w:t>
            </w:r>
          </w:p>
        </w:tc>
      </w:tr>
      <w:tr>
        <w:trPr>
          <w:cantSplit/>
        </w:trPr>
        <w:tc>
          <w:tcPr>
            <w:tcW w:type="dxa" w:w="1927"/>
            <w:vAlign w:val="center"/>
          </w:tcPr>
          <w:p>
            <w:pPr>
              <w:spacing w:after="0"/>
            </w:pPr>
            <w:r>
              <w:rPr>
                <w:rFonts w:ascii="Arial" w:hAnsi="Arial"/>
                <w:b w:val="0"/>
                <w:sz w:val="16"/>
              </w:rPr>
              <w:t>VO₂peak/kg</w:t>
            </w:r>
          </w:p>
        </w:tc>
        <w:tc>
          <w:tcPr>
            <w:tcW w:type="dxa" w:w="1984"/>
            <w:vAlign w:val="center"/>
          </w:tcPr>
          <w:p>
            <w:pPr>
              <w:spacing w:after="0"/>
            </w:pPr>
            <w:r>
              <w:rPr>
                <w:rFonts w:ascii="Arial" w:hAnsi="Arial"/>
                <w:b w:val="0"/>
                <w:sz w:val="16"/>
              </w:rPr>
              <w:t>PCI status</w:t>
            </w:r>
          </w:p>
        </w:tc>
        <w:tc>
          <w:tcPr>
            <w:tcW w:type="dxa" w:w="1247"/>
            <w:vAlign w:val="center"/>
          </w:tcPr>
          <w:p>
            <w:pPr>
              <w:spacing w:after="0"/>
            </w:pPr>
            <w:r>
              <w:rPr>
                <w:rFonts w:ascii="Arial" w:hAnsi="Arial"/>
                <w:b w:val="0"/>
                <w:sz w:val="16"/>
              </w:rPr>
              <w:t>0.536</w:t>
            </w:r>
          </w:p>
        </w:tc>
        <w:tc>
          <w:tcPr>
            <w:tcW w:type="dxa" w:w="1247"/>
            <w:vAlign w:val="center"/>
          </w:tcPr>
          <w:p>
            <w:pPr>
              <w:spacing w:after="0"/>
            </w:pPr>
            <w:r>
              <w:rPr>
                <w:rFonts w:ascii="Arial" w:hAnsi="Arial"/>
                <w:b w:val="0"/>
                <w:sz w:val="16"/>
              </w:rPr>
              <w:t>0.5%</w:t>
            </w:r>
          </w:p>
        </w:tc>
        <w:tc>
          <w:tcPr>
            <w:tcW w:type="dxa" w:w="1247"/>
            <w:vAlign w:val="center"/>
          </w:tcPr>
          <w:p>
            <w:pPr>
              <w:spacing w:after="0"/>
            </w:pPr>
            <w:r>
              <w:rPr>
                <w:rFonts w:ascii="Arial" w:hAnsi="Arial"/>
                <w:b w:val="0"/>
                <w:sz w:val="16"/>
              </w:rPr>
              <w:t>1.1%</w:t>
            </w:r>
          </w:p>
        </w:tc>
      </w:tr>
      <w:tr>
        <w:trPr>
          <w:cantSplit/>
        </w:trPr>
        <w:tc>
          <w:tcPr>
            <w:tcW w:type="dxa" w:w="1927"/>
            <w:vAlign w:val="center"/>
          </w:tcPr>
          <w:p>
            <w:pPr>
              <w:spacing w:after="0"/>
            </w:pPr>
            <w:r>
              <w:rPr>
                <w:rFonts w:ascii="Arial" w:hAnsi="Arial"/>
                <w:b w:val="0"/>
                <w:sz w:val="16"/>
              </w:rPr>
              <w:t>pVO₂</w:t>
            </w:r>
          </w:p>
        </w:tc>
        <w:tc>
          <w:tcPr>
            <w:tcW w:type="dxa" w:w="1984"/>
            <w:vAlign w:val="center"/>
          </w:tcPr>
          <w:p>
            <w:pPr>
              <w:spacing w:after="0"/>
            </w:pPr>
            <w:r>
              <w:rPr>
                <w:rFonts w:ascii="Arial" w:hAnsi="Arial"/>
                <w:b w:val="0"/>
                <w:sz w:val="16"/>
              </w:rPr>
              <w:t>Core variables</w:t>
            </w:r>
          </w:p>
        </w:tc>
        <w:tc>
          <w:tcPr>
            <w:tcW w:type="dxa" w:w="1247"/>
            <w:vAlign w:val="center"/>
          </w:tcPr>
          <w:p>
            <w:pPr>
              <w:spacing w:after="0"/>
            </w:pPr>
            <w:r>
              <w:rPr>
                <w:rFonts w:ascii="Arial" w:hAnsi="Arial"/>
                <w:b w:val="0"/>
                <w:sz w:val="16"/>
              </w:rPr>
              <w:t>0.233</w:t>
            </w:r>
          </w:p>
        </w:tc>
        <w:tc>
          <w:tcPr>
            <w:tcW w:type="dxa" w:w="1247"/>
            <w:vAlign w:val="center"/>
          </w:tcPr>
          <w:p>
            <w:pPr>
              <w:spacing w:after="0"/>
            </w:pPr>
            <w:r>
              <w:rPr>
                <w:rFonts w:ascii="Arial" w:hAnsi="Arial"/>
                <w:b w:val="0"/>
                <w:sz w:val="16"/>
              </w:rPr>
              <w:t>—</w:t>
            </w:r>
          </w:p>
        </w:tc>
        <w:tc>
          <w:tcPr>
            <w:tcW w:type="dxa" w:w="1247"/>
            <w:vAlign w:val="center"/>
          </w:tcPr>
          <w:p>
            <w:pPr>
              <w:spacing w:after="0"/>
            </w:pPr>
            <w:r>
              <w:rPr>
                <w:rFonts w:ascii="Arial" w:hAnsi="Arial"/>
                <w:b w:val="0"/>
                <w:sz w:val="16"/>
              </w:rPr>
              <w:t>—</w:t>
            </w:r>
          </w:p>
        </w:tc>
      </w:tr>
      <w:tr>
        <w:trPr>
          <w:cantSplit/>
        </w:trPr>
        <w:tc>
          <w:tcPr>
            <w:tcW w:type="dxa" w:w="1927"/>
            <w:vAlign w:val="center"/>
          </w:tcPr>
          <w:p>
            <w:pPr>
              <w:spacing w:after="0"/>
            </w:pPr>
            <w:r>
              <w:rPr>
                <w:rFonts w:ascii="Arial" w:hAnsi="Arial"/>
                <w:b w:val="0"/>
                <w:sz w:val="16"/>
              </w:rPr>
              <w:t>pVO₂</w:t>
            </w:r>
          </w:p>
        </w:tc>
        <w:tc>
          <w:tcPr>
            <w:tcW w:type="dxa" w:w="1984"/>
            <w:vAlign w:val="center"/>
          </w:tcPr>
          <w:p>
            <w:pPr>
              <w:spacing w:after="0"/>
            </w:pPr>
            <w:r>
              <w:rPr>
                <w:rFonts w:ascii="Arial" w:hAnsi="Arial"/>
                <w:b w:val="0"/>
                <w:sz w:val="16"/>
              </w:rPr>
              <w:t>Body composition</w:t>
            </w:r>
          </w:p>
        </w:tc>
        <w:tc>
          <w:tcPr>
            <w:tcW w:type="dxa" w:w="1247"/>
            <w:vAlign w:val="center"/>
          </w:tcPr>
          <w:p>
            <w:pPr>
              <w:spacing w:after="0"/>
            </w:pPr>
            <w:r>
              <w:rPr>
                <w:rFonts w:ascii="Arial" w:hAnsi="Arial"/>
                <w:b w:val="0"/>
                <w:sz w:val="16"/>
              </w:rPr>
              <w:t>0.243</w:t>
            </w:r>
          </w:p>
        </w:tc>
        <w:tc>
          <w:tcPr>
            <w:tcW w:type="dxa" w:w="1247"/>
            <w:vAlign w:val="center"/>
          </w:tcPr>
          <w:p>
            <w:pPr>
              <w:spacing w:after="0"/>
            </w:pPr>
            <w:r>
              <w:rPr>
                <w:rFonts w:ascii="Arial" w:hAnsi="Arial"/>
                <w:b w:val="0"/>
                <w:sz w:val="16"/>
              </w:rPr>
              <w:t>1.0%</w:t>
            </w:r>
          </w:p>
        </w:tc>
        <w:tc>
          <w:tcPr>
            <w:tcW w:type="dxa" w:w="1247"/>
            <w:vAlign w:val="center"/>
          </w:tcPr>
          <w:p>
            <w:pPr>
              <w:spacing w:after="0"/>
            </w:pPr>
            <w:r>
              <w:rPr>
                <w:rFonts w:ascii="Arial" w:hAnsi="Arial"/>
                <w:b w:val="0"/>
                <w:sz w:val="16"/>
              </w:rPr>
              <w:t>1.3%</w:t>
            </w:r>
          </w:p>
        </w:tc>
      </w:tr>
      <w:tr>
        <w:trPr>
          <w:cantSplit/>
        </w:trPr>
        <w:tc>
          <w:tcPr>
            <w:tcW w:type="dxa" w:w="1927"/>
            <w:vAlign w:val="center"/>
          </w:tcPr>
          <w:p>
            <w:pPr>
              <w:spacing w:after="0"/>
            </w:pPr>
            <w:r>
              <w:rPr>
                <w:rFonts w:ascii="Arial" w:hAnsi="Arial"/>
                <w:b w:val="0"/>
                <w:sz w:val="16"/>
              </w:rPr>
              <w:t>pVO₂</w:t>
            </w:r>
          </w:p>
        </w:tc>
        <w:tc>
          <w:tcPr>
            <w:tcW w:type="dxa" w:w="1984"/>
            <w:vAlign w:val="center"/>
          </w:tcPr>
          <w:p>
            <w:pPr>
              <w:spacing w:after="0"/>
            </w:pPr>
            <w:r>
              <w:rPr>
                <w:rFonts w:ascii="Arial" w:hAnsi="Arial"/>
                <w:b w:val="0"/>
                <w:sz w:val="16"/>
              </w:rPr>
              <w:t>Clinical/metabolic factors</w:t>
            </w:r>
          </w:p>
        </w:tc>
        <w:tc>
          <w:tcPr>
            <w:tcW w:type="dxa" w:w="1247"/>
            <w:vAlign w:val="center"/>
          </w:tcPr>
          <w:p>
            <w:pPr>
              <w:spacing w:after="0"/>
            </w:pPr>
            <w:r>
              <w:rPr>
                <w:rFonts w:ascii="Arial" w:hAnsi="Arial"/>
                <w:b w:val="0"/>
                <w:sz w:val="16"/>
              </w:rPr>
              <w:t>0.274</w:t>
            </w:r>
          </w:p>
        </w:tc>
        <w:tc>
          <w:tcPr>
            <w:tcW w:type="dxa" w:w="1247"/>
            <w:vAlign w:val="center"/>
          </w:tcPr>
          <w:p>
            <w:pPr>
              <w:spacing w:after="0"/>
            </w:pPr>
            <w:r>
              <w:rPr>
                <w:rFonts w:ascii="Arial" w:hAnsi="Arial"/>
                <w:b w:val="0"/>
                <w:sz w:val="16"/>
              </w:rPr>
              <w:t>3.1%</w:t>
            </w:r>
          </w:p>
        </w:tc>
        <w:tc>
          <w:tcPr>
            <w:tcW w:type="dxa" w:w="1247"/>
            <w:vAlign w:val="center"/>
          </w:tcPr>
          <w:p>
            <w:pPr>
              <w:spacing w:after="0"/>
            </w:pPr>
            <w:r>
              <w:rPr>
                <w:rFonts w:ascii="Arial" w:hAnsi="Arial"/>
                <w:b w:val="0"/>
                <w:sz w:val="16"/>
              </w:rPr>
              <w:t>4.1%</w:t>
            </w:r>
          </w:p>
        </w:tc>
      </w:tr>
      <w:tr>
        <w:trPr>
          <w:cantSplit/>
        </w:trPr>
        <w:tc>
          <w:tcPr>
            <w:tcW w:type="dxa" w:w="1927"/>
            <w:vAlign w:val="center"/>
          </w:tcPr>
          <w:p>
            <w:pPr>
              <w:spacing w:after="0"/>
            </w:pPr>
            <w:r>
              <w:rPr>
                <w:rFonts w:ascii="Arial" w:hAnsi="Arial"/>
                <w:b w:val="0"/>
                <w:sz w:val="16"/>
              </w:rPr>
              <w:t>pVO₂</w:t>
            </w:r>
          </w:p>
        </w:tc>
        <w:tc>
          <w:tcPr>
            <w:tcW w:type="dxa" w:w="1984"/>
            <w:vAlign w:val="center"/>
          </w:tcPr>
          <w:p>
            <w:pPr>
              <w:spacing w:after="0"/>
            </w:pPr>
            <w:r>
              <w:rPr>
                <w:rFonts w:ascii="Arial" w:hAnsi="Arial"/>
                <w:b w:val="0"/>
                <w:sz w:val="16"/>
              </w:rPr>
              <w:t>PCI status</w:t>
            </w:r>
          </w:p>
        </w:tc>
        <w:tc>
          <w:tcPr>
            <w:tcW w:type="dxa" w:w="1247"/>
            <w:vAlign w:val="center"/>
          </w:tcPr>
          <w:p>
            <w:pPr>
              <w:spacing w:after="0"/>
            </w:pPr>
            <w:r>
              <w:rPr>
                <w:rFonts w:ascii="Arial" w:hAnsi="Arial"/>
                <w:b w:val="0"/>
                <w:sz w:val="16"/>
              </w:rPr>
              <w:t>0.287</w:t>
            </w:r>
          </w:p>
        </w:tc>
        <w:tc>
          <w:tcPr>
            <w:tcW w:type="dxa" w:w="1247"/>
            <w:vAlign w:val="center"/>
          </w:tcPr>
          <w:p>
            <w:pPr>
              <w:spacing w:after="0"/>
            </w:pPr>
            <w:r>
              <w:rPr>
                <w:rFonts w:ascii="Arial" w:hAnsi="Arial"/>
                <w:b w:val="0"/>
                <w:sz w:val="16"/>
              </w:rPr>
              <w:t>1.4%</w:t>
            </w:r>
          </w:p>
        </w:tc>
        <w:tc>
          <w:tcPr>
            <w:tcW w:type="dxa" w:w="1247"/>
            <w:vAlign w:val="center"/>
          </w:tcPr>
          <w:p>
            <w:pPr>
              <w:spacing w:after="0"/>
            </w:pPr>
            <w:r>
              <w:rPr>
                <w:rFonts w:ascii="Arial" w:hAnsi="Arial"/>
                <w:b w:val="0"/>
                <w:sz w:val="16"/>
              </w:rPr>
              <w:t>1.9%</w:t>
            </w:r>
          </w:p>
        </w:tc>
      </w:tr>
    </w:tbl>
    <w:p>
      <w:pPr>
        <w:spacing w:before="0" w:after="0" w:line="240" w:lineRule="auto"/>
        <w:jc w:val="left"/>
        <w:outlineLvl w:val="9"/>
      </w:pPr>
      <w:r>
        <w:rPr>
          <w:rFonts w:ascii="Times New Roman" w:hAnsi="Times New Roman" w:eastAsia="Times New Roman" w:cs="Times New Roman"/>
          <w:b/>
          <w:i w:val="0"/>
          <w:color w:val="000000"/>
          <w:sz w:val="18"/>
          <w:u w:val="none"/>
        </w:rPr>
        <w:t>Variable blocks entered in the following order: core variables, body composition, clinical/metabolic factors, and PCI status. ΔR² depends on the prespecified order of entry and should not be interpreted as a causal mediation proportion.</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S3B Detailed cross-fitted reference-group mapping results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560"/>
        <w:gridCol w:w="1560"/>
        <w:gridCol w:w="1560"/>
        <w:gridCol w:w="1560"/>
        <w:gridCol w:w="1560"/>
        <w:gridCol w:w="1560"/>
      </w:tblGrid>
      <w:tr>
        <w:trPr>
          <w:tblHeader w:val="true"/>
          <w:cantSplit/>
        </w:trPr>
        <w:tc>
          <w:tcPr>
            <w:tcW w:type="dxa" w:w="1701"/>
            <w:vAlign w:val="center"/>
            <w:shd w:fill="E7E6E6"/>
          </w:tcPr>
          <w:p>
            <w:pPr>
              <w:spacing w:after="0"/>
              <w:jc w:val="center"/>
            </w:pPr>
            <w:r>
              <w:rPr>
                <w:rFonts w:ascii="Arial" w:hAnsi="Arial"/>
                <w:b/>
                <w:sz w:val="15"/>
              </w:rPr>
              <w:t>Outcome</w:t>
            </w:r>
          </w:p>
        </w:tc>
        <w:tc>
          <w:tcPr>
            <w:tcW w:type="dxa" w:w="1417"/>
            <w:vAlign w:val="center"/>
            <w:shd w:fill="E7E6E6"/>
          </w:tcPr>
          <w:p>
            <w:pPr>
              <w:spacing w:after="0"/>
              <w:jc w:val="center"/>
            </w:pPr>
            <w:r>
              <w:rPr>
                <w:rFonts w:ascii="Arial" w:hAnsi="Arial"/>
                <w:b/>
                <w:sz w:val="15"/>
              </w:rPr>
              <w:t>Mean residual: reference group</w:t>
            </w:r>
          </w:p>
        </w:tc>
        <w:tc>
          <w:tcPr>
            <w:tcW w:type="dxa" w:w="1417"/>
            <w:vAlign w:val="center"/>
            <w:shd w:fill="E7E6E6"/>
          </w:tcPr>
          <w:p>
            <w:pPr>
              <w:spacing w:after="0"/>
              <w:jc w:val="center"/>
            </w:pPr>
            <w:r>
              <w:rPr>
                <w:rFonts w:ascii="Arial" w:hAnsi="Arial"/>
                <w:b/>
                <w:sz w:val="15"/>
              </w:rPr>
              <w:t>Mean residual: PCI group</w:t>
            </w:r>
          </w:p>
        </w:tc>
        <w:tc>
          <w:tcPr>
            <w:tcW w:type="dxa" w:w="1417"/>
            <w:vAlign w:val="center"/>
            <w:shd w:fill="E7E6E6"/>
          </w:tcPr>
          <w:p>
            <w:pPr>
              <w:spacing w:after="0"/>
              <w:jc w:val="center"/>
            </w:pPr>
            <w:r>
              <w:rPr>
                <w:rFonts w:ascii="Arial" w:hAnsi="Arial"/>
                <w:b/>
                <w:sz w:val="15"/>
              </w:rPr>
              <w:t>Between-group residual difference</w:t>
            </w:r>
          </w:p>
        </w:tc>
        <w:tc>
          <w:tcPr>
            <w:tcW w:type="dxa" w:w="1757"/>
            <w:vAlign w:val="center"/>
            <w:shd w:fill="E7E6E6"/>
          </w:tcPr>
          <w:p>
            <w:pPr>
              <w:spacing w:after="0"/>
              <w:jc w:val="center"/>
            </w:pPr>
            <w:r>
              <w:rPr>
                <w:rFonts w:ascii="Arial" w:hAnsi="Arial"/>
                <w:b/>
                <w:sz w:val="15"/>
              </w:rPr>
              <w:t>Bootstrap 95% CI</w:t>
            </w:r>
          </w:p>
        </w:tc>
        <w:tc>
          <w:tcPr>
            <w:tcW w:type="dxa" w:w="737"/>
            <w:vAlign w:val="center"/>
            <w:shd w:fill="E7E6E6"/>
          </w:tcPr>
          <w:p>
            <w:pPr>
              <w:spacing w:after="0"/>
              <w:jc w:val="center"/>
            </w:pPr>
            <w:r>
              <w:rPr>
                <w:rFonts w:ascii="Arial" w:hAnsi="Arial"/>
                <w:b/>
                <w:sz w:val="15"/>
              </w:rPr>
              <w:t>P value</w:t>
            </w:r>
          </w:p>
        </w:tc>
      </w:tr>
      <w:tr>
        <w:trPr>
          <w:cantSplit/>
        </w:trPr>
        <w:tc>
          <w:tcPr>
            <w:tcW w:type="dxa" w:w="1701"/>
            <w:vAlign w:val="center"/>
          </w:tcPr>
          <w:p>
            <w:pPr>
              <w:spacing w:after="0"/>
            </w:pPr>
            <w:r>
              <w:rPr>
                <w:rFonts w:ascii="Arial" w:hAnsi="Arial"/>
                <w:b w:val="0"/>
                <w:sz w:val="15"/>
              </w:rPr>
              <w:t>Absolute VO₂peak</w:t>
            </w:r>
          </w:p>
        </w:tc>
        <w:tc>
          <w:tcPr>
            <w:tcW w:type="dxa" w:w="1417"/>
            <w:vAlign w:val="center"/>
          </w:tcPr>
          <w:p>
            <w:pPr>
              <w:spacing w:after="0"/>
            </w:pPr>
            <w:r>
              <w:rPr>
                <w:rFonts w:ascii="Arial" w:hAnsi="Arial"/>
                <w:b w:val="0"/>
                <w:sz w:val="15"/>
              </w:rPr>
              <w:t>−1.72</w:t>
            </w:r>
          </w:p>
        </w:tc>
        <w:tc>
          <w:tcPr>
            <w:tcW w:type="dxa" w:w="1417"/>
            <w:vAlign w:val="center"/>
          </w:tcPr>
          <w:p>
            <w:pPr>
              <w:spacing w:after="0"/>
            </w:pPr>
            <w:r>
              <w:rPr>
                <w:rFonts w:ascii="Arial" w:hAnsi="Arial"/>
                <w:b w:val="0"/>
                <w:sz w:val="15"/>
              </w:rPr>
              <w:t>−51.04</w:t>
            </w:r>
          </w:p>
        </w:tc>
        <w:tc>
          <w:tcPr>
            <w:tcW w:type="dxa" w:w="1417"/>
            <w:vAlign w:val="center"/>
          </w:tcPr>
          <w:p>
            <w:pPr>
              <w:spacing w:after="0"/>
            </w:pPr>
            <w:r>
              <w:rPr>
                <w:rFonts w:ascii="Arial" w:hAnsi="Arial"/>
                <w:b w:val="0"/>
                <w:sz w:val="15"/>
              </w:rPr>
              <w:t>−49.32</w:t>
            </w:r>
          </w:p>
        </w:tc>
        <w:tc>
          <w:tcPr>
            <w:tcW w:type="dxa" w:w="1757"/>
            <w:vAlign w:val="center"/>
          </w:tcPr>
          <w:p>
            <w:pPr>
              <w:spacing w:after="0"/>
            </w:pPr>
            <w:r>
              <w:rPr>
                <w:rFonts w:ascii="Arial" w:hAnsi="Arial"/>
                <w:b w:val="0"/>
                <w:sz w:val="15"/>
              </w:rPr>
              <w:t>−105.38 to 5.36</w:t>
            </w:r>
          </w:p>
        </w:tc>
        <w:tc>
          <w:tcPr>
            <w:tcW w:type="dxa" w:w="737"/>
            <w:vAlign w:val="center"/>
          </w:tcPr>
          <w:p>
            <w:pPr>
              <w:spacing w:after="0"/>
            </w:pPr>
            <w:r>
              <w:rPr>
                <w:rFonts w:ascii="Arial" w:hAnsi="Arial"/>
                <w:b w:val="0"/>
                <w:sz w:val="15"/>
              </w:rPr>
              <w:t>0.088</w:t>
            </w:r>
          </w:p>
        </w:tc>
      </w:tr>
      <w:tr>
        <w:trPr>
          <w:cantSplit/>
        </w:trPr>
        <w:tc>
          <w:tcPr>
            <w:tcW w:type="dxa" w:w="1701"/>
            <w:vAlign w:val="center"/>
          </w:tcPr>
          <w:p>
            <w:pPr>
              <w:spacing w:after="0"/>
            </w:pPr>
            <w:r>
              <w:rPr>
                <w:rFonts w:ascii="Arial" w:hAnsi="Arial"/>
                <w:b w:val="0"/>
                <w:sz w:val="15"/>
              </w:rPr>
              <w:t>VO₂peak/kg</w:t>
            </w:r>
          </w:p>
        </w:tc>
        <w:tc>
          <w:tcPr>
            <w:tcW w:type="dxa" w:w="1417"/>
            <w:vAlign w:val="center"/>
          </w:tcPr>
          <w:p>
            <w:pPr>
              <w:spacing w:after="0"/>
            </w:pPr>
            <w:r>
              <w:rPr>
                <w:rFonts w:ascii="Arial" w:hAnsi="Arial"/>
                <w:b w:val="0"/>
                <w:sz w:val="15"/>
              </w:rPr>
              <w:t>0.00</w:t>
            </w:r>
          </w:p>
        </w:tc>
        <w:tc>
          <w:tcPr>
            <w:tcW w:type="dxa" w:w="1417"/>
            <w:vAlign w:val="center"/>
          </w:tcPr>
          <w:p>
            <w:pPr>
              <w:spacing w:after="0"/>
            </w:pPr>
            <w:r>
              <w:rPr>
                <w:rFonts w:ascii="Arial" w:hAnsi="Arial"/>
                <w:b w:val="0"/>
                <w:sz w:val="15"/>
              </w:rPr>
              <w:t>−0.72</w:t>
            </w:r>
          </w:p>
        </w:tc>
        <w:tc>
          <w:tcPr>
            <w:tcW w:type="dxa" w:w="1417"/>
            <w:vAlign w:val="center"/>
          </w:tcPr>
          <w:p>
            <w:pPr>
              <w:spacing w:after="0"/>
            </w:pPr>
            <w:r>
              <w:rPr>
                <w:rFonts w:ascii="Arial" w:hAnsi="Arial"/>
                <w:b w:val="0"/>
                <w:sz w:val="15"/>
              </w:rPr>
              <w:t>−0.72</w:t>
            </w:r>
          </w:p>
        </w:tc>
        <w:tc>
          <w:tcPr>
            <w:tcW w:type="dxa" w:w="1757"/>
            <w:vAlign w:val="center"/>
          </w:tcPr>
          <w:p>
            <w:pPr>
              <w:spacing w:after="0"/>
            </w:pPr>
            <w:r>
              <w:rPr>
                <w:rFonts w:ascii="Arial" w:hAnsi="Arial"/>
                <w:b w:val="0"/>
                <w:sz w:val="15"/>
              </w:rPr>
              <w:t>−1.55 to 0.08</w:t>
            </w:r>
          </w:p>
        </w:tc>
        <w:tc>
          <w:tcPr>
            <w:tcW w:type="dxa" w:w="737"/>
            <w:vAlign w:val="center"/>
          </w:tcPr>
          <w:p>
            <w:pPr>
              <w:spacing w:after="0"/>
            </w:pPr>
            <w:r>
              <w:rPr>
                <w:rFonts w:ascii="Arial" w:hAnsi="Arial"/>
                <w:b w:val="0"/>
                <w:sz w:val="15"/>
              </w:rPr>
              <w:t>0.096</w:t>
            </w:r>
          </w:p>
        </w:tc>
      </w:tr>
      <w:tr>
        <w:trPr>
          <w:cantSplit/>
        </w:trPr>
        <w:tc>
          <w:tcPr>
            <w:tcW w:type="dxa" w:w="1701"/>
            <w:vAlign w:val="center"/>
          </w:tcPr>
          <w:p>
            <w:pPr>
              <w:spacing w:after="0"/>
            </w:pPr>
            <w:r>
              <w:rPr>
                <w:rFonts w:ascii="Arial" w:hAnsi="Arial"/>
                <w:b w:val="0"/>
                <w:sz w:val="15"/>
              </w:rPr>
              <w:t>pVO₂</w:t>
            </w:r>
          </w:p>
        </w:tc>
        <w:tc>
          <w:tcPr>
            <w:tcW w:type="dxa" w:w="1417"/>
            <w:vAlign w:val="center"/>
          </w:tcPr>
          <w:p>
            <w:pPr>
              <w:spacing w:after="0"/>
            </w:pPr>
            <w:r>
              <w:rPr>
                <w:rFonts w:ascii="Arial" w:hAnsi="Arial"/>
                <w:b w:val="0"/>
                <w:sz w:val="15"/>
              </w:rPr>
              <w:t>−0.02</w:t>
            </w:r>
          </w:p>
        </w:tc>
        <w:tc>
          <w:tcPr>
            <w:tcW w:type="dxa" w:w="1417"/>
            <w:vAlign w:val="center"/>
          </w:tcPr>
          <w:p>
            <w:pPr>
              <w:spacing w:after="0"/>
            </w:pPr>
            <w:r>
              <w:rPr>
                <w:rFonts w:ascii="Arial" w:hAnsi="Arial"/>
                <w:b w:val="0"/>
                <w:sz w:val="15"/>
              </w:rPr>
              <w:t>−4.19</w:t>
            </w:r>
          </w:p>
        </w:tc>
        <w:tc>
          <w:tcPr>
            <w:tcW w:type="dxa" w:w="1417"/>
            <w:vAlign w:val="center"/>
          </w:tcPr>
          <w:p>
            <w:pPr>
              <w:spacing w:after="0"/>
            </w:pPr>
            <w:r>
              <w:rPr>
                <w:rFonts w:ascii="Arial" w:hAnsi="Arial"/>
                <w:b w:val="0"/>
                <w:sz w:val="15"/>
              </w:rPr>
              <w:t>−4.16</w:t>
            </w:r>
          </w:p>
        </w:tc>
        <w:tc>
          <w:tcPr>
            <w:tcW w:type="dxa" w:w="1757"/>
            <w:vAlign w:val="center"/>
          </w:tcPr>
          <w:p>
            <w:pPr>
              <w:spacing w:after="0"/>
            </w:pPr>
            <w:r>
              <w:rPr>
                <w:rFonts w:ascii="Arial" w:hAnsi="Arial"/>
                <w:b w:val="0"/>
                <w:sz w:val="15"/>
              </w:rPr>
              <w:t>−7.45 to −1.00</w:t>
            </w:r>
          </w:p>
        </w:tc>
        <w:tc>
          <w:tcPr>
            <w:tcW w:type="dxa" w:w="737"/>
            <w:vAlign w:val="center"/>
          </w:tcPr>
          <w:p>
            <w:pPr>
              <w:spacing w:after="0"/>
            </w:pPr>
            <w:r>
              <w:rPr>
                <w:rFonts w:ascii="Arial" w:hAnsi="Arial"/>
                <w:b w:val="0"/>
                <w:sz w:val="15"/>
              </w:rPr>
              <w:t>0.012</w:t>
            </w:r>
          </w:p>
        </w:tc>
      </w:tr>
    </w:tbl>
    <w:p>
      <w:pPr>
        <w:spacing w:before="0" w:after="0" w:line="240" w:lineRule="auto"/>
        <w:jc w:val="left"/>
        <w:outlineLvl w:val="9"/>
      </w:pPr>
      <w:r>
        <w:rPr>
          <w:rFonts w:ascii="Times New Roman" w:hAnsi="Times New Roman" w:eastAsia="Times New Roman" w:cs="Times New Roman"/>
          <w:b/>
          <w:i w:val="0"/>
          <w:color w:val="000000"/>
          <w:sz w:val="18"/>
          <w:u w:val="none"/>
        </w:rPr>
        <w:t>Residuals are observed minus cross-fitted expected values. Models were fitted only in the reference group using repeated 10-fold cross-fitting, repeated 10 times; intervals and P values were obtained from 500 group-stratified bootstrap replicates.</w:t>
      </w:r>
    </w:p>
    <w:p>
      <w:pPr>
        <w:spacing w:before="120" w:after="80"/>
        <w:jc w:val="center"/>
        <w:outlineLvl w:val="9"/>
        <w:keepNext/>
      </w:pPr>
      <w:r>
        <w:rPr>
          <w:rFonts w:ascii="Arial" w:hAnsi="Arial"/>
          <w:color w:val="000000"/>
          <w:u w:val="none"/>
        </w:rPr>
        <w:drawing>
          <wp:inline xmlns:a="http://schemas.openxmlformats.org/drawingml/2006/main" xmlns:pic="http://schemas.openxmlformats.org/drawingml/2006/picture">
            <wp:extent cx="5577840" cy="2569567"/>
            <wp:docPr id="6" name="Picture 6"/>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577840" cy="2569567"/>
                    </a:xfrm>
                    <a:prstGeom prst="rect"/>
                  </pic:spPr>
                </pic:pic>
              </a:graphicData>
            </a:graphic>
          </wp:inline>
        </w:drawing>
      </w:r>
    </w:p>
    <w:p>
      <w:pPr>
        <w:keepNext/>
        <w:spacing w:before="160" w:after="60" w:line="480" w:lineRule="auto"/>
        <w:jc w:val="left"/>
        <w:outlineLvl w:val="9"/>
      </w:pPr>
      <w:r>
        <w:rPr>
          <w:rFonts w:ascii="Times New Roman" w:hAnsi="Times New Roman" w:eastAsia="Times New Roman" w:cs="Times New Roman"/>
          <w:b/>
          <w:i w:val="0"/>
          <w:sz w:val="24"/>
        </w:rPr>
        <w:t>Supplementary Figure S3 Sequential explained variance in cardiorespiratory fitness</w:t>
      </w:r>
    </w:p>
    <w:p>
      <w:pPr>
        <w:keepLines/>
        <w:spacing w:before="0" w:after="0" w:line="480" w:lineRule="auto"/>
        <w:jc w:val="left"/>
      </w:pPr>
      <w:r>
        <w:rPr>
          <w:rFonts w:ascii="Times New Roman" w:hAnsi="Times New Roman" w:eastAsia="Times New Roman" w:cs="Times New Roman"/>
          <w:b w:val="0"/>
          <w:i w:val="0"/>
          <w:sz w:val="24"/>
        </w:rPr>
        <w:t>Horizontal stacked bars show cumulative weighted R² as the core, body-composition, clinical/metabolic, and PCI-status blocks entered sequentially. Labels after the core block show the corresponding ΔR². This analysis is descriptive and depends on the order of variable entry. n=682.</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S4 Overlap-weighted sensitivity analysis using the expanded propensity score variable set</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737"/>
            <w:vAlign w:val="center"/>
            <w:shd w:fill="E7E6E6"/>
          </w:tcPr>
          <w:p>
            <w:pPr>
              <w:spacing w:after="0"/>
              <w:jc w:val="center"/>
            </w:pPr>
            <w:r>
              <w:rPr>
                <w:rFonts w:ascii="Arial" w:hAnsi="Arial"/>
                <w:b/>
                <w:sz w:val="16"/>
              </w:rPr>
              <w:t>n</w:t>
            </w:r>
          </w:p>
        </w:tc>
        <w:tc>
          <w:tcPr>
            <w:tcW w:type="dxa" w:w="1871"/>
            <w:vAlign w:val="center"/>
            <w:shd w:fill="E7E6E6"/>
          </w:tcPr>
          <w:p>
            <w:pPr>
              <w:spacing w:after="0"/>
              <w:jc w:val="center"/>
            </w:pPr>
            <w:r>
              <w:rPr>
                <w:rFonts w:ascii="Arial" w:hAnsi="Arial"/>
                <w:b/>
                <w:sz w:val="16"/>
              </w:rPr>
              <w:t>PCI–reference difference</w:t>
            </w:r>
          </w:p>
        </w:tc>
        <w:tc>
          <w:tcPr>
            <w:tcW w:type="dxa" w:w="2268"/>
            <w:vAlign w:val="center"/>
            <w:shd w:fill="E7E6E6"/>
          </w:tcPr>
          <w:p>
            <w:pPr>
              <w:spacing w:after="0"/>
              <w:jc w:val="center"/>
            </w:pPr>
            <w:r>
              <w:rPr>
                <w:rFonts w:ascii="Arial" w:hAnsi="Arial"/>
                <w:b/>
                <w:sz w:val="16"/>
              </w:rPr>
              <w:t>95% CI</w:t>
            </w:r>
          </w:p>
        </w:tc>
        <w:tc>
          <w:tcPr>
            <w:tcW w:type="dxa" w:w="850"/>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Absolute VO₂peak</w:t>
            </w:r>
          </w:p>
        </w:tc>
        <w:tc>
          <w:tcPr>
            <w:tcW w:type="dxa" w:w="737"/>
            <w:vAlign w:val="center"/>
          </w:tcPr>
          <w:p>
            <w:pPr>
              <w:spacing w:after="0"/>
            </w:pPr>
            <w:r>
              <w:rPr>
                <w:rFonts w:ascii="Arial" w:hAnsi="Arial"/>
                <w:b w:val="0"/>
                <w:sz w:val="16"/>
              </w:rPr>
              <w:t>682</w:t>
            </w:r>
          </w:p>
        </w:tc>
        <w:tc>
          <w:tcPr>
            <w:tcW w:type="dxa" w:w="1871"/>
            <w:vAlign w:val="center"/>
          </w:tcPr>
          <w:p>
            <w:pPr>
              <w:spacing w:after="0"/>
            </w:pPr>
            <w:r>
              <w:rPr>
                <w:rFonts w:ascii="Arial" w:hAnsi="Arial"/>
                <w:b w:val="0"/>
                <w:sz w:val="16"/>
              </w:rPr>
              <w:t>−60.15</w:t>
            </w:r>
          </w:p>
        </w:tc>
        <w:tc>
          <w:tcPr>
            <w:tcW w:type="dxa" w:w="2268"/>
            <w:vAlign w:val="center"/>
          </w:tcPr>
          <w:p>
            <w:pPr>
              <w:spacing w:after="0"/>
            </w:pPr>
            <w:r>
              <w:rPr>
                <w:rFonts w:ascii="Arial" w:hAnsi="Arial"/>
                <w:b w:val="0"/>
                <w:sz w:val="16"/>
              </w:rPr>
              <w:t>−110.41 to −9.90</w:t>
            </w:r>
          </w:p>
        </w:tc>
        <w:tc>
          <w:tcPr>
            <w:tcW w:type="dxa" w:w="850"/>
            <w:vAlign w:val="center"/>
          </w:tcPr>
          <w:p>
            <w:pPr>
              <w:spacing w:after="0"/>
            </w:pPr>
            <w:r>
              <w:rPr>
                <w:rFonts w:ascii="Arial" w:hAnsi="Arial"/>
                <w:b w:val="0"/>
                <w:sz w:val="16"/>
              </w:rPr>
              <w:t>0.019</w:t>
            </w:r>
          </w:p>
        </w:tc>
      </w:tr>
      <w:tr>
        <w:trPr>
          <w:cantSplit/>
        </w:trPr>
        <w:tc>
          <w:tcPr>
            <w:tcW w:type="dxa" w:w="1927"/>
            <w:vAlign w:val="center"/>
          </w:tcPr>
          <w:p>
            <w:pPr>
              <w:spacing w:after="0"/>
            </w:pPr>
            <w:r>
              <w:rPr>
                <w:rFonts w:ascii="Arial" w:hAnsi="Arial"/>
                <w:b w:val="0"/>
                <w:sz w:val="16"/>
              </w:rPr>
              <w:t>VO₂peak/kg</w:t>
            </w:r>
          </w:p>
        </w:tc>
        <w:tc>
          <w:tcPr>
            <w:tcW w:type="dxa" w:w="737"/>
            <w:vAlign w:val="center"/>
          </w:tcPr>
          <w:p>
            <w:pPr>
              <w:spacing w:after="0"/>
            </w:pPr>
            <w:r>
              <w:rPr>
                <w:rFonts w:ascii="Arial" w:hAnsi="Arial"/>
                <w:b w:val="0"/>
                <w:sz w:val="16"/>
              </w:rPr>
              <w:t>682</w:t>
            </w:r>
          </w:p>
        </w:tc>
        <w:tc>
          <w:tcPr>
            <w:tcW w:type="dxa" w:w="1871"/>
            <w:vAlign w:val="center"/>
          </w:tcPr>
          <w:p>
            <w:pPr>
              <w:spacing w:after="0"/>
            </w:pPr>
            <w:r>
              <w:rPr>
                <w:rFonts w:ascii="Arial" w:hAnsi="Arial"/>
                <w:b w:val="0"/>
                <w:sz w:val="16"/>
              </w:rPr>
              <w:t>−0.83</w:t>
            </w:r>
          </w:p>
        </w:tc>
        <w:tc>
          <w:tcPr>
            <w:tcW w:type="dxa" w:w="2268"/>
            <w:vAlign w:val="center"/>
          </w:tcPr>
          <w:p>
            <w:pPr>
              <w:spacing w:after="0"/>
            </w:pPr>
            <w:r>
              <w:rPr>
                <w:rFonts w:ascii="Arial" w:hAnsi="Arial"/>
                <w:b w:val="0"/>
                <w:sz w:val="16"/>
              </w:rPr>
              <w:t>−1.55 to −0.11</w:t>
            </w:r>
          </w:p>
        </w:tc>
        <w:tc>
          <w:tcPr>
            <w:tcW w:type="dxa" w:w="850"/>
            <w:vAlign w:val="center"/>
          </w:tcPr>
          <w:p>
            <w:pPr>
              <w:spacing w:after="0"/>
            </w:pPr>
            <w:r>
              <w:rPr>
                <w:rFonts w:ascii="Arial" w:hAnsi="Arial"/>
                <w:b w:val="0"/>
                <w:sz w:val="16"/>
              </w:rPr>
              <w:t>0.023</w:t>
            </w:r>
          </w:p>
        </w:tc>
      </w:tr>
      <w:tr>
        <w:trPr>
          <w:cantSplit/>
        </w:trPr>
        <w:tc>
          <w:tcPr>
            <w:tcW w:type="dxa" w:w="1927"/>
            <w:vAlign w:val="center"/>
          </w:tcPr>
          <w:p>
            <w:pPr>
              <w:spacing w:after="0"/>
            </w:pPr>
            <w:r>
              <w:rPr>
                <w:rFonts w:ascii="Arial" w:hAnsi="Arial"/>
                <w:b w:val="0"/>
                <w:sz w:val="16"/>
              </w:rPr>
              <w:t>pVO₂</w:t>
            </w:r>
          </w:p>
        </w:tc>
        <w:tc>
          <w:tcPr>
            <w:tcW w:type="dxa" w:w="737"/>
            <w:vAlign w:val="center"/>
          </w:tcPr>
          <w:p>
            <w:pPr>
              <w:spacing w:after="0"/>
            </w:pPr>
            <w:r>
              <w:rPr>
                <w:rFonts w:ascii="Arial" w:hAnsi="Arial"/>
                <w:b w:val="0"/>
                <w:sz w:val="16"/>
              </w:rPr>
              <w:t>682</w:t>
            </w:r>
          </w:p>
        </w:tc>
        <w:tc>
          <w:tcPr>
            <w:tcW w:type="dxa" w:w="1871"/>
            <w:vAlign w:val="center"/>
          </w:tcPr>
          <w:p>
            <w:pPr>
              <w:spacing w:after="0"/>
            </w:pPr>
            <w:r>
              <w:rPr>
                <w:rFonts w:ascii="Arial" w:hAnsi="Arial"/>
                <w:b w:val="0"/>
                <w:sz w:val="16"/>
              </w:rPr>
              <w:t>−4.28</w:t>
            </w:r>
          </w:p>
        </w:tc>
        <w:tc>
          <w:tcPr>
            <w:tcW w:type="dxa" w:w="2268"/>
            <w:vAlign w:val="center"/>
          </w:tcPr>
          <w:p>
            <w:pPr>
              <w:spacing w:after="0"/>
            </w:pPr>
            <w:r>
              <w:rPr>
                <w:rFonts w:ascii="Arial" w:hAnsi="Arial"/>
                <w:b w:val="0"/>
                <w:sz w:val="16"/>
              </w:rPr>
              <w:t>−7.14 to −1.43</w:t>
            </w:r>
          </w:p>
        </w:tc>
        <w:tc>
          <w:tcPr>
            <w:tcW w:type="dxa" w:w="850"/>
            <w:vAlign w:val="center"/>
          </w:tcPr>
          <w:p>
            <w:pPr>
              <w:spacing w:after="0"/>
            </w:pPr>
            <w:r>
              <w:rPr>
                <w:rFonts w:ascii="Arial" w:hAnsi="Arial"/>
                <w:b w:val="0"/>
                <w:sz w:val="16"/>
              </w:rPr>
              <w:t>0.003</w:t>
            </w:r>
          </w:p>
        </w:tc>
      </w:tr>
    </w:tbl>
    <w:p>
      <w:pPr>
        <w:spacing w:before="0" w:after="0" w:line="240" w:lineRule="auto"/>
        <w:jc w:val="left"/>
        <w:outlineLvl w:val="9"/>
      </w:pPr>
      <w:r>
        <w:rPr>
          <w:rFonts w:ascii="Times New Roman" w:hAnsi="Times New Roman" w:eastAsia="Times New Roman" w:cs="Times New Roman"/>
          <w:b/>
          <w:i w:val="0"/>
          <w:color w:val="000000"/>
          <w:sz w:val="18"/>
          <w:u w:val="none"/>
        </w:rPr>
        <w:t>The expanded propensity score model added hemoglobin, eGFRMDRD, and fasting blood glucose to the six core variables; effective sample size was 461.3.</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S5 Cycle-ergometer-only sensitivity analysis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737"/>
            <w:vAlign w:val="center"/>
            <w:shd w:fill="E7E6E6"/>
          </w:tcPr>
          <w:p>
            <w:pPr>
              <w:spacing w:after="0"/>
              <w:jc w:val="center"/>
            </w:pPr>
            <w:r>
              <w:rPr>
                <w:rFonts w:ascii="Arial" w:hAnsi="Arial"/>
                <w:b/>
                <w:sz w:val="16"/>
              </w:rPr>
              <w:t>n</w:t>
            </w:r>
          </w:p>
        </w:tc>
        <w:tc>
          <w:tcPr>
            <w:tcW w:type="dxa" w:w="1871"/>
            <w:vAlign w:val="center"/>
            <w:shd w:fill="E7E6E6"/>
          </w:tcPr>
          <w:p>
            <w:pPr>
              <w:spacing w:after="0"/>
              <w:jc w:val="center"/>
            </w:pPr>
            <w:r>
              <w:rPr>
                <w:rFonts w:ascii="Arial" w:hAnsi="Arial"/>
                <w:b/>
                <w:sz w:val="16"/>
              </w:rPr>
              <w:t>PCI–reference difference</w:t>
            </w:r>
          </w:p>
        </w:tc>
        <w:tc>
          <w:tcPr>
            <w:tcW w:type="dxa" w:w="2268"/>
            <w:vAlign w:val="center"/>
            <w:shd w:fill="E7E6E6"/>
          </w:tcPr>
          <w:p>
            <w:pPr>
              <w:spacing w:after="0"/>
              <w:jc w:val="center"/>
            </w:pPr>
            <w:r>
              <w:rPr>
                <w:rFonts w:ascii="Arial" w:hAnsi="Arial"/>
                <w:b/>
                <w:sz w:val="16"/>
              </w:rPr>
              <w:t>95% CI</w:t>
            </w:r>
          </w:p>
        </w:tc>
        <w:tc>
          <w:tcPr>
            <w:tcW w:type="dxa" w:w="850"/>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Absolute VO₂peak</w:t>
            </w:r>
          </w:p>
        </w:tc>
        <w:tc>
          <w:tcPr>
            <w:tcW w:type="dxa" w:w="737"/>
            <w:vAlign w:val="center"/>
          </w:tcPr>
          <w:p>
            <w:pPr>
              <w:spacing w:after="0"/>
            </w:pPr>
            <w:r>
              <w:rPr>
                <w:rFonts w:ascii="Arial" w:hAnsi="Arial"/>
                <w:b w:val="0"/>
                <w:sz w:val="16"/>
              </w:rPr>
              <w:t>588</w:t>
            </w:r>
          </w:p>
        </w:tc>
        <w:tc>
          <w:tcPr>
            <w:tcW w:type="dxa" w:w="1871"/>
            <w:vAlign w:val="center"/>
          </w:tcPr>
          <w:p>
            <w:pPr>
              <w:spacing w:after="0"/>
            </w:pPr>
            <w:r>
              <w:rPr>
                <w:rFonts w:ascii="Arial" w:hAnsi="Arial"/>
                <w:b w:val="0"/>
                <w:sz w:val="16"/>
              </w:rPr>
              <w:t>−32.51</w:t>
            </w:r>
          </w:p>
        </w:tc>
        <w:tc>
          <w:tcPr>
            <w:tcW w:type="dxa" w:w="2268"/>
            <w:vAlign w:val="center"/>
          </w:tcPr>
          <w:p>
            <w:pPr>
              <w:spacing w:after="0"/>
            </w:pPr>
            <w:r>
              <w:rPr>
                <w:rFonts w:ascii="Arial" w:hAnsi="Arial"/>
                <w:b w:val="0"/>
                <w:sz w:val="16"/>
              </w:rPr>
              <w:t>−83.50 to 18.47</w:t>
            </w:r>
          </w:p>
        </w:tc>
        <w:tc>
          <w:tcPr>
            <w:tcW w:type="dxa" w:w="850"/>
            <w:vAlign w:val="center"/>
          </w:tcPr>
          <w:p>
            <w:pPr>
              <w:spacing w:after="0"/>
            </w:pPr>
            <w:r>
              <w:rPr>
                <w:rFonts w:ascii="Arial" w:hAnsi="Arial"/>
                <w:b w:val="0"/>
                <w:sz w:val="16"/>
              </w:rPr>
              <w:t>0.211</w:t>
            </w:r>
          </w:p>
        </w:tc>
      </w:tr>
      <w:tr>
        <w:trPr>
          <w:cantSplit/>
        </w:trPr>
        <w:tc>
          <w:tcPr>
            <w:tcW w:type="dxa" w:w="1927"/>
            <w:vAlign w:val="center"/>
          </w:tcPr>
          <w:p>
            <w:pPr>
              <w:spacing w:after="0"/>
            </w:pPr>
            <w:r>
              <w:rPr>
                <w:rFonts w:ascii="Arial" w:hAnsi="Arial"/>
                <w:b w:val="0"/>
                <w:sz w:val="16"/>
              </w:rPr>
              <w:t>VO₂peak/kg</w:t>
            </w:r>
          </w:p>
        </w:tc>
        <w:tc>
          <w:tcPr>
            <w:tcW w:type="dxa" w:w="737"/>
            <w:vAlign w:val="center"/>
          </w:tcPr>
          <w:p>
            <w:pPr>
              <w:spacing w:after="0"/>
            </w:pPr>
            <w:r>
              <w:rPr>
                <w:rFonts w:ascii="Arial" w:hAnsi="Arial"/>
                <w:b w:val="0"/>
                <w:sz w:val="16"/>
              </w:rPr>
              <w:t>588</w:t>
            </w:r>
          </w:p>
        </w:tc>
        <w:tc>
          <w:tcPr>
            <w:tcW w:type="dxa" w:w="1871"/>
            <w:vAlign w:val="center"/>
          </w:tcPr>
          <w:p>
            <w:pPr>
              <w:spacing w:after="0"/>
            </w:pPr>
            <w:r>
              <w:rPr>
                <w:rFonts w:ascii="Arial" w:hAnsi="Arial"/>
                <w:b w:val="0"/>
                <w:sz w:val="16"/>
              </w:rPr>
              <w:t>−0.45</w:t>
            </w:r>
          </w:p>
        </w:tc>
        <w:tc>
          <w:tcPr>
            <w:tcW w:type="dxa" w:w="2268"/>
            <w:vAlign w:val="center"/>
          </w:tcPr>
          <w:p>
            <w:pPr>
              <w:spacing w:after="0"/>
            </w:pPr>
            <w:r>
              <w:rPr>
                <w:rFonts w:ascii="Arial" w:hAnsi="Arial"/>
                <w:b w:val="0"/>
                <w:sz w:val="16"/>
              </w:rPr>
              <w:t>−1.20 to 0.30</w:t>
            </w:r>
          </w:p>
        </w:tc>
        <w:tc>
          <w:tcPr>
            <w:tcW w:type="dxa" w:w="850"/>
            <w:vAlign w:val="center"/>
          </w:tcPr>
          <w:p>
            <w:pPr>
              <w:spacing w:after="0"/>
            </w:pPr>
            <w:r>
              <w:rPr>
                <w:rFonts w:ascii="Arial" w:hAnsi="Arial"/>
                <w:b w:val="0"/>
                <w:sz w:val="16"/>
              </w:rPr>
              <w:t>0.240</w:t>
            </w:r>
          </w:p>
        </w:tc>
      </w:tr>
      <w:tr>
        <w:trPr>
          <w:cantSplit/>
        </w:trPr>
        <w:tc>
          <w:tcPr>
            <w:tcW w:type="dxa" w:w="1927"/>
            <w:vAlign w:val="center"/>
          </w:tcPr>
          <w:p>
            <w:pPr>
              <w:spacing w:after="0"/>
            </w:pPr>
            <w:r>
              <w:rPr>
                <w:rFonts w:ascii="Arial" w:hAnsi="Arial"/>
                <w:b w:val="0"/>
                <w:sz w:val="16"/>
              </w:rPr>
              <w:t>pVO₂</w:t>
            </w:r>
          </w:p>
        </w:tc>
        <w:tc>
          <w:tcPr>
            <w:tcW w:type="dxa" w:w="737"/>
            <w:vAlign w:val="center"/>
          </w:tcPr>
          <w:p>
            <w:pPr>
              <w:spacing w:after="0"/>
            </w:pPr>
            <w:r>
              <w:rPr>
                <w:rFonts w:ascii="Arial" w:hAnsi="Arial"/>
                <w:b w:val="0"/>
                <w:sz w:val="16"/>
              </w:rPr>
              <w:t>588</w:t>
            </w:r>
          </w:p>
        </w:tc>
        <w:tc>
          <w:tcPr>
            <w:tcW w:type="dxa" w:w="1871"/>
            <w:vAlign w:val="center"/>
          </w:tcPr>
          <w:p>
            <w:pPr>
              <w:spacing w:after="0"/>
            </w:pPr>
            <w:r>
              <w:rPr>
                <w:rFonts w:ascii="Arial" w:hAnsi="Arial"/>
                <w:b w:val="0"/>
                <w:sz w:val="16"/>
              </w:rPr>
              <w:t>−3.44</w:t>
            </w:r>
          </w:p>
        </w:tc>
        <w:tc>
          <w:tcPr>
            <w:tcW w:type="dxa" w:w="2268"/>
            <w:vAlign w:val="center"/>
          </w:tcPr>
          <w:p>
            <w:pPr>
              <w:spacing w:after="0"/>
            </w:pPr>
            <w:r>
              <w:rPr>
                <w:rFonts w:ascii="Arial" w:hAnsi="Arial"/>
                <w:b w:val="0"/>
                <w:sz w:val="16"/>
              </w:rPr>
              <w:t>−6.53 to −0.36</w:t>
            </w:r>
          </w:p>
        </w:tc>
        <w:tc>
          <w:tcPr>
            <w:tcW w:type="dxa" w:w="850"/>
            <w:vAlign w:val="center"/>
          </w:tcPr>
          <w:p>
            <w:pPr>
              <w:spacing w:after="0"/>
            </w:pPr>
            <w:r>
              <w:rPr>
                <w:rFonts w:ascii="Arial" w:hAnsi="Arial"/>
                <w:b w:val="0"/>
                <w:sz w:val="16"/>
              </w:rPr>
              <w:t>0.029</w:t>
            </w:r>
          </w:p>
        </w:tc>
      </w:tr>
    </w:tbl>
    <w:p>
      <w:pPr>
        <w:spacing w:before="0" w:after="0" w:line="240" w:lineRule="auto"/>
        <w:jc w:val="left"/>
        <w:outlineLvl w:val="9"/>
      </w:pPr>
      <w:r>
        <w:rPr>
          <w:rFonts w:ascii="Times New Roman" w:hAnsi="Times New Roman" w:eastAsia="Times New Roman" w:cs="Times New Roman"/>
          <w:b/>
          <w:i w:val="0"/>
          <w:color w:val="000000"/>
          <w:sz w:val="18"/>
          <w:u w:val="none"/>
        </w:rPr>
        <w:t>This analysis included 588 participants who completed CPET using an individualized ramp cycle-ergometer protocol; effective sample size was 390.8.</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S6 Sensitivity analyses using alternative body-composition measures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560"/>
        <w:gridCol w:w="1560"/>
        <w:gridCol w:w="1560"/>
        <w:gridCol w:w="1560"/>
        <w:gridCol w:w="1560"/>
        <w:gridCol w:w="1560"/>
      </w:tblGrid>
      <w:tr>
        <w:trPr>
          <w:tblHeader w:val="true"/>
          <w:cantSplit/>
        </w:trPr>
        <w:tc>
          <w:tcPr>
            <w:tcW w:type="dxa" w:w="1927"/>
            <w:vAlign w:val="center"/>
            <w:shd w:fill="E7E6E6"/>
          </w:tcPr>
          <w:p>
            <w:pPr>
              <w:spacing w:after="0"/>
              <w:jc w:val="center"/>
            </w:pPr>
            <w:r>
              <w:rPr>
                <w:rFonts w:ascii="Arial" w:hAnsi="Arial"/>
                <w:b/>
                <w:sz w:val="15"/>
              </w:rPr>
              <w:t>Analysis</w:t>
            </w:r>
          </w:p>
        </w:tc>
        <w:tc>
          <w:tcPr>
            <w:tcW w:type="dxa" w:w="1530"/>
            <w:vAlign w:val="center"/>
            <w:shd w:fill="E7E6E6"/>
          </w:tcPr>
          <w:p>
            <w:pPr>
              <w:spacing w:after="0"/>
              <w:jc w:val="center"/>
            </w:pPr>
            <w:r>
              <w:rPr>
                <w:rFonts w:ascii="Arial" w:hAnsi="Arial"/>
                <w:b/>
                <w:sz w:val="15"/>
              </w:rPr>
              <w:t>Outcome</w:t>
            </w:r>
          </w:p>
        </w:tc>
        <w:tc>
          <w:tcPr>
            <w:tcW w:type="dxa" w:w="567"/>
            <w:vAlign w:val="center"/>
            <w:shd w:fill="E7E6E6"/>
          </w:tcPr>
          <w:p>
            <w:pPr>
              <w:spacing w:after="0"/>
              <w:jc w:val="center"/>
            </w:pPr>
            <w:r>
              <w:rPr>
                <w:rFonts w:ascii="Arial" w:hAnsi="Arial"/>
                <w:b/>
                <w:sz w:val="15"/>
              </w:rPr>
              <w:t>n</w:t>
            </w:r>
          </w:p>
        </w:tc>
        <w:tc>
          <w:tcPr>
            <w:tcW w:type="dxa" w:w="1530"/>
            <w:vAlign w:val="center"/>
            <w:shd w:fill="E7E6E6"/>
          </w:tcPr>
          <w:p>
            <w:pPr>
              <w:spacing w:after="0"/>
              <w:jc w:val="center"/>
            </w:pPr>
            <w:r>
              <w:rPr>
                <w:rFonts w:ascii="Arial" w:hAnsi="Arial"/>
                <w:b/>
                <w:sz w:val="15"/>
              </w:rPr>
              <w:t>PCI–reference difference</w:t>
            </w:r>
          </w:p>
        </w:tc>
        <w:tc>
          <w:tcPr>
            <w:tcW w:type="dxa" w:w="1927"/>
            <w:vAlign w:val="center"/>
            <w:shd w:fill="E7E6E6"/>
          </w:tcPr>
          <w:p>
            <w:pPr>
              <w:spacing w:after="0"/>
              <w:jc w:val="center"/>
            </w:pPr>
            <w:r>
              <w:rPr>
                <w:rFonts w:ascii="Arial" w:hAnsi="Arial"/>
                <w:b/>
                <w:sz w:val="15"/>
              </w:rPr>
              <w:t>95% CI</w:t>
            </w:r>
          </w:p>
        </w:tc>
        <w:tc>
          <w:tcPr>
            <w:tcW w:type="dxa" w:w="737"/>
            <w:vAlign w:val="center"/>
            <w:shd w:fill="E7E6E6"/>
          </w:tcPr>
          <w:p>
            <w:pPr>
              <w:spacing w:after="0"/>
              <w:jc w:val="center"/>
            </w:pPr>
            <w:r>
              <w:rPr>
                <w:rFonts w:ascii="Arial" w:hAnsi="Arial"/>
                <w:b/>
                <w:sz w:val="15"/>
              </w:rPr>
              <w:t>P value</w:t>
            </w:r>
          </w:p>
        </w:tc>
      </w:tr>
      <w:tr>
        <w:trPr>
          <w:cantSplit/>
        </w:trPr>
        <w:tc>
          <w:tcPr>
            <w:tcW w:type="dxa" w:w="1927"/>
            <w:vAlign w:val="center"/>
          </w:tcPr>
          <w:p>
            <w:pPr>
              <w:spacing w:after="0"/>
            </w:pPr>
            <w:r>
              <w:rPr>
                <w:rFonts w:ascii="Arial" w:hAnsi="Arial"/>
                <w:b w:val="0"/>
                <w:sz w:val="15"/>
              </w:rPr>
              <w:t>ASMI/FMI for relative outcomes</w:t>
            </w:r>
          </w:p>
        </w:tc>
        <w:tc>
          <w:tcPr>
            <w:tcW w:type="dxa" w:w="1530"/>
            <w:vAlign w:val="center"/>
          </w:tcPr>
          <w:p>
            <w:pPr>
              <w:spacing w:after="0"/>
            </w:pPr>
            <w:r>
              <w:rPr>
                <w:rFonts w:ascii="Arial" w:hAnsi="Arial"/>
                <w:b w:val="0"/>
                <w:sz w:val="15"/>
              </w:rPr>
              <w:t>Absolute VO₂peak</w:t>
            </w:r>
          </w:p>
        </w:tc>
        <w:tc>
          <w:tcPr>
            <w:tcW w:type="dxa" w:w="567"/>
            <w:vAlign w:val="center"/>
          </w:tcPr>
          <w:p>
            <w:pPr>
              <w:spacing w:after="0"/>
            </w:pPr>
            <w:r>
              <w:rPr>
                <w:rFonts w:ascii="Arial" w:hAnsi="Arial"/>
                <w:b w:val="0"/>
                <w:sz w:val="15"/>
              </w:rPr>
              <w:t>682</w:t>
            </w:r>
          </w:p>
        </w:tc>
        <w:tc>
          <w:tcPr>
            <w:tcW w:type="dxa" w:w="1530"/>
            <w:vAlign w:val="center"/>
          </w:tcPr>
          <w:p>
            <w:pPr>
              <w:spacing w:after="0"/>
            </w:pPr>
            <w:r>
              <w:rPr>
                <w:rFonts w:ascii="Arial" w:hAnsi="Arial"/>
                <w:b w:val="0"/>
                <w:sz w:val="15"/>
              </w:rPr>
              <w:t>−59.69</w:t>
            </w:r>
          </w:p>
        </w:tc>
        <w:tc>
          <w:tcPr>
            <w:tcW w:type="dxa" w:w="1927"/>
            <w:vAlign w:val="center"/>
          </w:tcPr>
          <w:p>
            <w:pPr>
              <w:spacing w:after="0"/>
            </w:pPr>
            <w:r>
              <w:rPr>
                <w:rFonts w:ascii="Arial" w:hAnsi="Arial"/>
                <w:b w:val="0"/>
                <w:sz w:val="15"/>
              </w:rPr>
              <w:t>−109.65 to −9.74</w:t>
            </w:r>
          </w:p>
        </w:tc>
        <w:tc>
          <w:tcPr>
            <w:tcW w:type="dxa" w:w="737"/>
            <w:vAlign w:val="center"/>
          </w:tcPr>
          <w:p>
            <w:pPr>
              <w:spacing w:after="0"/>
            </w:pPr>
            <w:r>
              <w:rPr>
                <w:rFonts w:ascii="Arial" w:hAnsi="Arial"/>
                <w:b w:val="0"/>
                <w:sz w:val="15"/>
              </w:rPr>
              <w:t>0.019</w:t>
            </w:r>
          </w:p>
        </w:tc>
      </w:tr>
      <w:tr>
        <w:trPr>
          <w:cantSplit/>
        </w:trPr>
        <w:tc>
          <w:tcPr>
            <w:tcW w:type="dxa" w:w="1927"/>
            <w:vAlign w:val="center"/>
          </w:tcPr>
          <w:p>
            <w:pPr>
              <w:spacing w:after="0"/>
            </w:pPr>
            <w:r>
              <w:rPr>
                <w:rFonts w:ascii="Arial" w:hAnsi="Arial"/>
                <w:b w:val="0"/>
                <w:sz w:val="15"/>
              </w:rPr>
              <w:t>ASMI/FMI for relative outcomes</w:t>
            </w:r>
          </w:p>
        </w:tc>
        <w:tc>
          <w:tcPr>
            <w:tcW w:type="dxa" w:w="1530"/>
            <w:vAlign w:val="center"/>
          </w:tcPr>
          <w:p>
            <w:pPr>
              <w:spacing w:after="0"/>
            </w:pPr>
            <w:r>
              <w:rPr>
                <w:rFonts w:ascii="Arial" w:hAnsi="Arial"/>
                <w:b w:val="0"/>
                <w:sz w:val="15"/>
              </w:rPr>
              <w:t>VO₂peak/kg</w:t>
            </w:r>
          </w:p>
        </w:tc>
        <w:tc>
          <w:tcPr>
            <w:tcW w:type="dxa" w:w="567"/>
            <w:vAlign w:val="center"/>
          </w:tcPr>
          <w:p>
            <w:pPr>
              <w:spacing w:after="0"/>
            </w:pPr>
            <w:r>
              <w:rPr>
                <w:rFonts w:ascii="Arial" w:hAnsi="Arial"/>
                <w:b w:val="0"/>
                <w:sz w:val="15"/>
              </w:rPr>
              <w:t>682</w:t>
            </w:r>
          </w:p>
        </w:tc>
        <w:tc>
          <w:tcPr>
            <w:tcW w:type="dxa" w:w="1530"/>
            <w:vAlign w:val="center"/>
          </w:tcPr>
          <w:p>
            <w:pPr>
              <w:spacing w:after="0"/>
            </w:pPr>
            <w:r>
              <w:rPr>
                <w:rFonts w:ascii="Arial" w:hAnsi="Arial"/>
                <w:b w:val="0"/>
                <w:sz w:val="15"/>
              </w:rPr>
              <w:t>−0.79</w:t>
            </w:r>
          </w:p>
        </w:tc>
        <w:tc>
          <w:tcPr>
            <w:tcW w:type="dxa" w:w="1927"/>
            <w:vAlign w:val="center"/>
          </w:tcPr>
          <w:p>
            <w:pPr>
              <w:spacing w:after="0"/>
            </w:pPr>
            <w:r>
              <w:rPr>
                <w:rFonts w:ascii="Arial" w:hAnsi="Arial"/>
                <w:b w:val="0"/>
                <w:sz w:val="15"/>
              </w:rPr>
              <w:t>−1.52 to −0.07</w:t>
            </w:r>
          </w:p>
        </w:tc>
        <w:tc>
          <w:tcPr>
            <w:tcW w:type="dxa" w:w="737"/>
            <w:vAlign w:val="center"/>
          </w:tcPr>
          <w:p>
            <w:pPr>
              <w:spacing w:after="0"/>
            </w:pPr>
            <w:r>
              <w:rPr>
                <w:rFonts w:ascii="Arial" w:hAnsi="Arial"/>
                <w:b w:val="0"/>
                <w:sz w:val="15"/>
              </w:rPr>
              <w:t>0.031</w:t>
            </w:r>
          </w:p>
        </w:tc>
      </w:tr>
      <w:tr>
        <w:trPr>
          <w:cantSplit/>
        </w:trPr>
        <w:tc>
          <w:tcPr>
            <w:tcW w:type="dxa" w:w="1927"/>
            <w:vAlign w:val="center"/>
          </w:tcPr>
          <w:p>
            <w:pPr>
              <w:spacing w:after="0"/>
            </w:pPr>
            <w:r>
              <w:rPr>
                <w:rFonts w:ascii="Arial" w:hAnsi="Arial"/>
                <w:b w:val="0"/>
                <w:sz w:val="15"/>
              </w:rPr>
              <w:t>ASMI/FMI for relative outcomes</w:t>
            </w:r>
          </w:p>
        </w:tc>
        <w:tc>
          <w:tcPr>
            <w:tcW w:type="dxa" w:w="1530"/>
            <w:vAlign w:val="center"/>
          </w:tcPr>
          <w:p>
            <w:pPr>
              <w:spacing w:after="0"/>
            </w:pPr>
            <w:r>
              <w:rPr>
                <w:rFonts w:ascii="Arial" w:hAnsi="Arial"/>
                <w:b w:val="0"/>
                <w:sz w:val="15"/>
              </w:rPr>
              <w:t>pVO₂</w:t>
            </w:r>
          </w:p>
        </w:tc>
        <w:tc>
          <w:tcPr>
            <w:tcW w:type="dxa" w:w="567"/>
            <w:vAlign w:val="center"/>
          </w:tcPr>
          <w:p>
            <w:pPr>
              <w:spacing w:after="0"/>
            </w:pPr>
            <w:r>
              <w:rPr>
                <w:rFonts w:ascii="Arial" w:hAnsi="Arial"/>
                <w:b w:val="0"/>
                <w:sz w:val="15"/>
              </w:rPr>
              <w:t>682</w:t>
            </w:r>
          </w:p>
        </w:tc>
        <w:tc>
          <w:tcPr>
            <w:tcW w:type="dxa" w:w="1530"/>
            <w:vAlign w:val="center"/>
          </w:tcPr>
          <w:p>
            <w:pPr>
              <w:spacing w:after="0"/>
            </w:pPr>
            <w:r>
              <w:rPr>
                <w:rFonts w:ascii="Arial" w:hAnsi="Arial"/>
                <w:b w:val="0"/>
                <w:sz w:val="15"/>
              </w:rPr>
              <w:t>−4.21</w:t>
            </w:r>
          </w:p>
        </w:tc>
        <w:tc>
          <w:tcPr>
            <w:tcW w:type="dxa" w:w="1927"/>
            <w:vAlign w:val="center"/>
          </w:tcPr>
          <w:p>
            <w:pPr>
              <w:spacing w:after="0"/>
            </w:pPr>
            <w:r>
              <w:rPr>
                <w:rFonts w:ascii="Arial" w:hAnsi="Arial"/>
                <w:b w:val="0"/>
                <w:sz w:val="15"/>
              </w:rPr>
              <w:t>−7.08 to −1.35</w:t>
            </w:r>
          </w:p>
        </w:tc>
        <w:tc>
          <w:tcPr>
            <w:tcW w:type="dxa" w:w="737"/>
            <w:vAlign w:val="center"/>
          </w:tcPr>
          <w:p>
            <w:pPr>
              <w:spacing w:after="0"/>
            </w:pPr>
            <w:r>
              <w:rPr>
                <w:rFonts w:ascii="Arial" w:hAnsi="Arial"/>
                <w:b w:val="0"/>
                <w:sz w:val="15"/>
              </w:rPr>
              <w:t>0.004</w:t>
            </w:r>
          </w:p>
        </w:tc>
      </w:tr>
      <w:tr>
        <w:trPr>
          <w:cantSplit/>
        </w:trPr>
        <w:tc>
          <w:tcPr>
            <w:tcW w:type="dxa" w:w="1927"/>
            <w:vAlign w:val="center"/>
          </w:tcPr>
          <w:p>
            <w:pPr>
              <w:spacing w:after="0"/>
            </w:pPr>
            <w:r>
              <w:rPr>
                <w:rFonts w:ascii="Arial" w:hAnsi="Arial"/>
                <w:b w:val="0"/>
                <w:sz w:val="15"/>
              </w:rPr>
              <w:t>SMM/BFM for all outcomes</w:t>
            </w:r>
          </w:p>
        </w:tc>
        <w:tc>
          <w:tcPr>
            <w:tcW w:type="dxa" w:w="1530"/>
            <w:vAlign w:val="center"/>
          </w:tcPr>
          <w:p>
            <w:pPr>
              <w:spacing w:after="0"/>
            </w:pPr>
            <w:r>
              <w:rPr>
                <w:rFonts w:ascii="Arial" w:hAnsi="Arial"/>
                <w:b w:val="0"/>
                <w:sz w:val="15"/>
              </w:rPr>
              <w:t>Absolute VO₂peak</w:t>
            </w:r>
          </w:p>
        </w:tc>
        <w:tc>
          <w:tcPr>
            <w:tcW w:type="dxa" w:w="567"/>
            <w:vAlign w:val="center"/>
          </w:tcPr>
          <w:p>
            <w:pPr>
              <w:spacing w:after="0"/>
            </w:pPr>
            <w:r>
              <w:rPr>
                <w:rFonts w:ascii="Arial" w:hAnsi="Arial"/>
                <w:b w:val="0"/>
                <w:sz w:val="15"/>
              </w:rPr>
              <w:t>682</w:t>
            </w:r>
          </w:p>
        </w:tc>
        <w:tc>
          <w:tcPr>
            <w:tcW w:type="dxa" w:w="1530"/>
            <w:vAlign w:val="center"/>
          </w:tcPr>
          <w:p>
            <w:pPr>
              <w:spacing w:after="0"/>
            </w:pPr>
            <w:r>
              <w:rPr>
                <w:rFonts w:ascii="Arial" w:hAnsi="Arial"/>
                <w:b w:val="0"/>
                <w:sz w:val="15"/>
              </w:rPr>
              <w:t>−59.69</w:t>
            </w:r>
          </w:p>
        </w:tc>
        <w:tc>
          <w:tcPr>
            <w:tcW w:type="dxa" w:w="1927"/>
            <w:vAlign w:val="center"/>
          </w:tcPr>
          <w:p>
            <w:pPr>
              <w:spacing w:after="0"/>
            </w:pPr>
            <w:r>
              <w:rPr>
                <w:rFonts w:ascii="Arial" w:hAnsi="Arial"/>
                <w:b w:val="0"/>
                <w:sz w:val="15"/>
              </w:rPr>
              <w:t>−109.65 to −9.74</w:t>
            </w:r>
          </w:p>
        </w:tc>
        <w:tc>
          <w:tcPr>
            <w:tcW w:type="dxa" w:w="737"/>
            <w:vAlign w:val="center"/>
          </w:tcPr>
          <w:p>
            <w:pPr>
              <w:spacing w:after="0"/>
            </w:pPr>
            <w:r>
              <w:rPr>
                <w:rFonts w:ascii="Arial" w:hAnsi="Arial"/>
                <w:b w:val="0"/>
                <w:sz w:val="15"/>
              </w:rPr>
              <w:t>0.019</w:t>
            </w:r>
          </w:p>
        </w:tc>
      </w:tr>
      <w:tr>
        <w:trPr>
          <w:cantSplit/>
        </w:trPr>
        <w:tc>
          <w:tcPr>
            <w:tcW w:type="dxa" w:w="1927"/>
            <w:vAlign w:val="center"/>
          </w:tcPr>
          <w:p>
            <w:pPr>
              <w:spacing w:after="0"/>
            </w:pPr>
            <w:r>
              <w:rPr>
                <w:rFonts w:ascii="Arial" w:hAnsi="Arial"/>
                <w:b w:val="0"/>
                <w:sz w:val="15"/>
              </w:rPr>
              <w:t>SMM/BFM for all outcomes</w:t>
            </w:r>
          </w:p>
        </w:tc>
        <w:tc>
          <w:tcPr>
            <w:tcW w:type="dxa" w:w="1530"/>
            <w:vAlign w:val="center"/>
          </w:tcPr>
          <w:p>
            <w:pPr>
              <w:spacing w:after="0"/>
            </w:pPr>
            <w:r>
              <w:rPr>
                <w:rFonts w:ascii="Arial" w:hAnsi="Arial"/>
                <w:b w:val="0"/>
                <w:sz w:val="15"/>
              </w:rPr>
              <w:t>VO₂peak/kg</w:t>
            </w:r>
          </w:p>
        </w:tc>
        <w:tc>
          <w:tcPr>
            <w:tcW w:type="dxa" w:w="567"/>
            <w:vAlign w:val="center"/>
          </w:tcPr>
          <w:p>
            <w:pPr>
              <w:spacing w:after="0"/>
            </w:pPr>
            <w:r>
              <w:rPr>
                <w:rFonts w:ascii="Arial" w:hAnsi="Arial"/>
                <w:b w:val="0"/>
                <w:sz w:val="15"/>
              </w:rPr>
              <w:t>682</w:t>
            </w:r>
          </w:p>
        </w:tc>
        <w:tc>
          <w:tcPr>
            <w:tcW w:type="dxa" w:w="1530"/>
            <w:vAlign w:val="center"/>
          </w:tcPr>
          <w:p>
            <w:pPr>
              <w:spacing w:after="0"/>
            </w:pPr>
            <w:r>
              <w:rPr>
                <w:rFonts w:ascii="Arial" w:hAnsi="Arial"/>
                <w:b w:val="0"/>
                <w:sz w:val="15"/>
              </w:rPr>
              <w:t>−0.83</w:t>
            </w:r>
          </w:p>
        </w:tc>
        <w:tc>
          <w:tcPr>
            <w:tcW w:type="dxa" w:w="1927"/>
            <w:vAlign w:val="center"/>
          </w:tcPr>
          <w:p>
            <w:pPr>
              <w:spacing w:after="0"/>
            </w:pPr>
            <w:r>
              <w:rPr>
                <w:rFonts w:ascii="Arial" w:hAnsi="Arial"/>
                <w:b w:val="0"/>
                <w:sz w:val="15"/>
              </w:rPr>
              <w:t>−1.54 to −0.11</w:t>
            </w:r>
          </w:p>
        </w:tc>
        <w:tc>
          <w:tcPr>
            <w:tcW w:type="dxa" w:w="737"/>
            <w:vAlign w:val="center"/>
          </w:tcPr>
          <w:p>
            <w:pPr>
              <w:spacing w:after="0"/>
            </w:pPr>
            <w:r>
              <w:rPr>
                <w:rFonts w:ascii="Arial" w:hAnsi="Arial"/>
                <w:b w:val="0"/>
                <w:sz w:val="15"/>
              </w:rPr>
              <w:t>0.023</w:t>
            </w:r>
          </w:p>
        </w:tc>
      </w:tr>
      <w:tr>
        <w:trPr>
          <w:cantSplit/>
        </w:trPr>
        <w:tc>
          <w:tcPr>
            <w:tcW w:type="dxa" w:w="1927"/>
            <w:vAlign w:val="center"/>
          </w:tcPr>
          <w:p>
            <w:pPr>
              <w:spacing w:after="0"/>
            </w:pPr>
            <w:r>
              <w:rPr>
                <w:rFonts w:ascii="Arial" w:hAnsi="Arial"/>
                <w:b w:val="0"/>
                <w:sz w:val="15"/>
              </w:rPr>
              <w:t>SMM/BFM for all outcomes</w:t>
            </w:r>
          </w:p>
        </w:tc>
        <w:tc>
          <w:tcPr>
            <w:tcW w:type="dxa" w:w="1530"/>
            <w:vAlign w:val="center"/>
          </w:tcPr>
          <w:p>
            <w:pPr>
              <w:spacing w:after="0"/>
            </w:pPr>
            <w:r>
              <w:rPr>
                <w:rFonts w:ascii="Arial" w:hAnsi="Arial"/>
                <w:b w:val="0"/>
                <w:sz w:val="15"/>
              </w:rPr>
              <w:t>pVO₂</w:t>
            </w:r>
          </w:p>
        </w:tc>
        <w:tc>
          <w:tcPr>
            <w:tcW w:type="dxa" w:w="567"/>
            <w:vAlign w:val="center"/>
          </w:tcPr>
          <w:p>
            <w:pPr>
              <w:spacing w:after="0"/>
            </w:pPr>
            <w:r>
              <w:rPr>
                <w:rFonts w:ascii="Arial" w:hAnsi="Arial"/>
                <w:b w:val="0"/>
                <w:sz w:val="15"/>
              </w:rPr>
              <w:t>682</w:t>
            </w:r>
          </w:p>
        </w:tc>
        <w:tc>
          <w:tcPr>
            <w:tcW w:type="dxa" w:w="1530"/>
            <w:vAlign w:val="center"/>
          </w:tcPr>
          <w:p>
            <w:pPr>
              <w:spacing w:after="0"/>
            </w:pPr>
            <w:r>
              <w:rPr>
                <w:rFonts w:ascii="Arial" w:hAnsi="Arial"/>
                <w:b w:val="0"/>
                <w:sz w:val="15"/>
              </w:rPr>
              <w:t>−4.17</w:t>
            </w:r>
          </w:p>
        </w:tc>
        <w:tc>
          <w:tcPr>
            <w:tcW w:type="dxa" w:w="1927"/>
            <w:vAlign w:val="center"/>
          </w:tcPr>
          <w:p>
            <w:pPr>
              <w:spacing w:after="0"/>
            </w:pPr>
            <w:r>
              <w:rPr>
                <w:rFonts w:ascii="Arial" w:hAnsi="Arial"/>
                <w:b w:val="0"/>
                <w:sz w:val="15"/>
              </w:rPr>
              <w:t>−7.04 to −1.30</w:t>
            </w:r>
          </w:p>
        </w:tc>
        <w:tc>
          <w:tcPr>
            <w:tcW w:type="dxa" w:w="737"/>
            <w:vAlign w:val="center"/>
          </w:tcPr>
          <w:p>
            <w:pPr>
              <w:spacing w:after="0"/>
            </w:pPr>
            <w:r>
              <w:rPr>
                <w:rFonts w:ascii="Arial" w:hAnsi="Arial"/>
                <w:b w:val="0"/>
                <w:sz w:val="15"/>
              </w:rPr>
              <w:t>0.004</w:t>
            </w:r>
          </w:p>
        </w:tc>
      </w:tr>
    </w:tbl>
    <w:p>
      <w:pPr>
        <w:spacing w:before="0" w:after="0" w:line="240" w:lineRule="auto"/>
        <w:jc w:val="left"/>
        <w:outlineLvl w:val="9"/>
      </w:pPr>
      <w:r>
        <w:rPr>
          <w:rFonts w:ascii="Times New Roman" w:hAnsi="Times New Roman" w:eastAsia="Times New Roman" w:cs="Times New Roman"/>
          <w:b/>
          <w:i w:val="0"/>
          <w:color w:val="000000"/>
          <w:sz w:val="18"/>
          <w:u w:val="none"/>
        </w:rPr>
        <w:t>The ASMI/FMI analysis retained SMM/BFM for absolute VO₂peak; ASMI was calculated as appendicular skeletal muscle mass/height².</w:t>
      </w:r>
    </w:p>
    <w:p>
      <w:pPr>
        <w:keepNext/>
        <w:spacing w:before="0" w:after="0" w:line="480" w:lineRule="auto"/>
        <w:jc w:val="left"/>
        <w:outlineLvl w:val="9"/>
        <w:pageBreakBefore w:val="0"/>
      </w:pPr>
      <w:r>
        <w:rPr>
          <w:rFonts w:ascii="Times New Roman" w:hAnsi="Times New Roman" w:eastAsia="Times New Roman" w:cs="Times New Roman"/>
          <w:b w:val="0"/>
          <w:i w:val="0"/>
          <w:color w:val="000000"/>
          <w:sz w:val="24"/>
          <w:u w:val="none"/>
        </w:rPr>
        <w:t>Supplementary Table S7 1:1 propensity score-matched sensitivity analysis using three prespecified variables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737"/>
            <w:vAlign w:val="center"/>
            <w:shd w:fill="E7E6E6"/>
          </w:tcPr>
          <w:p>
            <w:pPr>
              <w:spacing w:after="0"/>
              <w:jc w:val="center"/>
            </w:pPr>
            <w:r>
              <w:rPr>
                <w:rFonts w:ascii="Arial" w:hAnsi="Arial"/>
                <w:b/>
                <w:sz w:val="16"/>
              </w:rPr>
              <w:t>n</w:t>
            </w:r>
          </w:p>
        </w:tc>
        <w:tc>
          <w:tcPr>
            <w:tcW w:type="dxa" w:w="1871"/>
            <w:vAlign w:val="center"/>
            <w:shd w:fill="E7E6E6"/>
          </w:tcPr>
          <w:p>
            <w:pPr>
              <w:spacing w:after="0"/>
              <w:jc w:val="center"/>
            </w:pPr>
            <w:r>
              <w:rPr>
                <w:rFonts w:ascii="Arial" w:hAnsi="Arial"/>
                <w:b/>
                <w:sz w:val="16"/>
              </w:rPr>
              <w:t>PCI–reference difference</w:t>
            </w:r>
          </w:p>
        </w:tc>
        <w:tc>
          <w:tcPr>
            <w:tcW w:type="dxa" w:w="2268"/>
            <w:vAlign w:val="center"/>
            <w:shd w:fill="E7E6E6"/>
          </w:tcPr>
          <w:p>
            <w:pPr>
              <w:spacing w:after="0"/>
              <w:jc w:val="center"/>
            </w:pPr>
            <w:r>
              <w:rPr>
                <w:rFonts w:ascii="Arial" w:hAnsi="Arial"/>
                <w:b/>
                <w:sz w:val="16"/>
              </w:rPr>
              <w:t>95% CI</w:t>
            </w:r>
          </w:p>
        </w:tc>
        <w:tc>
          <w:tcPr>
            <w:tcW w:type="dxa" w:w="850"/>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Absolute VO₂peak</w:t>
            </w:r>
          </w:p>
        </w:tc>
        <w:tc>
          <w:tcPr>
            <w:tcW w:type="dxa" w:w="737"/>
            <w:vAlign w:val="center"/>
          </w:tcPr>
          <w:p>
            <w:pPr>
              <w:spacing w:after="0"/>
            </w:pPr>
            <w:r>
              <w:rPr>
                <w:rFonts w:ascii="Arial" w:hAnsi="Arial"/>
                <w:b w:val="0"/>
                <w:sz w:val="16"/>
              </w:rPr>
              <w:t>292</w:t>
            </w:r>
          </w:p>
        </w:tc>
        <w:tc>
          <w:tcPr>
            <w:tcW w:type="dxa" w:w="1871"/>
            <w:vAlign w:val="center"/>
          </w:tcPr>
          <w:p>
            <w:pPr>
              <w:spacing w:after="0"/>
            </w:pPr>
            <w:r>
              <w:rPr>
                <w:rFonts w:ascii="Arial" w:hAnsi="Arial"/>
                <w:b w:val="0"/>
                <w:sz w:val="16"/>
              </w:rPr>
              <w:t>−47.44</w:t>
            </w:r>
          </w:p>
        </w:tc>
        <w:tc>
          <w:tcPr>
            <w:tcW w:type="dxa" w:w="2268"/>
            <w:vAlign w:val="center"/>
          </w:tcPr>
          <w:p>
            <w:pPr>
              <w:spacing w:after="0"/>
            </w:pPr>
            <w:r>
              <w:rPr>
                <w:rFonts w:ascii="Arial" w:hAnsi="Arial"/>
                <w:b w:val="0"/>
                <w:sz w:val="16"/>
              </w:rPr>
              <w:t>−109.41 to 14.52</w:t>
            </w:r>
          </w:p>
        </w:tc>
        <w:tc>
          <w:tcPr>
            <w:tcW w:type="dxa" w:w="850"/>
            <w:vAlign w:val="center"/>
          </w:tcPr>
          <w:p>
            <w:pPr>
              <w:spacing w:after="0"/>
            </w:pPr>
            <w:r>
              <w:rPr>
                <w:rFonts w:ascii="Arial" w:hAnsi="Arial"/>
                <w:b w:val="0"/>
                <w:sz w:val="16"/>
              </w:rPr>
              <w:t>0.136</w:t>
            </w:r>
          </w:p>
        </w:tc>
      </w:tr>
      <w:tr>
        <w:trPr>
          <w:cantSplit/>
        </w:trPr>
        <w:tc>
          <w:tcPr>
            <w:tcW w:type="dxa" w:w="1927"/>
            <w:vAlign w:val="center"/>
          </w:tcPr>
          <w:p>
            <w:pPr>
              <w:spacing w:after="0"/>
            </w:pPr>
            <w:r>
              <w:rPr>
                <w:rFonts w:ascii="Arial" w:hAnsi="Arial"/>
                <w:b w:val="0"/>
                <w:sz w:val="16"/>
              </w:rPr>
              <w:t>VO₂peak/kg</w:t>
            </w:r>
          </w:p>
        </w:tc>
        <w:tc>
          <w:tcPr>
            <w:tcW w:type="dxa" w:w="737"/>
            <w:vAlign w:val="center"/>
          </w:tcPr>
          <w:p>
            <w:pPr>
              <w:spacing w:after="0"/>
            </w:pPr>
            <w:r>
              <w:rPr>
                <w:rFonts w:ascii="Arial" w:hAnsi="Arial"/>
                <w:b w:val="0"/>
                <w:sz w:val="16"/>
              </w:rPr>
              <w:t>292</w:t>
            </w:r>
          </w:p>
        </w:tc>
        <w:tc>
          <w:tcPr>
            <w:tcW w:type="dxa" w:w="1871"/>
            <w:vAlign w:val="center"/>
          </w:tcPr>
          <w:p>
            <w:pPr>
              <w:spacing w:after="0"/>
            </w:pPr>
            <w:r>
              <w:rPr>
                <w:rFonts w:ascii="Arial" w:hAnsi="Arial"/>
                <w:b w:val="0"/>
                <w:sz w:val="16"/>
              </w:rPr>
              <w:t>−0.79</w:t>
            </w:r>
          </w:p>
        </w:tc>
        <w:tc>
          <w:tcPr>
            <w:tcW w:type="dxa" w:w="2268"/>
            <w:vAlign w:val="center"/>
          </w:tcPr>
          <w:p>
            <w:pPr>
              <w:spacing w:after="0"/>
            </w:pPr>
            <w:r>
              <w:rPr>
                <w:rFonts w:ascii="Arial" w:hAnsi="Arial"/>
                <w:b w:val="0"/>
                <w:sz w:val="16"/>
              </w:rPr>
              <w:t>−1.71 to 0.13</w:t>
            </w:r>
          </w:p>
        </w:tc>
        <w:tc>
          <w:tcPr>
            <w:tcW w:type="dxa" w:w="850"/>
            <w:vAlign w:val="center"/>
          </w:tcPr>
          <w:p>
            <w:pPr>
              <w:spacing w:after="0"/>
            </w:pPr>
            <w:r>
              <w:rPr>
                <w:rFonts w:ascii="Arial" w:hAnsi="Arial"/>
                <w:b w:val="0"/>
                <w:sz w:val="16"/>
              </w:rPr>
              <w:t>0.095</w:t>
            </w:r>
          </w:p>
        </w:tc>
      </w:tr>
      <w:tr>
        <w:trPr>
          <w:cantSplit/>
        </w:trPr>
        <w:tc>
          <w:tcPr>
            <w:tcW w:type="dxa" w:w="1927"/>
            <w:vAlign w:val="center"/>
          </w:tcPr>
          <w:p>
            <w:pPr>
              <w:spacing w:after="0"/>
            </w:pPr>
            <w:r>
              <w:rPr>
                <w:rFonts w:ascii="Arial" w:hAnsi="Arial"/>
                <w:b w:val="0"/>
                <w:sz w:val="16"/>
              </w:rPr>
              <w:t>pVO₂</w:t>
            </w:r>
          </w:p>
        </w:tc>
        <w:tc>
          <w:tcPr>
            <w:tcW w:type="dxa" w:w="737"/>
            <w:vAlign w:val="center"/>
          </w:tcPr>
          <w:p>
            <w:pPr>
              <w:spacing w:after="0"/>
            </w:pPr>
            <w:r>
              <w:rPr>
                <w:rFonts w:ascii="Arial" w:hAnsi="Arial"/>
                <w:b w:val="0"/>
                <w:sz w:val="16"/>
              </w:rPr>
              <w:t>292</w:t>
            </w:r>
          </w:p>
        </w:tc>
        <w:tc>
          <w:tcPr>
            <w:tcW w:type="dxa" w:w="1871"/>
            <w:vAlign w:val="center"/>
          </w:tcPr>
          <w:p>
            <w:pPr>
              <w:spacing w:after="0"/>
            </w:pPr>
            <w:r>
              <w:rPr>
                <w:rFonts w:ascii="Arial" w:hAnsi="Arial"/>
                <w:b w:val="0"/>
                <w:sz w:val="16"/>
              </w:rPr>
              <w:t>−3.82</w:t>
            </w:r>
          </w:p>
        </w:tc>
        <w:tc>
          <w:tcPr>
            <w:tcW w:type="dxa" w:w="2268"/>
            <w:vAlign w:val="center"/>
          </w:tcPr>
          <w:p>
            <w:pPr>
              <w:spacing w:after="0"/>
            </w:pPr>
            <w:r>
              <w:rPr>
                <w:rFonts w:ascii="Arial" w:hAnsi="Arial"/>
                <w:b w:val="0"/>
                <w:sz w:val="16"/>
              </w:rPr>
              <w:t>−7.31 to −0.32</w:t>
            </w:r>
          </w:p>
        </w:tc>
        <w:tc>
          <w:tcPr>
            <w:tcW w:type="dxa" w:w="850"/>
            <w:vAlign w:val="center"/>
          </w:tcPr>
          <w:p>
            <w:pPr>
              <w:spacing w:after="0"/>
            </w:pPr>
            <w:r>
              <w:rPr>
                <w:rFonts w:ascii="Arial" w:hAnsi="Arial"/>
                <w:b w:val="0"/>
                <w:sz w:val="16"/>
              </w:rPr>
              <w:t>0.034</w:t>
            </w:r>
          </w:p>
        </w:tc>
      </w:tr>
    </w:tbl>
    <w:p>
      <w:pPr>
        <w:spacing w:before="0" w:after="0" w:line="240" w:lineRule="auto"/>
        <w:jc w:val="left"/>
        <w:outlineLvl w:val="9"/>
      </w:pPr>
      <w:r>
        <w:rPr>
          <w:rFonts w:ascii="Times New Roman" w:hAnsi="Times New Roman" w:eastAsia="Times New Roman" w:cs="Times New Roman"/>
          <w:b/>
          <w:i w:val="0"/>
          <w:color w:val="000000"/>
          <w:sz w:val="18"/>
          <w:u w:val="none"/>
        </w:rPr>
        <w:t>The propensity score was based on age, sex, and exercise protocol and yielded 146 pairs. Outcome models used pair-clustered robust standard errors and included the same covariates as the primary extended model.</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S8 1:1 propensity score-matched sensitivity analysis using the expanded variable set</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737"/>
            <w:vAlign w:val="center"/>
            <w:shd w:fill="E7E6E6"/>
          </w:tcPr>
          <w:p>
            <w:pPr>
              <w:spacing w:after="0"/>
              <w:jc w:val="center"/>
            </w:pPr>
            <w:r>
              <w:rPr>
                <w:rFonts w:ascii="Arial" w:hAnsi="Arial"/>
                <w:b/>
                <w:sz w:val="16"/>
              </w:rPr>
              <w:t>n</w:t>
            </w:r>
          </w:p>
        </w:tc>
        <w:tc>
          <w:tcPr>
            <w:tcW w:type="dxa" w:w="1871"/>
            <w:vAlign w:val="center"/>
            <w:shd w:fill="E7E6E6"/>
          </w:tcPr>
          <w:p>
            <w:pPr>
              <w:spacing w:after="0"/>
              <w:jc w:val="center"/>
            </w:pPr>
            <w:r>
              <w:rPr>
                <w:rFonts w:ascii="Arial" w:hAnsi="Arial"/>
                <w:b/>
                <w:sz w:val="16"/>
              </w:rPr>
              <w:t>PCI–reference difference</w:t>
            </w:r>
          </w:p>
        </w:tc>
        <w:tc>
          <w:tcPr>
            <w:tcW w:type="dxa" w:w="2268"/>
            <w:vAlign w:val="center"/>
            <w:shd w:fill="E7E6E6"/>
          </w:tcPr>
          <w:p>
            <w:pPr>
              <w:spacing w:after="0"/>
              <w:jc w:val="center"/>
            </w:pPr>
            <w:r>
              <w:rPr>
                <w:rFonts w:ascii="Arial" w:hAnsi="Arial"/>
                <w:b/>
                <w:sz w:val="16"/>
              </w:rPr>
              <w:t>95% CI</w:t>
            </w:r>
          </w:p>
        </w:tc>
        <w:tc>
          <w:tcPr>
            <w:tcW w:type="dxa" w:w="850"/>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Absolute VO₂peak</w:t>
            </w:r>
          </w:p>
        </w:tc>
        <w:tc>
          <w:tcPr>
            <w:tcW w:type="dxa" w:w="737"/>
            <w:vAlign w:val="center"/>
          </w:tcPr>
          <w:p>
            <w:pPr>
              <w:spacing w:after="0"/>
            </w:pPr>
            <w:r>
              <w:rPr>
                <w:rFonts w:ascii="Arial" w:hAnsi="Arial"/>
                <w:b w:val="0"/>
                <w:sz w:val="16"/>
              </w:rPr>
              <w:t>334</w:t>
            </w:r>
          </w:p>
        </w:tc>
        <w:tc>
          <w:tcPr>
            <w:tcW w:type="dxa" w:w="1871"/>
            <w:vAlign w:val="center"/>
          </w:tcPr>
          <w:p>
            <w:pPr>
              <w:spacing w:after="0"/>
            </w:pPr>
            <w:r>
              <w:rPr>
                <w:rFonts w:ascii="Arial" w:hAnsi="Arial"/>
                <w:b w:val="0"/>
                <w:sz w:val="16"/>
              </w:rPr>
              <w:t>−69.87</w:t>
            </w:r>
          </w:p>
        </w:tc>
        <w:tc>
          <w:tcPr>
            <w:tcW w:type="dxa" w:w="2268"/>
            <w:vAlign w:val="center"/>
          </w:tcPr>
          <w:p>
            <w:pPr>
              <w:spacing w:after="0"/>
            </w:pPr>
            <w:r>
              <w:rPr>
                <w:rFonts w:ascii="Arial" w:hAnsi="Arial"/>
                <w:b w:val="0"/>
                <w:sz w:val="16"/>
              </w:rPr>
              <w:t>−132.05 to −7.70</w:t>
            </w:r>
          </w:p>
        </w:tc>
        <w:tc>
          <w:tcPr>
            <w:tcW w:type="dxa" w:w="850"/>
            <w:vAlign w:val="center"/>
          </w:tcPr>
          <w:p>
            <w:pPr>
              <w:spacing w:after="0"/>
            </w:pPr>
            <w:r>
              <w:rPr>
                <w:rFonts w:ascii="Arial" w:hAnsi="Arial"/>
                <w:b w:val="0"/>
                <w:sz w:val="16"/>
              </w:rPr>
              <w:t>0.029</w:t>
            </w:r>
          </w:p>
        </w:tc>
      </w:tr>
      <w:tr>
        <w:trPr>
          <w:cantSplit/>
        </w:trPr>
        <w:tc>
          <w:tcPr>
            <w:tcW w:type="dxa" w:w="1927"/>
            <w:vAlign w:val="center"/>
          </w:tcPr>
          <w:p>
            <w:pPr>
              <w:spacing w:after="0"/>
            </w:pPr>
            <w:r>
              <w:rPr>
                <w:rFonts w:ascii="Arial" w:hAnsi="Arial"/>
                <w:b w:val="0"/>
                <w:sz w:val="16"/>
              </w:rPr>
              <w:t>VO₂peak/kg</w:t>
            </w:r>
          </w:p>
        </w:tc>
        <w:tc>
          <w:tcPr>
            <w:tcW w:type="dxa" w:w="737"/>
            <w:vAlign w:val="center"/>
          </w:tcPr>
          <w:p>
            <w:pPr>
              <w:spacing w:after="0"/>
            </w:pPr>
            <w:r>
              <w:rPr>
                <w:rFonts w:ascii="Arial" w:hAnsi="Arial"/>
                <w:b w:val="0"/>
                <w:sz w:val="16"/>
              </w:rPr>
              <w:t>334</w:t>
            </w:r>
          </w:p>
        </w:tc>
        <w:tc>
          <w:tcPr>
            <w:tcW w:type="dxa" w:w="1871"/>
            <w:vAlign w:val="center"/>
          </w:tcPr>
          <w:p>
            <w:pPr>
              <w:spacing w:after="0"/>
            </w:pPr>
            <w:r>
              <w:rPr>
                <w:rFonts w:ascii="Arial" w:hAnsi="Arial"/>
                <w:b w:val="0"/>
                <w:sz w:val="16"/>
              </w:rPr>
              <w:t>−1.04</w:t>
            </w:r>
          </w:p>
        </w:tc>
        <w:tc>
          <w:tcPr>
            <w:tcW w:type="dxa" w:w="2268"/>
            <w:vAlign w:val="center"/>
          </w:tcPr>
          <w:p>
            <w:pPr>
              <w:spacing w:after="0"/>
            </w:pPr>
            <w:r>
              <w:rPr>
                <w:rFonts w:ascii="Arial" w:hAnsi="Arial"/>
                <w:b w:val="0"/>
                <w:sz w:val="16"/>
              </w:rPr>
              <w:t>−1.92 to −0.17</w:t>
            </w:r>
          </w:p>
        </w:tc>
        <w:tc>
          <w:tcPr>
            <w:tcW w:type="dxa" w:w="850"/>
            <w:vAlign w:val="center"/>
          </w:tcPr>
          <w:p>
            <w:pPr>
              <w:spacing w:after="0"/>
            </w:pPr>
            <w:r>
              <w:rPr>
                <w:rFonts w:ascii="Arial" w:hAnsi="Arial"/>
                <w:b w:val="0"/>
                <w:sz w:val="16"/>
              </w:rPr>
              <w:t>0.020</w:t>
            </w:r>
          </w:p>
        </w:tc>
      </w:tr>
      <w:tr>
        <w:trPr>
          <w:cantSplit/>
        </w:trPr>
        <w:tc>
          <w:tcPr>
            <w:tcW w:type="dxa" w:w="1927"/>
            <w:vAlign w:val="center"/>
          </w:tcPr>
          <w:p>
            <w:pPr>
              <w:spacing w:after="0"/>
            </w:pPr>
            <w:r>
              <w:rPr>
                <w:rFonts w:ascii="Arial" w:hAnsi="Arial"/>
                <w:b w:val="0"/>
                <w:sz w:val="16"/>
              </w:rPr>
              <w:t>pVO₂</w:t>
            </w:r>
          </w:p>
        </w:tc>
        <w:tc>
          <w:tcPr>
            <w:tcW w:type="dxa" w:w="737"/>
            <w:vAlign w:val="center"/>
          </w:tcPr>
          <w:p>
            <w:pPr>
              <w:spacing w:after="0"/>
            </w:pPr>
            <w:r>
              <w:rPr>
                <w:rFonts w:ascii="Arial" w:hAnsi="Arial"/>
                <w:b w:val="0"/>
                <w:sz w:val="16"/>
              </w:rPr>
              <w:t>334</w:t>
            </w:r>
          </w:p>
        </w:tc>
        <w:tc>
          <w:tcPr>
            <w:tcW w:type="dxa" w:w="1871"/>
            <w:vAlign w:val="center"/>
          </w:tcPr>
          <w:p>
            <w:pPr>
              <w:spacing w:after="0"/>
            </w:pPr>
            <w:r>
              <w:rPr>
                <w:rFonts w:ascii="Arial" w:hAnsi="Arial"/>
                <w:b w:val="0"/>
                <w:sz w:val="16"/>
              </w:rPr>
              <w:t>−5.15</w:t>
            </w:r>
          </w:p>
        </w:tc>
        <w:tc>
          <w:tcPr>
            <w:tcW w:type="dxa" w:w="2268"/>
            <w:vAlign w:val="center"/>
          </w:tcPr>
          <w:p>
            <w:pPr>
              <w:spacing w:after="0"/>
            </w:pPr>
            <w:r>
              <w:rPr>
                <w:rFonts w:ascii="Arial" w:hAnsi="Arial"/>
                <w:b w:val="0"/>
                <w:sz w:val="16"/>
              </w:rPr>
              <w:t>−8.50 to −1.79</w:t>
            </w:r>
          </w:p>
        </w:tc>
        <w:tc>
          <w:tcPr>
            <w:tcW w:type="dxa" w:w="850"/>
            <w:vAlign w:val="center"/>
          </w:tcPr>
          <w:p>
            <w:pPr>
              <w:spacing w:after="0"/>
            </w:pPr>
            <w:r>
              <w:rPr>
                <w:rFonts w:ascii="Arial" w:hAnsi="Arial"/>
                <w:b w:val="0"/>
                <w:sz w:val="16"/>
              </w:rPr>
              <w:t>0.003</w:t>
            </w:r>
          </w:p>
        </w:tc>
      </w:tr>
    </w:tbl>
    <w:p>
      <w:pPr>
        <w:spacing w:before="0" w:after="0" w:line="240" w:lineRule="auto"/>
        <w:jc w:val="left"/>
        <w:outlineLvl w:val="9"/>
      </w:pPr>
      <w:r>
        <w:rPr>
          <w:rFonts w:ascii="Times New Roman" w:hAnsi="Times New Roman" w:eastAsia="Times New Roman" w:cs="Times New Roman"/>
          <w:b/>
          <w:i w:val="0"/>
          <w:color w:val="000000"/>
          <w:sz w:val="18"/>
          <w:u w:val="none"/>
        </w:rPr>
        <w:t>The expanded propensity score variable set with exact matching on sex and exercise protocol yielded 167 pairs. Outcome models used pair-clustered robust standard errors.</w:t>
      </w:r>
    </w:p>
    <w:p>
      <w:pPr>
        <w:keepNext/>
        <w:spacing w:before="0" w:after="0" w:line="480" w:lineRule="auto"/>
        <w:jc w:val="left"/>
        <w:outlineLvl w:val="9"/>
      </w:pPr>
      <w:r>
        <w:rPr>
          <w:rFonts w:ascii="Times New Roman" w:hAnsi="Times New Roman" w:eastAsia="Times New Roman" w:cs="Times New Roman"/>
          <w:b w:val="0"/>
          <w:i w:val="0"/>
          <w:color w:val="000000"/>
          <w:sz w:val="24"/>
          <w:u w:val="none"/>
        </w:rPr>
        <w:t>Supplementary Table S9A FRIEND-equation pVO₂ sensitivity analysis</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737"/>
            <w:vAlign w:val="center"/>
            <w:shd w:fill="E7E6E6"/>
          </w:tcPr>
          <w:p>
            <w:pPr>
              <w:spacing w:after="0"/>
              <w:jc w:val="center"/>
            </w:pPr>
            <w:r>
              <w:rPr>
                <w:rFonts w:ascii="Arial" w:hAnsi="Arial"/>
                <w:b/>
                <w:sz w:val="16"/>
              </w:rPr>
              <w:t>n</w:t>
            </w:r>
          </w:p>
        </w:tc>
        <w:tc>
          <w:tcPr>
            <w:tcW w:type="dxa" w:w="1871"/>
            <w:vAlign w:val="center"/>
            <w:shd w:fill="E7E6E6"/>
          </w:tcPr>
          <w:p>
            <w:pPr>
              <w:spacing w:after="0"/>
              <w:jc w:val="center"/>
            </w:pPr>
            <w:r>
              <w:rPr>
                <w:rFonts w:ascii="Arial" w:hAnsi="Arial"/>
                <w:b/>
                <w:sz w:val="16"/>
              </w:rPr>
              <w:t>PCI–reference difference</w:t>
            </w:r>
          </w:p>
        </w:tc>
        <w:tc>
          <w:tcPr>
            <w:tcW w:type="dxa" w:w="2268"/>
            <w:vAlign w:val="center"/>
            <w:shd w:fill="E7E6E6"/>
          </w:tcPr>
          <w:p>
            <w:pPr>
              <w:spacing w:after="0"/>
              <w:jc w:val="center"/>
            </w:pPr>
            <w:r>
              <w:rPr>
                <w:rFonts w:ascii="Arial" w:hAnsi="Arial"/>
                <w:b/>
                <w:sz w:val="16"/>
              </w:rPr>
              <w:t>95% CI</w:t>
            </w:r>
          </w:p>
        </w:tc>
        <w:tc>
          <w:tcPr>
            <w:tcW w:type="dxa" w:w="850"/>
            <w:vAlign w:val="center"/>
            <w:shd w:fill="E7E6E6"/>
          </w:tcPr>
          <w:p>
            <w:pPr>
              <w:spacing w:after="0"/>
              <w:jc w:val="center"/>
            </w:pPr>
            <w:r>
              <w:rPr>
                <w:rFonts w:ascii="Arial" w:hAnsi="Arial"/>
                <w:b/>
                <w:sz w:val="16"/>
              </w:rPr>
              <w:t>P value</w:t>
            </w:r>
          </w:p>
        </w:tc>
      </w:tr>
      <w:tr>
        <w:trPr>
          <w:cantSplit/>
        </w:trPr>
        <w:tc>
          <w:tcPr>
            <w:tcW w:type="dxa" w:w="1927"/>
            <w:vAlign w:val="center"/>
          </w:tcPr>
          <w:p>
            <w:pPr>
              <w:spacing w:after="0"/>
            </w:pPr>
            <w:r>
              <w:rPr>
                <w:rFonts w:ascii="Arial" w:hAnsi="Arial"/>
                <w:b w:val="0"/>
                <w:sz w:val="16"/>
              </w:rPr>
              <w:t>FRIEND-equation pVO₂</w:t>
            </w:r>
          </w:p>
        </w:tc>
        <w:tc>
          <w:tcPr>
            <w:tcW w:type="dxa" w:w="737"/>
            <w:vAlign w:val="center"/>
          </w:tcPr>
          <w:p>
            <w:pPr>
              <w:spacing w:after="0"/>
            </w:pPr>
            <w:r>
              <w:rPr>
                <w:rFonts w:ascii="Arial" w:hAnsi="Arial"/>
                <w:b w:val="0"/>
                <w:sz w:val="16"/>
              </w:rPr>
              <w:t>682</w:t>
            </w:r>
          </w:p>
        </w:tc>
        <w:tc>
          <w:tcPr>
            <w:tcW w:type="dxa" w:w="1871"/>
            <w:vAlign w:val="center"/>
          </w:tcPr>
          <w:p>
            <w:pPr>
              <w:spacing w:after="0"/>
            </w:pPr>
            <w:r>
              <w:rPr>
                <w:rFonts w:ascii="Arial" w:hAnsi="Arial"/>
                <w:b w:val="0"/>
                <w:sz w:val="16"/>
              </w:rPr>
              <w:t>−4.44</w:t>
            </w:r>
          </w:p>
        </w:tc>
        <w:tc>
          <w:tcPr>
            <w:tcW w:type="dxa" w:w="2268"/>
            <w:vAlign w:val="center"/>
          </w:tcPr>
          <w:p>
            <w:pPr>
              <w:spacing w:after="0"/>
            </w:pPr>
            <w:r>
              <w:rPr>
                <w:rFonts w:ascii="Arial" w:hAnsi="Arial"/>
                <w:b w:val="0"/>
                <w:sz w:val="16"/>
              </w:rPr>
              <w:t>−6.81 to −2.07</w:t>
            </w:r>
          </w:p>
        </w:tc>
        <w:tc>
          <w:tcPr>
            <w:tcW w:type="dxa" w:w="850"/>
            <w:vAlign w:val="center"/>
          </w:tcPr>
          <w:p>
            <w:pPr>
              <w:spacing w:after="0"/>
            </w:pPr>
            <w:r>
              <w:rPr>
                <w:rFonts w:ascii="Arial" w:hAnsi="Arial"/>
                <w:b w:val="0"/>
                <w:sz w:val="16"/>
              </w:rPr>
              <w:t>&lt;0.001</w:t>
            </w:r>
          </w:p>
        </w:tc>
      </w:tr>
    </w:tbl>
    <w:p>
      <w:pPr>
        <w:spacing w:before="0" w:after="0" w:line="240" w:lineRule="auto"/>
        <w:jc w:val="left"/>
        <w:outlineLvl w:val="9"/>
      </w:pPr>
      <w:r>
        <w:rPr>
          <w:rFonts w:ascii="Times New Roman" w:hAnsi="Times New Roman" w:eastAsia="Times New Roman" w:cs="Times New Roman"/>
          <w:b/>
          <w:i w:val="0"/>
          <w:color w:val="000000"/>
          <w:sz w:val="18"/>
          <w:u w:val="none"/>
        </w:rPr>
        <w:t>pVO₂ was recalculated using the FRIEND equation in all 682 participants. FRIEND was derived from a United States registry population; this analysis was used only to assess stability to the choice of prediction equation.</w:t>
      </w:r>
    </w:p>
    <w:p>
      <w:pPr>
        <w:keepNext/>
        <w:pageBreakBefore/>
        <w:spacing w:before="0" w:after="0" w:line="480" w:lineRule="auto"/>
        <w:jc w:val="left"/>
        <w:outlineLvl w:val="9"/>
      </w:pPr>
      <w:r>
        <w:rPr>
          <w:rFonts w:ascii="Times New Roman" w:hAnsi="Times New Roman" w:eastAsia="Times New Roman" w:cs="Times New Roman"/>
          <w:b w:val="0"/>
          <w:i w:val="0"/>
          <w:color w:val="000000"/>
          <w:sz w:val="24"/>
          <w:u w:val="none"/>
        </w:rPr>
        <w:t>Supplementary Table S9B Precision and post hoc power</w:t>
      </w:r>
    </w:p>
    <w:tbl>
      <w:tblPr>
        <w:tblW w:type="auto" w:w="0"/>
        <w:tblLayout w:type="fixed"/>
        <w:tblLook w:firstColumn="1" w:firstRow="1" w:lastColumn="0" w:lastRow="0" w:noHBand="0" w:noVBand="1" w:val="04A0"/>
        <w:tblBorders>
          <w:top w:val="single" w:sz="4" w:color="B7B7B7"/>
          <w:left w:val="single" w:sz="4" w:color="B7B7B7"/>
          <w:bottom w:val="single" w:sz="4" w:color="B7B7B7"/>
          <w:right w:val="single" w:sz="4" w:color="B7B7B7"/>
          <w:insideH w:val="single" w:sz="4" w:color="B7B7B7"/>
          <w:insideV w:val="single" w:sz="4" w:color="B7B7B7"/>
        </w:tblBorders>
        <w:jc w:val="center"/>
        <w:tblInd w:w="0" w:type="dxa"/>
      </w:tblPr>
      <w:tblGrid>
        <w:gridCol w:w="1872"/>
        <w:gridCol w:w="1872"/>
        <w:gridCol w:w="1872"/>
        <w:gridCol w:w="1872"/>
        <w:gridCol w:w="1872"/>
      </w:tblGrid>
      <w:tr>
        <w:trPr>
          <w:tblHeader w:val="true"/>
          <w:cantSplit/>
        </w:trPr>
        <w:tc>
          <w:tcPr>
            <w:tcW w:type="dxa" w:w="1927"/>
            <w:vAlign w:val="center"/>
            <w:shd w:fill="E7E6E6"/>
          </w:tcPr>
          <w:p>
            <w:pPr>
              <w:spacing w:after="0"/>
              <w:jc w:val="center"/>
            </w:pPr>
            <w:r>
              <w:rPr>
                <w:rFonts w:ascii="Arial" w:hAnsi="Arial"/>
                <w:b/>
                <w:sz w:val="16"/>
              </w:rPr>
              <w:t>Outcome</w:t>
            </w:r>
          </w:p>
        </w:tc>
        <w:tc>
          <w:tcPr>
            <w:tcW w:type="dxa" w:w="1304"/>
            <w:vAlign w:val="center"/>
            <w:shd w:fill="E7E6E6"/>
          </w:tcPr>
          <w:p>
            <w:pPr>
              <w:spacing w:after="0"/>
              <w:jc w:val="center"/>
            </w:pPr>
            <w:r>
              <w:rPr>
                <w:rFonts w:ascii="Arial" w:hAnsi="Arial"/>
                <w:b/>
                <w:sz w:val="16"/>
              </w:rPr>
              <w:t>Estimate</w:t>
            </w:r>
          </w:p>
        </w:tc>
        <w:tc>
          <w:tcPr>
            <w:tcW w:type="dxa" w:w="1360"/>
            <w:vAlign w:val="center"/>
            <w:shd w:fill="E7E6E6"/>
          </w:tcPr>
          <w:p>
            <w:pPr>
              <w:spacing w:after="0"/>
              <w:jc w:val="center"/>
            </w:pPr>
            <w:r>
              <w:rPr>
                <w:rFonts w:ascii="Arial" w:hAnsi="Arial"/>
                <w:b/>
                <w:sz w:val="16"/>
              </w:rPr>
              <w:t>Robust standard error</w:t>
            </w:r>
          </w:p>
        </w:tc>
        <w:tc>
          <w:tcPr>
            <w:tcW w:type="dxa" w:w="2438"/>
            <w:vAlign w:val="center"/>
            <w:shd w:fill="E7E6E6"/>
          </w:tcPr>
          <w:p>
            <w:pPr>
              <w:spacing w:after="0"/>
              <w:jc w:val="center"/>
            </w:pPr>
            <w:r>
              <w:rPr>
                <w:rFonts w:ascii="Arial" w:hAnsi="Arial"/>
                <w:b/>
                <w:sz w:val="16"/>
              </w:rPr>
              <w:t>Minimum detectable difference at 80% power</w:t>
            </w:r>
          </w:p>
        </w:tc>
        <w:tc>
          <w:tcPr>
            <w:tcW w:type="dxa" w:w="1304"/>
            <w:vAlign w:val="center"/>
            <w:shd w:fill="E7E6E6"/>
          </w:tcPr>
          <w:p>
            <w:pPr>
              <w:spacing w:after="0"/>
              <w:jc w:val="center"/>
            </w:pPr>
            <w:r>
              <w:rPr>
                <w:rFonts w:ascii="Arial" w:hAnsi="Arial"/>
                <w:b/>
                <w:sz w:val="16"/>
              </w:rPr>
              <w:t>Post hoc power</w:t>
            </w:r>
          </w:p>
        </w:tc>
      </w:tr>
      <w:tr>
        <w:trPr>
          <w:cantSplit/>
        </w:trPr>
        <w:tc>
          <w:tcPr>
            <w:tcW w:type="dxa" w:w="1927"/>
            <w:vAlign w:val="center"/>
          </w:tcPr>
          <w:p>
            <w:pPr>
              <w:spacing w:after="0"/>
            </w:pPr>
            <w:r>
              <w:rPr>
                <w:rFonts w:ascii="Arial" w:hAnsi="Arial"/>
                <w:b w:val="0"/>
                <w:sz w:val="16"/>
              </w:rPr>
              <w:t>Absolute VO₂peak</w:t>
            </w:r>
          </w:p>
        </w:tc>
        <w:tc>
          <w:tcPr>
            <w:tcW w:type="dxa" w:w="1304"/>
            <w:vAlign w:val="center"/>
          </w:tcPr>
          <w:p>
            <w:pPr>
              <w:spacing w:after="0"/>
            </w:pPr>
            <w:r>
              <w:rPr>
                <w:rFonts w:ascii="Arial" w:hAnsi="Arial"/>
                <w:b w:val="0"/>
                <w:sz w:val="16"/>
              </w:rPr>
              <w:t>−59.69</w:t>
            </w:r>
          </w:p>
        </w:tc>
        <w:tc>
          <w:tcPr>
            <w:tcW w:type="dxa" w:w="1360"/>
            <w:vAlign w:val="center"/>
          </w:tcPr>
          <w:p>
            <w:pPr>
              <w:spacing w:after="0"/>
            </w:pPr>
            <w:r>
              <w:rPr>
                <w:rFonts w:ascii="Arial" w:hAnsi="Arial"/>
                <w:b w:val="0"/>
                <w:sz w:val="16"/>
              </w:rPr>
              <w:t>25.49</w:t>
            </w:r>
          </w:p>
        </w:tc>
        <w:tc>
          <w:tcPr>
            <w:tcW w:type="dxa" w:w="2438"/>
            <w:vAlign w:val="center"/>
          </w:tcPr>
          <w:p>
            <w:pPr>
              <w:spacing w:after="0"/>
            </w:pPr>
            <w:r>
              <w:rPr>
                <w:rFonts w:ascii="Arial" w:hAnsi="Arial"/>
                <w:b w:val="0"/>
                <w:sz w:val="16"/>
              </w:rPr>
              <w:t>71.41</w:t>
            </w:r>
          </w:p>
        </w:tc>
        <w:tc>
          <w:tcPr>
            <w:tcW w:type="dxa" w:w="1304"/>
            <w:vAlign w:val="center"/>
          </w:tcPr>
          <w:p>
            <w:pPr>
              <w:spacing w:after="0"/>
            </w:pPr>
            <w:r>
              <w:rPr>
                <w:rFonts w:ascii="Arial" w:hAnsi="Arial"/>
                <w:b w:val="0"/>
                <w:sz w:val="16"/>
              </w:rPr>
              <w:t>64.9%</w:t>
            </w:r>
          </w:p>
        </w:tc>
      </w:tr>
      <w:tr>
        <w:trPr>
          <w:cantSplit/>
        </w:trPr>
        <w:tc>
          <w:tcPr>
            <w:tcW w:type="dxa" w:w="1927"/>
            <w:vAlign w:val="center"/>
          </w:tcPr>
          <w:p>
            <w:pPr>
              <w:spacing w:after="0"/>
            </w:pPr>
            <w:r>
              <w:rPr>
                <w:rFonts w:ascii="Arial" w:hAnsi="Arial"/>
                <w:b w:val="0"/>
                <w:sz w:val="16"/>
              </w:rPr>
              <w:t>VO₂peak/kg</w:t>
            </w:r>
          </w:p>
        </w:tc>
        <w:tc>
          <w:tcPr>
            <w:tcW w:type="dxa" w:w="1304"/>
            <w:vAlign w:val="center"/>
          </w:tcPr>
          <w:p>
            <w:pPr>
              <w:spacing w:after="0"/>
            </w:pPr>
            <w:r>
              <w:rPr>
                <w:rFonts w:ascii="Arial" w:hAnsi="Arial"/>
                <w:b w:val="0"/>
                <w:sz w:val="16"/>
              </w:rPr>
              <w:t>−0.83</w:t>
            </w:r>
          </w:p>
        </w:tc>
        <w:tc>
          <w:tcPr>
            <w:tcW w:type="dxa" w:w="1360"/>
            <w:vAlign w:val="center"/>
          </w:tcPr>
          <w:p>
            <w:pPr>
              <w:spacing w:after="0"/>
            </w:pPr>
            <w:r>
              <w:rPr>
                <w:rFonts w:ascii="Arial" w:hAnsi="Arial"/>
                <w:b w:val="0"/>
                <w:sz w:val="16"/>
              </w:rPr>
              <w:t>0.36</w:t>
            </w:r>
          </w:p>
        </w:tc>
        <w:tc>
          <w:tcPr>
            <w:tcW w:type="dxa" w:w="2438"/>
            <w:vAlign w:val="center"/>
          </w:tcPr>
          <w:p>
            <w:pPr>
              <w:spacing w:after="0"/>
            </w:pPr>
            <w:r>
              <w:rPr>
                <w:rFonts w:ascii="Arial" w:hAnsi="Arial"/>
                <w:b w:val="0"/>
                <w:sz w:val="16"/>
              </w:rPr>
              <w:t>1.02</w:t>
            </w:r>
          </w:p>
        </w:tc>
        <w:tc>
          <w:tcPr>
            <w:tcW w:type="dxa" w:w="1304"/>
            <w:vAlign w:val="center"/>
          </w:tcPr>
          <w:p>
            <w:pPr>
              <w:spacing w:after="0"/>
            </w:pPr>
            <w:r>
              <w:rPr>
                <w:rFonts w:ascii="Arial" w:hAnsi="Arial"/>
                <w:b w:val="0"/>
                <w:sz w:val="16"/>
              </w:rPr>
              <w:t>62.1%</w:t>
            </w:r>
          </w:p>
        </w:tc>
      </w:tr>
      <w:tr>
        <w:trPr>
          <w:cantSplit/>
        </w:trPr>
        <w:tc>
          <w:tcPr>
            <w:tcW w:type="dxa" w:w="1927"/>
            <w:vAlign w:val="center"/>
          </w:tcPr>
          <w:p>
            <w:pPr>
              <w:spacing w:after="0"/>
            </w:pPr>
            <w:r>
              <w:rPr>
                <w:rFonts w:ascii="Arial" w:hAnsi="Arial"/>
                <w:b w:val="0"/>
                <w:sz w:val="16"/>
              </w:rPr>
              <w:t>pVO₂</w:t>
            </w:r>
          </w:p>
        </w:tc>
        <w:tc>
          <w:tcPr>
            <w:tcW w:type="dxa" w:w="1304"/>
            <w:vAlign w:val="center"/>
          </w:tcPr>
          <w:p>
            <w:pPr>
              <w:spacing w:after="0"/>
            </w:pPr>
            <w:r>
              <w:rPr>
                <w:rFonts w:ascii="Arial" w:hAnsi="Arial"/>
                <w:b w:val="0"/>
                <w:sz w:val="16"/>
              </w:rPr>
              <w:t>−4.28</w:t>
            </w:r>
          </w:p>
        </w:tc>
        <w:tc>
          <w:tcPr>
            <w:tcW w:type="dxa" w:w="1360"/>
            <w:vAlign w:val="center"/>
          </w:tcPr>
          <w:p>
            <w:pPr>
              <w:spacing w:after="0"/>
            </w:pPr>
            <w:r>
              <w:rPr>
                <w:rFonts w:ascii="Arial" w:hAnsi="Arial"/>
                <w:b w:val="0"/>
                <w:sz w:val="16"/>
              </w:rPr>
              <w:t>1.45</w:t>
            </w:r>
          </w:p>
        </w:tc>
        <w:tc>
          <w:tcPr>
            <w:tcW w:type="dxa" w:w="2438"/>
            <w:vAlign w:val="center"/>
          </w:tcPr>
          <w:p>
            <w:pPr>
              <w:spacing w:after="0"/>
            </w:pPr>
            <w:r>
              <w:rPr>
                <w:rFonts w:ascii="Arial" w:hAnsi="Arial"/>
                <w:b w:val="0"/>
                <w:sz w:val="16"/>
              </w:rPr>
              <w:t>4.07</w:t>
            </w:r>
          </w:p>
        </w:tc>
        <w:tc>
          <w:tcPr>
            <w:tcW w:type="dxa" w:w="1304"/>
            <w:vAlign w:val="center"/>
          </w:tcPr>
          <w:p>
            <w:pPr>
              <w:spacing w:after="0"/>
            </w:pPr>
            <w:r>
              <w:rPr>
                <w:rFonts w:ascii="Arial" w:hAnsi="Arial"/>
                <w:b w:val="0"/>
                <w:sz w:val="16"/>
              </w:rPr>
              <w:t>83.7%</w:t>
            </w:r>
          </w:p>
        </w:tc>
      </w:tr>
    </w:tbl>
    <w:p>
      <w:pPr>
        <w:spacing w:before="0" w:after="0" w:line="240" w:lineRule="auto"/>
        <w:jc w:val="left"/>
        <w:outlineLvl w:val="9"/>
      </w:pPr>
      <w:r>
        <w:rPr>
          <w:rFonts w:ascii="Times New Roman" w:hAnsi="Times New Roman" w:eastAsia="Times New Roman" w:cs="Times New Roman"/>
          <w:b/>
          <w:i w:val="0"/>
          <w:color w:val="000000"/>
          <w:sz w:val="18"/>
          <w:u w:val="none"/>
        </w:rPr>
        <w:t>Post hoc power is a transformation of the effect estimate and standard error. Primary inference should remain based on effect estimates and 95% CIs.</w:t>
      </w:r>
    </w:p>
    <w:p>
      <w:pPr>
        <w:keepNext/>
        <w:spacing w:line="360" w:lineRule="auto" w:before="240" w:after="120"/>
        <w:outlineLvl w:val="9"/>
      </w:pPr>
      <w:r>
        <w:rPr>
          <w:rFonts w:ascii="Times New Roman" w:hAnsi="Times New Roman" w:eastAsia="Times New Roman" w:cs="Times New Roman"/>
          <w:b/>
          <w:i w:val="0"/>
          <w:color w:val="000000"/>
          <w:sz w:val="24"/>
          <w:u w:val="none"/>
        </w:rPr>
        <w:t>Supplementary conclusion</w:t>
      </w:r>
    </w:p>
    <w:p>
      <w:pPr>
        <w:spacing w:line="360" w:lineRule="auto" w:before="0" w:after="120"/>
        <w:jc w:val="both"/>
        <w:outlineLvl w:val="9"/>
      </w:pPr>
      <w:r>
        <w:rPr>
          <w:rFonts w:ascii="Times New Roman" w:hAnsi="Times New Roman" w:eastAsia="Times New Roman" w:cs="Times New Roman"/>
          <w:b w:val="0"/>
          <w:i w:val="0"/>
          <w:color w:val="000000"/>
          <w:u w:val="none"/>
        </w:rPr>
        <w:t>The expanded overlap-weighted analysis, both propensity score-matched analyses, alternative body-composition measures, and FRIEND prediction-equation analysis supported the overall direction of the primary findings. In the cycle-ergometer-only analysis, confidence intervals for absolute VO₂peak and VO₂peak/kg widened and crossed zero, whereas the pVO₂ difference remained statistically significant. The nominal interaction for body weight-normalized VO₂peak was not consistently reproduced across sensitivity analyses and was therefore not considered a principal finding.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information</dc:title>
  <dc:subject>Revised supplementary information</dc:subject>
  <dc:creator>Yang Li; Jun Ma; Heng Ge; Jun Pu</dc:creator>
  <cp:keywords/>
  <dc:description/>
  <cp:lastModifiedBy/>
  <cp:revision>1</cp:revision>
  <dcterms:created xsi:type="dcterms:W3CDTF">2013-12-23T23:15:00Z</dcterms:created>
  <dcterms:modified xsi:type="dcterms:W3CDTF">2013-12-23T23:15:00Z</dcterms:modified>
  <cp:category/>
</cp:coreProperties>
</file>