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BB7" w:rsidRDefault="00C0388C">
      <w:pPr>
        <w:spacing w:before="140" w:line="480" w:lineRule="auto"/>
        <w:jc w:val="left"/>
      </w:pPr>
      <w:r>
        <w:rPr>
          <w:b/>
          <w:bCs/>
          <w:sz w:val="23"/>
          <w:szCs w:val="26"/>
        </w:rPr>
        <w:t>Supplementary Material</w:t>
      </w:r>
    </w:p>
    <w:p w:rsidR="00B12BB7" w:rsidRDefault="00C0388C">
      <w:pPr>
        <w:keepNext/>
        <w:spacing w:before="160" w:line="240" w:lineRule="auto"/>
        <w:jc w:val="left"/>
      </w:pPr>
      <w:proofErr w:type="gramStart"/>
      <w:r>
        <w:rPr>
          <w:sz w:val="20"/>
        </w:rPr>
        <w:t>Supplementary Table S1.</w:t>
      </w:r>
      <w:proofErr w:type="gramEnd"/>
      <w:r>
        <w:rPr>
          <w:sz w:val="20"/>
        </w:rPr>
        <w:t xml:space="preserve"> Full coefficients of the primary D-dimer-augmented model (complete-case n=246; 65 CR events).</w:t>
      </w:r>
    </w:p>
    <w:tbl>
      <w:tblPr>
        <w:tblW w:w="9792" w:type="dxa"/>
        <w:jc w:val="center"/>
        <w:tblBorders>
          <w:top w:val="single" w:sz="12" w:space="0" w:color="000000"/>
          <w:left w:val="none" w:sz="0" w:space="0" w:color="000000"/>
          <w:bottom w:val="single" w:sz="12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0"/>
        <w:gridCol w:w="1368"/>
        <w:gridCol w:w="2232"/>
        <w:gridCol w:w="1656"/>
        <w:gridCol w:w="1296"/>
      </w:tblGrid>
      <w:tr w:rsidR="00B12BB7">
        <w:trPr>
          <w:cantSplit/>
          <w:tblHeader/>
          <w:jc w:val="center"/>
        </w:trPr>
        <w:tc>
          <w:tcPr>
            <w:tcW w:w="3240" w:type="dxa"/>
            <w:tcBorders>
              <w:bottom w:val="single" w:sz="8" w:space="0" w:color="000000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b/>
                <w:sz w:val="17"/>
              </w:rPr>
              <w:t>Variable</w:t>
            </w:r>
          </w:p>
        </w:tc>
        <w:tc>
          <w:tcPr>
            <w:tcW w:w="1368" w:type="dxa"/>
            <w:tcBorders>
              <w:bottom w:val="single" w:sz="8" w:space="0" w:color="000000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b/>
                <w:sz w:val="17"/>
              </w:rPr>
              <w:t>OR</w:t>
            </w:r>
          </w:p>
        </w:tc>
        <w:tc>
          <w:tcPr>
            <w:tcW w:w="2232" w:type="dxa"/>
            <w:tcBorders>
              <w:bottom w:val="single" w:sz="8" w:space="0" w:color="000000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b/>
                <w:sz w:val="17"/>
              </w:rPr>
              <w:t>95% CI</w:t>
            </w:r>
          </w:p>
        </w:tc>
        <w:tc>
          <w:tcPr>
            <w:tcW w:w="1656" w:type="dxa"/>
            <w:tcBorders>
              <w:bottom w:val="single" w:sz="8" w:space="0" w:color="000000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b/>
                <w:sz w:val="17"/>
              </w:rPr>
              <w:t>P value</w:t>
            </w:r>
          </w:p>
        </w:tc>
        <w:tc>
          <w:tcPr>
            <w:tcW w:w="1296" w:type="dxa"/>
            <w:tcBorders>
              <w:bottom w:val="single" w:sz="8" w:space="0" w:color="000000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b/>
                <w:sz w:val="17"/>
              </w:rPr>
              <w:t>n</w:t>
            </w:r>
          </w:p>
        </w:tc>
      </w:tr>
      <w:tr w:rsidR="00B12BB7">
        <w:trPr>
          <w:cantSplit/>
          <w:jc w:val="center"/>
        </w:trPr>
        <w:tc>
          <w:tcPr>
            <w:tcW w:w="324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7"/>
              </w:rPr>
              <w:t>Intercept</w:t>
            </w:r>
          </w:p>
        </w:tc>
        <w:tc>
          <w:tcPr>
            <w:tcW w:w="13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0.000</w:t>
            </w:r>
          </w:p>
        </w:tc>
        <w:tc>
          <w:tcPr>
            <w:tcW w:w="223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0.000-0.010</w:t>
            </w:r>
          </w:p>
        </w:tc>
        <w:tc>
          <w:tcPr>
            <w:tcW w:w="165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&lt;0.0001</w:t>
            </w:r>
          </w:p>
        </w:tc>
        <w:tc>
          <w:tcPr>
            <w:tcW w:w="129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246</w:t>
            </w:r>
          </w:p>
        </w:tc>
      </w:tr>
      <w:tr w:rsidR="00B12BB7">
        <w:trPr>
          <w:cantSplit/>
          <w:jc w:val="center"/>
        </w:trPr>
        <w:tc>
          <w:tcPr>
            <w:tcW w:w="324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7"/>
              </w:rPr>
              <w:t>Age, per year</w:t>
            </w:r>
          </w:p>
        </w:tc>
        <w:tc>
          <w:tcPr>
            <w:tcW w:w="13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1.030</w:t>
            </w:r>
          </w:p>
        </w:tc>
        <w:tc>
          <w:tcPr>
            <w:tcW w:w="223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0.981-1.080</w:t>
            </w:r>
          </w:p>
        </w:tc>
        <w:tc>
          <w:tcPr>
            <w:tcW w:w="165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0.2333</w:t>
            </w:r>
          </w:p>
        </w:tc>
        <w:tc>
          <w:tcPr>
            <w:tcW w:w="129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246</w:t>
            </w:r>
          </w:p>
        </w:tc>
      </w:tr>
      <w:tr w:rsidR="00B12BB7">
        <w:trPr>
          <w:cantSplit/>
          <w:jc w:val="center"/>
        </w:trPr>
        <w:tc>
          <w:tcPr>
            <w:tcW w:w="324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7"/>
              </w:rPr>
              <w:t>Female sex</w:t>
            </w:r>
          </w:p>
        </w:tc>
        <w:tc>
          <w:tcPr>
            <w:tcW w:w="13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4.419</w:t>
            </w:r>
          </w:p>
        </w:tc>
        <w:tc>
          <w:tcPr>
            <w:tcW w:w="223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1.700-11.486</w:t>
            </w:r>
          </w:p>
        </w:tc>
        <w:tc>
          <w:tcPr>
            <w:tcW w:w="165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0.0023</w:t>
            </w:r>
          </w:p>
        </w:tc>
        <w:tc>
          <w:tcPr>
            <w:tcW w:w="129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246</w:t>
            </w:r>
          </w:p>
        </w:tc>
      </w:tr>
      <w:tr w:rsidR="00B12BB7">
        <w:trPr>
          <w:cantSplit/>
          <w:jc w:val="center"/>
        </w:trPr>
        <w:tc>
          <w:tcPr>
            <w:tcW w:w="324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proofErr w:type="spellStart"/>
            <w:r>
              <w:rPr>
                <w:sz w:val="17"/>
              </w:rPr>
              <w:t>Killip</w:t>
            </w:r>
            <w:proofErr w:type="spellEnd"/>
            <w:r>
              <w:rPr>
                <w:sz w:val="17"/>
              </w:rPr>
              <w:t xml:space="preserve"> class III-IV</w:t>
            </w:r>
          </w:p>
        </w:tc>
        <w:tc>
          <w:tcPr>
            <w:tcW w:w="13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3.999</w:t>
            </w:r>
          </w:p>
        </w:tc>
        <w:tc>
          <w:tcPr>
            <w:tcW w:w="223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1.369-11.684</w:t>
            </w:r>
          </w:p>
        </w:tc>
        <w:tc>
          <w:tcPr>
            <w:tcW w:w="165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0.0113</w:t>
            </w:r>
          </w:p>
        </w:tc>
        <w:tc>
          <w:tcPr>
            <w:tcW w:w="129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246</w:t>
            </w:r>
          </w:p>
        </w:tc>
      </w:tr>
      <w:tr w:rsidR="00B12BB7">
        <w:trPr>
          <w:cantSplit/>
          <w:jc w:val="center"/>
        </w:trPr>
        <w:tc>
          <w:tcPr>
            <w:tcW w:w="324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7"/>
              </w:rPr>
              <w:t>STEMI</w:t>
            </w:r>
          </w:p>
        </w:tc>
        <w:tc>
          <w:tcPr>
            <w:tcW w:w="13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6.324</w:t>
            </w:r>
          </w:p>
        </w:tc>
        <w:tc>
          <w:tcPr>
            <w:tcW w:w="223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0.818-48.916</w:t>
            </w:r>
          </w:p>
        </w:tc>
        <w:tc>
          <w:tcPr>
            <w:tcW w:w="165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0.0772</w:t>
            </w:r>
          </w:p>
        </w:tc>
        <w:tc>
          <w:tcPr>
            <w:tcW w:w="129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246</w:t>
            </w:r>
          </w:p>
        </w:tc>
      </w:tr>
      <w:tr w:rsidR="00B12BB7">
        <w:trPr>
          <w:cantSplit/>
          <w:jc w:val="center"/>
        </w:trPr>
        <w:tc>
          <w:tcPr>
            <w:tcW w:w="324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7"/>
              </w:rPr>
              <w:t>log2(onset-to-door hours+1)</w:t>
            </w:r>
          </w:p>
        </w:tc>
        <w:tc>
          <w:tcPr>
            <w:tcW w:w="13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2.138</w:t>
            </w:r>
          </w:p>
        </w:tc>
        <w:tc>
          <w:tcPr>
            <w:tcW w:w="223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1.674-2.731</w:t>
            </w:r>
          </w:p>
        </w:tc>
        <w:tc>
          <w:tcPr>
            <w:tcW w:w="165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&lt;0.0001</w:t>
            </w:r>
          </w:p>
        </w:tc>
        <w:tc>
          <w:tcPr>
            <w:tcW w:w="129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246</w:t>
            </w:r>
          </w:p>
        </w:tc>
      </w:tr>
      <w:tr w:rsidR="00B12BB7">
        <w:trPr>
          <w:cantSplit/>
          <w:jc w:val="center"/>
        </w:trPr>
        <w:tc>
          <w:tcPr>
            <w:tcW w:w="324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7"/>
              </w:rPr>
              <w:t>D-dimer, per doubling</w:t>
            </w:r>
          </w:p>
        </w:tc>
        <w:tc>
          <w:tcPr>
            <w:tcW w:w="13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1.601</w:t>
            </w:r>
          </w:p>
        </w:tc>
        <w:tc>
          <w:tcPr>
            <w:tcW w:w="223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1.227-2.087</w:t>
            </w:r>
          </w:p>
        </w:tc>
        <w:tc>
          <w:tcPr>
            <w:tcW w:w="165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0.0005</w:t>
            </w:r>
          </w:p>
        </w:tc>
        <w:tc>
          <w:tcPr>
            <w:tcW w:w="129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7"/>
              </w:rPr>
              <w:t>246</w:t>
            </w:r>
          </w:p>
        </w:tc>
      </w:tr>
    </w:tbl>
    <w:p w:rsidR="00B12BB7" w:rsidRDefault="00C0388C">
      <w:pPr>
        <w:keepLines/>
        <w:spacing w:before="60" w:after="120" w:line="240" w:lineRule="auto"/>
        <w:jc w:val="left"/>
      </w:pPr>
      <w:r>
        <w:rPr>
          <w:i/>
          <w:sz w:val="17"/>
        </w:rPr>
        <w:t>Note. OR = odds ratio; CI = confidence interval. The D-dimer OR is per doubling. Reviewer-requested modeling was post hoc and exploratory.</w:t>
      </w:r>
    </w:p>
    <w:p w:rsidR="00B12BB7" w:rsidRDefault="00C0388C">
      <w:pPr>
        <w:keepNext/>
        <w:spacing w:before="160" w:line="240" w:lineRule="auto"/>
        <w:jc w:val="left"/>
      </w:pPr>
      <w:proofErr w:type="gramStart"/>
      <w:r>
        <w:rPr>
          <w:sz w:val="20"/>
        </w:rPr>
        <w:t>Supplementary Table S2.</w:t>
      </w:r>
      <w:proofErr w:type="gramEnd"/>
      <w:r>
        <w:rPr>
          <w:sz w:val="20"/>
        </w:rPr>
        <w:t xml:space="preserve"> Bootstrap internal validation of the primary clinical and D-dimer-augmented models (2,000 resamples).</w:t>
      </w:r>
    </w:p>
    <w:tbl>
      <w:tblPr>
        <w:tblW w:w="9792" w:type="dxa"/>
        <w:jc w:val="center"/>
        <w:tblBorders>
          <w:top w:val="single" w:sz="12" w:space="0" w:color="000000"/>
          <w:left w:val="none" w:sz="0" w:space="0" w:color="000000"/>
          <w:bottom w:val="single" w:sz="12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4"/>
        <w:gridCol w:w="6768"/>
      </w:tblGrid>
      <w:tr w:rsidR="00B12BB7">
        <w:trPr>
          <w:cantSplit/>
          <w:tblHeader/>
          <w:jc w:val="center"/>
        </w:trPr>
        <w:tc>
          <w:tcPr>
            <w:tcW w:w="3024" w:type="dxa"/>
            <w:tcBorders>
              <w:bottom w:val="single" w:sz="8" w:space="0" w:color="000000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b/>
                <w:sz w:val="16"/>
              </w:rPr>
              <w:t>Metric</w:t>
            </w:r>
          </w:p>
        </w:tc>
        <w:tc>
          <w:tcPr>
            <w:tcW w:w="6768" w:type="dxa"/>
            <w:tcBorders>
              <w:bottom w:val="single" w:sz="8" w:space="0" w:color="000000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b/>
                <w:sz w:val="16"/>
              </w:rPr>
              <w:t>Value</w:t>
            </w:r>
          </w:p>
        </w:tc>
      </w:tr>
      <w:tr w:rsidR="00B12BB7">
        <w:trPr>
          <w:cantSplit/>
          <w:jc w:val="center"/>
        </w:trPr>
        <w:tc>
          <w:tcPr>
            <w:tcW w:w="302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</w:rPr>
              <w:t>Primary base model</w:t>
            </w:r>
          </w:p>
        </w:tc>
        <w:tc>
          <w:tcPr>
            <w:tcW w:w="67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</w:rPr>
              <w:t xml:space="preserve">Age, sex, </w:t>
            </w:r>
            <w:proofErr w:type="spellStart"/>
            <w:r>
              <w:rPr>
                <w:sz w:val="16"/>
              </w:rPr>
              <w:t>Killip</w:t>
            </w:r>
            <w:proofErr w:type="spellEnd"/>
            <w:r>
              <w:rPr>
                <w:sz w:val="16"/>
              </w:rPr>
              <w:t xml:space="preserve"> III-IV, STEMI, log2 onset-to-door</w:t>
            </w:r>
          </w:p>
        </w:tc>
      </w:tr>
      <w:tr w:rsidR="00B12BB7">
        <w:trPr>
          <w:cantSplit/>
          <w:jc w:val="center"/>
        </w:trPr>
        <w:tc>
          <w:tcPr>
            <w:tcW w:w="302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</w:rPr>
              <w:t>Augmented model</w:t>
            </w:r>
          </w:p>
        </w:tc>
        <w:tc>
          <w:tcPr>
            <w:tcW w:w="67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</w:rPr>
              <w:t>Primary base + log2 D-dimer</w:t>
            </w:r>
          </w:p>
        </w:tc>
      </w:tr>
      <w:tr w:rsidR="00B12BB7">
        <w:trPr>
          <w:cantSplit/>
          <w:jc w:val="center"/>
        </w:trPr>
        <w:tc>
          <w:tcPr>
            <w:tcW w:w="302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</w:rPr>
              <w:t>Complete-case sample</w:t>
            </w:r>
          </w:p>
        </w:tc>
        <w:tc>
          <w:tcPr>
            <w:tcW w:w="67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</w:rPr>
              <w:t>n=246; 65 CR events</w:t>
            </w:r>
          </w:p>
        </w:tc>
      </w:tr>
      <w:tr w:rsidR="00B12BB7">
        <w:trPr>
          <w:cantSplit/>
          <w:jc w:val="center"/>
        </w:trPr>
        <w:tc>
          <w:tcPr>
            <w:tcW w:w="302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</w:rPr>
              <w:t>Bootstrap scheme</w:t>
            </w:r>
          </w:p>
        </w:tc>
        <w:tc>
          <w:tcPr>
            <w:tcW w:w="67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</w:rPr>
              <w:t>2,000 resamples stratified by CR and STEMI/NSTEMI</w:t>
            </w:r>
          </w:p>
        </w:tc>
      </w:tr>
      <w:tr w:rsidR="00B12BB7">
        <w:trPr>
          <w:cantSplit/>
          <w:jc w:val="center"/>
        </w:trPr>
        <w:tc>
          <w:tcPr>
            <w:tcW w:w="302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</w:rPr>
              <w:t>Successful resamples</w:t>
            </w:r>
          </w:p>
        </w:tc>
        <w:tc>
          <w:tcPr>
            <w:tcW w:w="67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</w:rPr>
              <w:t>2,000/2,000</w:t>
            </w:r>
          </w:p>
        </w:tc>
      </w:tr>
      <w:tr w:rsidR="00B12BB7">
        <w:trPr>
          <w:cantSplit/>
          <w:jc w:val="center"/>
        </w:trPr>
        <w:tc>
          <w:tcPr>
            <w:tcW w:w="302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</w:rPr>
              <w:t>Apparent AUC</w:t>
            </w:r>
          </w:p>
        </w:tc>
        <w:tc>
          <w:tcPr>
            <w:tcW w:w="67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</w:rPr>
              <w:t>0.9238 / 0.9362</w:t>
            </w:r>
          </w:p>
        </w:tc>
      </w:tr>
      <w:tr w:rsidR="00B12BB7">
        <w:trPr>
          <w:cantSplit/>
          <w:jc w:val="center"/>
        </w:trPr>
        <w:tc>
          <w:tcPr>
            <w:tcW w:w="302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</w:rPr>
              <w:t>Optimism</w:t>
            </w:r>
          </w:p>
        </w:tc>
        <w:tc>
          <w:tcPr>
            <w:tcW w:w="67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</w:rPr>
              <w:t>0.0072 / 0.0091</w:t>
            </w:r>
          </w:p>
        </w:tc>
      </w:tr>
      <w:tr w:rsidR="00B12BB7">
        <w:trPr>
          <w:cantSplit/>
          <w:jc w:val="center"/>
        </w:trPr>
        <w:tc>
          <w:tcPr>
            <w:tcW w:w="302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</w:rPr>
              <w:t>Optimism-corrected AUC</w:t>
            </w:r>
          </w:p>
        </w:tc>
        <w:tc>
          <w:tcPr>
            <w:tcW w:w="67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</w:rPr>
              <w:t>0.9167 / 0.9271</w:t>
            </w:r>
          </w:p>
        </w:tc>
      </w:tr>
      <w:tr w:rsidR="00B12BB7">
        <w:trPr>
          <w:cantSplit/>
          <w:jc w:val="center"/>
        </w:trPr>
        <w:tc>
          <w:tcPr>
            <w:tcW w:w="302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</w:rPr>
              <w:t>Corrected delta AUC</w:t>
            </w:r>
          </w:p>
        </w:tc>
        <w:tc>
          <w:tcPr>
            <w:tcW w:w="676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</w:rPr>
              <w:t>0.0104 (diagnostic range -0.0103 to 0.0222)</w:t>
            </w:r>
          </w:p>
        </w:tc>
      </w:tr>
    </w:tbl>
    <w:p w:rsidR="00B12BB7" w:rsidRDefault="00C0388C">
      <w:pPr>
        <w:keepNext/>
        <w:spacing w:before="160" w:line="240" w:lineRule="auto"/>
        <w:jc w:val="left"/>
      </w:pPr>
      <w:proofErr w:type="gramStart"/>
      <w:r>
        <w:rPr>
          <w:sz w:val="20"/>
        </w:rPr>
        <w:t>Supplementary Table S3.</w:t>
      </w:r>
      <w:proofErr w:type="gramEnd"/>
      <w:r>
        <w:rPr>
          <w:sz w:val="20"/>
        </w:rPr>
        <w:t xml:space="preserve"> Coagulation profile comparison between FWR (n=39) and VSR (n=28).</w:t>
      </w:r>
    </w:p>
    <w:tbl>
      <w:tblPr>
        <w:tblW w:w="9792" w:type="dxa"/>
        <w:jc w:val="center"/>
        <w:tblBorders>
          <w:top w:val="single" w:sz="12" w:space="0" w:color="000000"/>
          <w:left w:val="none" w:sz="0" w:space="0" w:color="000000"/>
          <w:bottom w:val="single" w:sz="12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0"/>
        <w:gridCol w:w="2448"/>
        <w:gridCol w:w="2448"/>
        <w:gridCol w:w="2016"/>
      </w:tblGrid>
      <w:tr w:rsidR="00B12BB7">
        <w:trPr>
          <w:cantSplit/>
          <w:tblHeader/>
          <w:jc w:val="center"/>
        </w:trPr>
        <w:tc>
          <w:tcPr>
            <w:tcW w:w="2880" w:type="dxa"/>
            <w:tcBorders>
              <w:bottom w:val="single" w:sz="8" w:space="0" w:color="000000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b/>
                <w:bCs/>
                <w:sz w:val="16"/>
                <w:szCs w:val="20"/>
              </w:rPr>
              <w:t>Marker</w:t>
            </w:r>
          </w:p>
        </w:tc>
        <w:tc>
          <w:tcPr>
            <w:tcW w:w="2448" w:type="dxa"/>
            <w:tcBorders>
              <w:bottom w:val="single" w:sz="8" w:space="0" w:color="000000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b/>
                <w:bCs/>
                <w:sz w:val="16"/>
                <w:szCs w:val="20"/>
              </w:rPr>
              <w:t>FWR (n=39)</w:t>
            </w:r>
          </w:p>
        </w:tc>
        <w:tc>
          <w:tcPr>
            <w:tcW w:w="2448" w:type="dxa"/>
            <w:tcBorders>
              <w:bottom w:val="single" w:sz="8" w:space="0" w:color="000000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b/>
                <w:bCs/>
                <w:sz w:val="16"/>
                <w:szCs w:val="20"/>
              </w:rPr>
              <w:t>VSR (n=28)</w:t>
            </w:r>
          </w:p>
        </w:tc>
        <w:tc>
          <w:tcPr>
            <w:tcW w:w="2016" w:type="dxa"/>
            <w:tcBorders>
              <w:bottom w:val="single" w:sz="8" w:space="0" w:color="000000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b/>
                <w:bCs/>
                <w:sz w:val="16"/>
                <w:szCs w:val="20"/>
              </w:rPr>
              <w:t>P value</w:t>
            </w:r>
          </w:p>
        </w:tc>
      </w:tr>
      <w:tr w:rsidR="00B12BB7">
        <w:trPr>
          <w:cantSplit/>
          <w:jc w:val="center"/>
        </w:trPr>
        <w:tc>
          <w:tcPr>
            <w:tcW w:w="288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  <w:szCs w:val="20"/>
              </w:rPr>
              <w:t>APTT, sec</w:t>
            </w:r>
          </w:p>
        </w:tc>
        <w:tc>
          <w:tcPr>
            <w:tcW w:w="24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35.60 (29.10–43.35)</w:t>
            </w:r>
          </w:p>
        </w:tc>
        <w:tc>
          <w:tcPr>
            <w:tcW w:w="24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30.20 (27.05–36.05)</w:t>
            </w:r>
          </w:p>
        </w:tc>
        <w:tc>
          <w:tcPr>
            <w:tcW w:w="201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0.026</w:t>
            </w:r>
          </w:p>
        </w:tc>
      </w:tr>
      <w:tr w:rsidR="00B12BB7">
        <w:trPr>
          <w:cantSplit/>
          <w:jc w:val="center"/>
        </w:trPr>
        <w:tc>
          <w:tcPr>
            <w:tcW w:w="288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  <w:szCs w:val="20"/>
              </w:rPr>
              <w:t>PT, sec</w:t>
            </w:r>
          </w:p>
        </w:tc>
        <w:tc>
          <w:tcPr>
            <w:tcW w:w="24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13.60 (12.65–14.25)</w:t>
            </w:r>
          </w:p>
        </w:tc>
        <w:tc>
          <w:tcPr>
            <w:tcW w:w="24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13.90 (12.25–14.80)</w:t>
            </w:r>
          </w:p>
        </w:tc>
        <w:tc>
          <w:tcPr>
            <w:tcW w:w="201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0.855</w:t>
            </w:r>
          </w:p>
        </w:tc>
      </w:tr>
      <w:tr w:rsidR="00B12BB7">
        <w:trPr>
          <w:cantSplit/>
          <w:jc w:val="center"/>
        </w:trPr>
        <w:tc>
          <w:tcPr>
            <w:tcW w:w="288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  <w:szCs w:val="20"/>
              </w:rPr>
              <w:t>Fibrinogen, g/L</w:t>
            </w:r>
          </w:p>
        </w:tc>
        <w:tc>
          <w:tcPr>
            <w:tcW w:w="24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3.87 (2.68–4.97)</w:t>
            </w:r>
          </w:p>
        </w:tc>
        <w:tc>
          <w:tcPr>
            <w:tcW w:w="24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3.78 (3.11–5.08)</w:t>
            </w:r>
          </w:p>
        </w:tc>
        <w:tc>
          <w:tcPr>
            <w:tcW w:w="201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0.415</w:t>
            </w:r>
          </w:p>
        </w:tc>
      </w:tr>
      <w:tr w:rsidR="00B12BB7">
        <w:trPr>
          <w:cantSplit/>
          <w:jc w:val="center"/>
        </w:trPr>
        <w:tc>
          <w:tcPr>
            <w:tcW w:w="288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</w:rPr>
              <w:t>D-dimer, microgram/mL</w:t>
            </w:r>
          </w:p>
        </w:tc>
        <w:tc>
          <w:tcPr>
            <w:tcW w:w="24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1.74 (0.51–3.81)</w:t>
            </w:r>
          </w:p>
        </w:tc>
        <w:tc>
          <w:tcPr>
            <w:tcW w:w="24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2.38 (1.20–3.79)</w:t>
            </w:r>
          </w:p>
        </w:tc>
        <w:tc>
          <w:tcPr>
            <w:tcW w:w="201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0.213</w:t>
            </w:r>
          </w:p>
        </w:tc>
      </w:tr>
      <w:tr w:rsidR="00B12BB7">
        <w:trPr>
          <w:cantSplit/>
          <w:jc w:val="center"/>
        </w:trPr>
        <w:tc>
          <w:tcPr>
            <w:tcW w:w="288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</w:rPr>
              <w:t>D-dimer/Fib Ratio</w:t>
            </w:r>
          </w:p>
        </w:tc>
        <w:tc>
          <w:tcPr>
            <w:tcW w:w="24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0.52 (0.11–0.99)</w:t>
            </w:r>
          </w:p>
        </w:tc>
        <w:tc>
          <w:tcPr>
            <w:tcW w:w="24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0.61 (0.31–0.88)</w:t>
            </w:r>
          </w:p>
        </w:tc>
        <w:tc>
          <w:tcPr>
            <w:tcW w:w="201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0.333</w:t>
            </w:r>
          </w:p>
        </w:tc>
      </w:tr>
      <w:tr w:rsidR="00B12BB7">
        <w:trPr>
          <w:cantSplit/>
          <w:jc w:val="center"/>
        </w:trPr>
        <w:tc>
          <w:tcPr>
            <w:tcW w:w="288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  <w:szCs w:val="20"/>
              </w:rPr>
              <w:t>In-hospital death</w:t>
            </w:r>
          </w:p>
        </w:tc>
        <w:tc>
          <w:tcPr>
            <w:tcW w:w="24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38 (97.4%)</w:t>
            </w:r>
          </w:p>
        </w:tc>
        <w:tc>
          <w:tcPr>
            <w:tcW w:w="24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16 (57.1%)</w:t>
            </w:r>
          </w:p>
        </w:tc>
        <w:tc>
          <w:tcPr>
            <w:tcW w:w="201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&lt;0.001</w:t>
            </w:r>
          </w:p>
        </w:tc>
      </w:tr>
      <w:tr w:rsidR="00B12BB7">
        <w:trPr>
          <w:cantSplit/>
          <w:jc w:val="center"/>
        </w:trPr>
        <w:tc>
          <w:tcPr>
            <w:tcW w:w="288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proofErr w:type="spellStart"/>
            <w:r>
              <w:rPr>
                <w:sz w:val="16"/>
                <w:szCs w:val="20"/>
              </w:rPr>
              <w:t>Killip</w:t>
            </w:r>
            <w:proofErr w:type="spellEnd"/>
            <w:r>
              <w:rPr>
                <w:sz w:val="16"/>
                <w:szCs w:val="20"/>
              </w:rPr>
              <w:t xml:space="preserve"> III–IV</w:t>
            </w:r>
          </w:p>
        </w:tc>
        <w:tc>
          <w:tcPr>
            <w:tcW w:w="24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12 (30.8%)</w:t>
            </w:r>
          </w:p>
        </w:tc>
        <w:tc>
          <w:tcPr>
            <w:tcW w:w="24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18 (64.3%)</w:t>
            </w:r>
          </w:p>
        </w:tc>
        <w:tc>
          <w:tcPr>
            <w:tcW w:w="201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0.007</w:t>
            </w:r>
          </w:p>
        </w:tc>
      </w:tr>
    </w:tbl>
    <w:p w:rsidR="00B12BB7" w:rsidRDefault="00C0388C">
      <w:pPr>
        <w:keepLines/>
        <w:spacing w:before="60" w:after="120" w:line="240" w:lineRule="auto"/>
        <w:jc w:val="left"/>
      </w:pPr>
      <w:r>
        <w:rPr>
          <w:i/>
          <w:sz w:val="17"/>
        </w:rPr>
        <w:t>Note. Data are presented as median (IQR) or n (%). PMR (n=4) excluded due to insufficient sample size.</w:t>
      </w:r>
    </w:p>
    <w:p w:rsidR="00B12BB7" w:rsidRDefault="00C0388C">
      <w:pPr>
        <w:keepNext/>
        <w:spacing w:before="160" w:line="240" w:lineRule="auto"/>
        <w:jc w:val="left"/>
      </w:pPr>
      <w:proofErr w:type="gramStart"/>
      <w:r>
        <w:rPr>
          <w:b/>
          <w:bCs/>
          <w:sz w:val="20"/>
        </w:rPr>
        <w:lastRenderedPageBreak/>
        <w:t>Supplementary Table S4.</w:t>
      </w:r>
      <w:proofErr w:type="gramEnd"/>
      <w:r>
        <w:rPr>
          <w:b/>
          <w:bCs/>
          <w:sz w:val="20"/>
        </w:rPr>
        <w:t xml:space="preserve"> </w:t>
      </w:r>
      <w:r>
        <w:rPr>
          <w:sz w:val="20"/>
        </w:rPr>
        <w:t>Coagulation profile comparison between early (≤3 days, n=28) and late (&gt;3 days, n=43) rupture.</w:t>
      </w:r>
    </w:p>
    <w:tbl>
      <w:tblPr>
        <w:tblW w:w="9792" w:type="dxa"/>
        <w:jc w:val="center"/>
        <w:tblBorders>
          <w:top w:val="single" w:sz="12" w:space="0" w:color="000000"/>
          <w:left w:val="none" w:sz="0" w:space="0" w:color="000000"/>
          <w:bottom w:val="single" w:sz="12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0"/>
        <w:gridCol w:w="2448"/>
        <w:gridCol w:w="2448"/>
        <w:gridCol w:w="2016"/>
      </w:tblGrid>
      <w:tr w:rsidR="00B12BB7">
        <w:trPr>
          <w:cantSplit/>
          <w:tblHeader/>
          <w:jc w:val="center"/>
        </w:trPr>
        <w:tc>
          <w:tcPr>
            <w:tcW w:w="2880" w:type="dxa"/>
            <w:tcBorders>
              <w:bottom w:val="single" w:sz="8" w:space="0" w:color="000000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b/>
                <w:bCs/>
                <w:sz w:val="16"/>
                <w:szCs w:val="20"/>
              </w:rPr>
              <w:t>Marker</w:t>
            </w:r>
          </w:p>
        </w:tc>
        <w:tc>
          <w:tcPr>
            <w:tcW w:w="2448" w:type="dxa"/>
            <w:tcBorders>
              <w:bottom w:val="single" w:sz="8" w:space="0" w:color="000000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b/>
                <w:bCs/>
                <w:sz w:val="16"/>
                <w:szCs w:val="20"/>
              </w:rPr>
              <w:t>Early ≤3d (n=28)</w:t>
            </w:r>
          </w:p>
        </w:tc>
        <w:tc>
          <w:tcPr>
            <w:tcW w:w="2448" w:type="dxa"/>
            <w:tcBorders>
              <w:bottom w:val="single" w:sz="8" w:space="0" w:color="000000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b/>
                <w:bCs/>
                <w:sz w:val="16"/>
                <w:szCs w:val="20"/>
              </w:rPr>
              <w:t>Late &gt;3d (n=43)</w:t>
            </w:r>
          </w:p>
        </w:tc>
        <w:tc>
          <w:tcPr>
            <w:tcW w:w="2016" w:type="dxa"/>
            <w:tcBorders>
              <w:bottom w:val="single" w:sz="8" w:space="0" w:color="000000"/>
            </w:tcBorders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b/>
                <w:bCs/>
                <w:sz w:val="16"/>
                <w:szCs w:val="20"/>
              </w:rPr>
              <w:t>P value</w:t>
            </w:r>
          </w:p>
        </w:tc>
      </w:tr>
      <w:tr w:rsidR="00B12BB7">
        <w:trPr>
          <w:cantSplit/>
          <w:jc w:val="center"/>
        </w:trPr>
        <w:tc>
          <w:tcPr>
            <w:tcW w:w="288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  <w:szCs w:val="20"/>
              </w:rPr>
              <w:t>APTT, sec</w:t>
            </w:r>
          </w:p>
        </w:tc>
        <w:tc>
          <w:tcPr>
            <w:tcW w:w="24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31.25 (27.93–38.75)</w:t>
            </w:r>
          </w:p>
        </w:tc>
        <w:tc>
          <w:tcPr>
            <w:tcW w:w="24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33.00 (28.18–41.07)</w:t>
            </w:r>
          </w:p>
        </w:tc>
        <w:tc>
          <w:tcPr>
            <w:tcW w:w="201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0.829</w:t>
            </w:r>
          </w:p>
        </w:tc>
      </w:tr>
      <w:tr w:rsidR="00B12BB7">
        <w:trPr>
          <w:cantSplit/>
          <w:jc w:val="center"/>
        </w:trPr>
        <w:tc>
          <w:tcPr>
            <w:tcW w:w="288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  <w:szCs w:val="20"/>
              </w:rPr>
              <w:t>PT, sec</w:t>
            </w:r>
          </w:p>
        </w:tc>
        <w:tc>
          <w:tcPr>
            <w:tcW w:w="24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13.55 (12.15–14.75)</w:t>
            </w:r>
          </w:p>
        </w:tc>
        <w:tc>
          <w:tcPr>
            <w:tcW w:w="24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13.85 (12.62–14.50)</w:t>
            </w:r>
          </w:p>
        </w:tc>
        <w:tc>
          <w:tcPr>
            <w:tcW w:w="201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0.728</w:t>
            </w:r>
          </w:p>
        </w:tc>
      </w:tr>
      <w:tr w:rsidR="00B12BB7">
        <w:trPr>
          <w:cantSplit/>
          <w:jc w:val="center"/>
        </w:trPr>
        <w:tc>
          <w:tcPr>
            <w:tcW w:w="288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  <w:szCs w:val="20"/>
              </w:rPr>
              <w:t>Fibrinogen, g/L</w:t>
            </w:r>
          </w:p>
        </w:tc>
        <w:tc>
          <w:tcPr>
            <w:tcW w:w="24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3.29 (2.89–4.61)</w:t>
            </w:r>
          </w:p>
        </w:tc>
        <w:tc>
          <w:tcPr>
            <w:tcW w:w="24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4.34 (2.82–5.64)</w:t>
            </w:r>
          </w:p>
        </w:tc>
        <w:tc>
          <w:tcPr>
            <w:tcW w:w="201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0.200</w:t>
            </w:r>
          </w:p>
        </w:tc>
      </w:tr>
      <w:tr w:rsidR="00B12BB7">
        <w:trPr>
          <w:cantSplit/>
          <w:jc w:val="center"/>
        </w:trPr>
        <w:tc>
          <w:tcPr>
            <w:tcW w:w="288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</w:rPr>
              <w:t>D-dimer, microgram/mL</w:t>
            </w:r>
          </w:p>
        </w:tc>
        <w:tc>
          <w:tcPr>
            <w:tcW w:w="24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2.02 (1.00–3.79)</w:t>
            </w:r>
          </w:p>
        </w:tc>
        <w:tc>
          <w:tcPr>
            <w:tcW w:w="24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1.77 (0.67–3.45)</w:t>
            </w:r>
          </w:p>
        </w:tc>
        <w:tc>
          <w:tcPr>
            <w:tcW w:w="201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0.407</w:t>
            </w:r>
          </w:p>
        </w:tc>
      </w:tr>
      <w:tr w:rsidR="00B12BB7">
        <w:trPr>
          <w:cantSplit/>
          <w:jc w:val="center"/>
        </w:trPr>
        <w:tc>
          <w:tcPr>
            <w:tcW w:w="288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</w:rPr>
              <w:t>D-dimer/Fib Ratio</w:t>
            </w:r>
          </w:p>
        </w:tc>
        <w:tc>
          <w:tcPr>
            <w:tcW w:w="24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0.61 (0.31–0.96)</w:t>
            </w:r>
          </w:p>
        </w:tc>
        <w:tc>
          <w:tcPr>
            <w:tcW w:w="24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0.50 (0.12–0.80)</w:t>
            </w:r>
          </w:p>
        </w:tc>
        <w:tc>
          <w:tcPr>
            <w:tcW w:w="201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0.189</w:t>
            </w:r>
          </w:p>
        </w:tc>
      </w:tr>
      <w:tr w:rsidR="00B12BB7">
        <w:trPr>
          <w:cantSplit/>
          <w:jc w:val="center"/>
        </w:trPr>
        <w:tc>
          <w:tcPr>
            <w:tcW w:w="2880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left"/>
            </w:pPr>
            <w:r>
              <w:rPr>
                <w:sz w:val="16"/>
                <w:szCs w:val="20"/>
              </w:rPr>
              <w:t>In-hospital death</w:t>
            </w:r>
          </w:p>
        </w:tc>
        <w:tc>
          <w:tcPr>
            <w:tcW w:w="24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24 (85.7%)</w:t>
            </w:r>
          </w:p>
        </w:tc>
        <w:tc>
          <w:tcPr>
            <w:tcW w:w="244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32 (74.4%)</w:t>
            </w:r>
          </w:p>
        </w:tc>
        <w:tc>
          <w:tcPr>
            <w:tcW w:w="201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B12BB7" w:rsidRDefault="00C0388C">
            <w:pPr>
              <w:keepLines/>
              <w:spacing w:after="0" w:line="240" w:lineRule="auto"/>
              <w:jc w:val="center"/>
            </w:pPr>
            <w:r>
              <w:rPr>
                <w:sz w:val="16"/>
                <w:szCs w:val="20"/>
              </w:rPr>
              <w:t>0.254</w:t>
            </w:r>
          </w:p>
        </w:tc>
      </w:tr>
    </w:tbl>
    <w:p w:rsidR="00B12BB7" w:rsidRDefault="00C0388C">
      <w:pPr>
        <w:keepLines/>
        <w:spacing w:before="60" w:after="120" w:line="240" w:lineRule="auto"/>
        <w:jc w:val="left"/>
      </w:pPr>
      <w:r>
        <w:rPr>
          <w:i/>
          <w:sz w:val="17"/>
        </w:rPr>
        <w:t>Note. Data are presented as median (IQR) or n (%). Early rupture defined as ≤3 days from AMI onset.</w:t>
      </w:r>
    </w:p>
    <w:p w:rsidR="00B12BB7" w:rsidRDefault="00B12BB7">
      <w:bookmarkStart w:id="0" w:name="_GoBack"/>
      <w:bookmarkEnd w:id="0"/>
    </w:p>
    <w:sectPr w:rsidR="00B12BB7">
      <w:headerReference w:type="default" r:id="rId7"/>
      <w:footerReference w:type="default" r:id="rId8"/>
      <w:pgSz w:w="12240" w:h="15840"/>
      <w:pgMar w:top="1152" w:right="1224" w:bottom="1152" w:left="122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214" w:rsidRDefault="00616214">
      <w:pPr>
        <w:spacing w:line="240" w:lineRule="auto"/>
      </w:pPr>
      <w:r>
        <w:separator/>
      </w:r>
    </w:p>
  </w:endnote>
  <w:endnote w:type="continuationSeparator" w:id="0">
    <w:p w:rsidR="00616214" w:rsidRDefault="006162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88C" w:rsidRDefault="00C0388C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4547FC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214" w:rsidRDefault="00616214">
      <w:pPr>
        <w:spacing w:after="0"/>
      </w:pPr>
      <w:r>
        <w:separator/>
      </w:r>
    </w:p>
  </w:footnote>
  <w:footnote w:type="continuationSeparator" w:id="0">
    <w:p w:rsidR="00616214" w:rsidRDefault="0061621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88C" w:rsidRDefault="00C0388C">
    <w:pPr>
      <w:jc w:val="right"/>
    </w:pPr>
    <w:r>
      <w:rPr>
        <w:color w:val="595959"/>
        <w:sz w:val="18"/>
      </w:rPr>
      <w:t>D-dimer and Subsequent Cardiac Rupture After AMI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displayBackgroundShape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B12BB7"/>
    <w:rsid w:val="3F4EFA81"/>
    <w:rsid w:val="5754EF52"/>
    <w:rsid w:val="5EABB161"/>
    <w:rsid w:val="78FADCE8"/>
    <w:rsid w:val="7B0EFBD5"/>
    <w:rsid w:val="7D7F1854"/>
    <w:rsid w:val="7D9F5B93"/>
    <w:rsid w:val="7FAED7B3"/>
    <w:rsid w:val="7FF888D3"/>
    <w:rsid w:val="87B8242B"/>
    <w:rsid w:val="BDBF5DAB"/>
    <w:rsid w:val="BF756679"/>
    <w:rsid w:val="D6CED711"/>
    <w:rsid w:val="DFFE07BC"/>
    <w:rsid w:val="DFFFC228"/>
    <w:rsid w:val="F37E77B4"/>
    <w:rsid w:val="FBFD3A6C"/>
    <w:rsid w:val="FEBD1703"/>
    <w:rsid w:val="FF9B089B"/>
    <w:rsid w:val="FFFEA85B"/>
    <w:rsid w:val="004547FC"/>
    <w:rsid w:val="00616214"/>
    <w:rsid w:val="00A823C3"/>
    <w:rsid w:val="00B12BB7"/>
    <w:rsid w:val="00C0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/>
    <w:lsdException w:name="caption" w:semiHidden="1" w:unhideWhenUsed="1" w:qFormat="1"/>
    <w:lsdException w:name="footnote reference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spacing w:after="80" w:line="259" w:lineRule="auto"/>
      <w:jc w:val="both"/>
    </w:pPr>
    <w:rPr>
      <w:rFonts w:eastAsia="Times New Roman"/>
      <w:sz w:val="21"/>
      <w:szCs w:val="24"/>
    </w:rPr>
  </w:style>
  <w:style w:type="paragraph" w:styleId="Heading1">
    <w:name w:val="heading 1"/>
    <w:next w:val="Normal"/>
    <w:qFormat/>
    <w:pPr>
      <w:outlineLvl w:val="0"/>
    </w:pPr>
    <w:rPr>
      <w:rFonts w:eastAsia="Times New Roman"/>
      <w:color w:val="2E74B5"/>
      <w:sz w:val="32"/>
      <w:szCs w:val="32"/>
    </w:rPr>
  </w:style>
  <w:style w:type="paragraph" w:styleId="Heading2">
    <w:name w:val="heading 2"/>
    <w:next w:val="Normal"/>
    <w:qFormat/>
    <w:pPr>
      <w:outlineLvl w:val="1"/>
    </w:pPr>
    <w:rPr>
      <w:rFonts w:eastAsia="Times New Roman"/>
      <w:color w:val="2E74B5"/>
      <w:sz w:val="26"/>
      <w:szCs w:val="26"/>
    </w:rPr>
  </w:style>
  <w:style w:type="paragraph" w:styleId="Heading3">
    <w:name w:val="heading 3"/>
    <w:next w:val="Normal"/>
    <w:qFormat/>
    <w:pPr>
      <w:outlineLvl w:val="2"/>
    </w:pPr>
    <w:rPr>
      <w:rFonts w:eastAsia="Times New Roman"/>
      <w:color w:val="1F4D78"/>
      <w:sz w:val="24"/>
      <w:szCs w:val="24"/>
    </w:rPr>
  </w:style>
  <w:style w:type="paragraph" w:styleId="Heading4">
    <w:name w:val="heading 4"/>
    <w:next w:val="Normal"/>
    <w:qFormat/>
    <w:pPr>
      <w:outlineLvl w:val="3"/>
    </w:pPr>
    <w:rPr>
      <w:rFonts w:eastAsia="Times New Roman"/>
      <w:i/>
      <w:iCs/>
      <w:color w:val="2E74B5"/>
      <w:sz w:val="24"/>
      <w:szCs w:val="24"/>
    </w:rPr>
  </w:style>
  <w:style w:type="paragraph" w:styleId="Heading5">
    <w:name w:val="heading 5"/>
    <w:next w:val="Normal"/>
    <w:qFormat/>
    <w:pPr>
      <w:outlineLvl w:val="4"/>
    </w:pPr>
    <w:rPr>
      <w:rFonts w:eastAsia="Times New Roman"/>
      <w:color w:val="2E74B5"/>
      <w:sz w:val="24"/>
      <w:szCs w:val="24"/>
    </w:rPr>
  </w:style>
  <w:style w:type="paragraph" w:styleId="Heading6">
    <w:name w:val="heading 6"/>
    <w:next w:val="Normal"/>
    <w:qFormat/>
    <w:pPr>
      <w:outlineLvl w:val="5"/>
    </w:pPr>
    <w:rPr>
      <w:rFonts w:eastAsia="Times New Roman"/>
      <w:color w:val="1F4D7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link w:val="EndnoteTextChar"/>
    <w:uiPriority w:val="99"/>
    <w:semiHidden/>
    <w:unhideWhenUsed/>
    <w:rPr>
      <w:rFonts w:eastAsia="Times New Roman"/>
    </w:rPr>
  </w:style>
  <w:style w:type="paragraph" w:styleId="FootnoteText">
    <w:name w:val="footnote text"/>
    <w:link w:val="FootnoteTextChar"/>
    <w:uiPriority w:val="99"/>
    <w:semiHidden/>
    <w:unhideWhenUsed/>
    <w:rPr>
      <w:rFonts w:eastAsia="Times New Roman"/>
    </w:rPr>
  </w:style>
  <w:style w:type="paragraph" w:styleId="Title">
    <w:name w:val="Title"/>
    <w:qFormat/>
    <w:rPr>
      <w:rFonts w:eastAsia="Times New Roman"/>
      <w:sz w:val="56"/>
      <w:szCs w:val="56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ListParagraph">
    <w:name w:val="List Paragraph"/>
    <w:qFormat/>
    <w:rPr>
      <w:rFonts w:eastAsia="Times New Roman"/>
      <w:sz w:val="24"/>
      <w:szCs w:val="24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/>
    <w:lsdException w:name="caption" w:semiHidden="1" w:unhideWhenUsed="1" w:qFormat="1"/>
    <w:lsdException w:name="footnote reference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spacing w:after="80" w:line="259" w:lineRule="auto"/>
      <w:jc w:val="both"/>
    </w:pPr>
    <w:rPr>
      <w:rFonts w:eastAsia="Times New Roman"/>
      <w:sz w:val="21"/>
      <w:szCs w:val="24"/>
    </w:rPr>
  </w:style>
  <w:style w:type="paragraph" w:styleId="Heading1">
    <w:name w:val="heading 1"/>
    <w:next w:val="Normal"/>
    <w:qFormat/>
    <w:pPr>
      <w:outlineLvl w:val="0"/>
    </w:pPr>
    <w:rPr>
      <w:rFonts w:eastAsia="Times New Roman"/>
      <w:color w:val="2E74B5"/>
      <w:sz w:val="32"/>
      <w:szCs w:val="32"/>
    </w:rPr>
  </w:style>
  <w:style w:type="paragraph" w:styleId="Heading2">
    <w:name w:val="heading 2"/>
    <w:next w:val="Normal"/>
    <w:qFormat/>
    <w:pPr>
      <w:outlineLvl w:val="1"/>
    </w:pPr>
    <w:rPr>
      <w:rFonts w:eastAsia="Times New Roman"/>
      <w:color w:val="2E74B5"/>
      <w:sz w:val="26"/>
      <w:szCs w:val="26"/>
    </w:rPr>
  </w:style>
  <w:style w:type="paragraph" w:styleId="Heading3">
    <w:name w:val="heading 3"/>
    <w:next w:val="Normal"/>
    <w:qFormat/>
    <w:pPr>
      <w:outlineLvl w:val="2"/>
    </w:pPr>
    <w:rPr>
      <w:rFonts w:eastAsia="Times New Roman"/>
      <w:color w:val="1F4D78"/>
      <w:sz w:val="24"/>
      <w:szCs w:val="24"/>
    </w:rPr>
  </w:style>
  <w:style w:type="paragraph" w:styleId="Heading4">
    <w:name w:val="heading 4"/>
    <w:next w:val="Normal"/>
    <w:qFormat/>
    <w:pPr>
      <w:outlineLvl w:val="3"/>
    </w:pPr>
    <w:rPr>
      <w:rFonts w:eastAsia="Times New Roman"/>
      <w:i/>
      <w:iCs/>
      <w:color w:val="2E74B5"/>
      <w:sz w:val="24"/>
      <w:szCs w:val="24"/>
    </w:rPr>
  </w:style>
  <w:style w:type="paragraph" w:styleId="Heading5">
    <w:name w:val="heading 5"/>
    <w:next w:val="Normal"/>
    <w:qFormat/>
    <w:pPr>
      <w:outlineLvl w:val="4"/>
    </w:pPr>
    <w:rPr>
      <w:rFonts w:eastAsia="Times New Roman"/>
      <w:color w:val="2E74B5"/>
      <w:sz w:val="24"/>
      <w:szCs w:val="24"/>
    </w:rPr>
  </w:style>
  <w:style w:type="paragraph" w:styleId="Heading6">
    <w:name w:val="heading 6"/>
    <w:next w:val="Normal"/>
    <w:qFormat/>
    <w:pPr>
      <w:outlineLvl w:val="5"/>
    </w:pPr>
    <w:rPr>
      <w:rFonts w:eastAsia="Times New Roman"/>
      <w:color w:val="1F4D7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link w:val="EndnoteTextChar"/>
    <w:uiPriority w:val="99"/>
    <w:semiHidden/>
    <w:unhideWhenUsed/>
    <w:rPr>
      <w:rFonts w:eastAsia="Times New Roman"/>
    </w:rPr>
  </w:style>
  <w:style w:type="paragraph" w:styleId="FootnoteText">
    <w:name w:val="footnote text"/>
    <w:link w:val="FootnoteTextChar"/>
    <w:uiPriority w:val="99"/>
    <w:semiHidden/>
    <w:unhideWhenUsed/>
    <w:rPr>
      <w:rFonts w:eastAsia="Times New Roman"/>
    </w:rPr>
  </w:style>
  <w:style w:type="paragraph" w:styleId="Title">
    <w:name w:val="Title"/>
    <w:qFormat/>
    <w:rPr>
      <w:rFonts w:eastAsia="Times New Roman"/>
      <w:sz w:val="56"/>
      <w:szCs w:val="56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ListParagraph">
    <w:name w:val="List Paragraph"/>
    <w:qFormat/>
    <w:rPr>
      <w:rFonts w:eastAsia="Times New Roman"/>
      <w:sz w:val="24"/>
      <w:szCs w:val="24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Hungoy, Jasley</dc:creator>
  <cp:lastModifiedBy>Hungoy, Jasley</cp:lastModifiedBy>
  <cp:revision>2</cp:revision>
  <dcterms:created xsi:type="dcterms:W3CDTF">2026-08-31T23:13:00Z</dcterms:created>
  <dcterms:modified xsi:type="dcterms:W3CDTF">2026-08-31T23:13:00Z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2052-12.1.23141.23141</vt:lpwstr>
  </property>
  <property fmtid="{D5CDD505-2E9C-101B-9397-08002B2CF9AE}" pid="3" name="ICV">
    <vt:lpwstr>F51788CC15E6342F237A106A682B5661_43</vt:lpwstr>
  </property>
</Properties>
</file>