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B9872A">
      <w:pPr>
        <w:spacing w:before="240" w:beforeLines="100" w:after="240" w:afterLines="100" w:line="360" w:lineRule="exact"/>
        <w:ind w:firstLine="1281" w:firstLineChars="400"/>
        <w:jc w:val="both"/>
        <w:rPr>
          <w:rFonts w:ascii="Times New Roman Bold" w:hAnsi="Times New Roman Bold" w:eastAsia="华文中宋" w:cs="Times New Roman Bold"/>
          <w:b/>
          <w:color w:val="000000" w:themeColor="text1"/>
          <w:sz w:val="32"/>
          <w:szCs w:val="32"/>
          <w14:textFill>
            <w14:solidFill>
              <w14:schemeClr w14:val="tx1"/>
            </w14:solidFill>
          </w14:textFill>
        </w:rPr>
        <w:sectPr>
          <w:pgSz w:w="15840" w:h="12240" w:orient="landscape"/>
          <w:pgMar w:top="792" w:right="648" w:bottom="792" w:left="648" w:header="708" w:footer="708" w:gutter="0"/>
          <w:cols w:space="708" w:num="1"/>
          <w:docGrid w:linePitch="360" w:charSpace="0"/>
        </w:sectPr>
      </w:pPr>
    </w:p>
    <w:p w14:paraId="1A484445">
      <w:pPr>
        <w:spacing w:before="240" w:beforeLines="100" w:after="240" w:afterLines="100" w:line="360" w:lineRule="exact"/>
        <w:ind w:firstLine="1281" w:firstLineChars="400"/>
        <w:jc w:val="both"/>
        <w:rPr>
          <w:rFonts w:ascii="Times New Roman Bold" w:hAnsi="Times New Roman Bold" w:eastAsia="华文中宋" w:cs="Times New Roman Bold"/>
          <w:b/>
          <w:color w:val="000000" w:themeColor="text1"/>
          <w:sz w:val="32"/>
          <w:szCs w:val="32"/>
          <w14:textFill>
            <w14:solidFill>
              <w14:schemeClr w14:val="tx1"/>
            </w14:solidFill>
          </w14:textFill>
        </w:rPr>
      </w:pPr>
      <w:r>
        <w:rPr>
          <w:rFonts w:ascii="Times New Roman Bold" w:hAnsi="Times New Roman Bold" w:eastAsia="华文中宋" w:cs="Times New Roman Bold"/>
          <w:b/>
          <w:color w:val="000000" w:themeColor="text1"/>
          <w:sz w:val="32"/>
          <w:szCs w:val="32"/>
          <w14:textFill>
            <w14:solidFill>
              <w14:schemeClr w14:val="tx1"/>
            </w14:solidFill>
          </w14:textFill>
        </w:rPr>
        <w:t>Electronic Supplementary Material</w:t>
      </w:r>
      <w:r>
        <w:rPr>
          <w:rFonts w:hint="eastAsia" w:ascii="Times New Roman Bold" w:hAnsi="Times New Roman Bold" w:eastAsia="华文中宋" w:cs="Times New Roman Bold"/>
          <w:b/>
          <w:color w:val="000000" w:themeColor="text1"/>
          <w:sz w:val="32"/>
          <w:szCs w:val="32"/>
          <w14:textFill>
            <w14:solidFill>
              <w14:schemeClr w14:val="tx1"/>
            </w14:solidFill>
          </w14:textFill>
        </w:rPr>
        <w:t xml:space="preserve"> </w:t>
      </w:r>
      <w:r>
        <w:rPr>
          <w:rFonts w:ascii="Times New Roman Bold" w:hAnsi="Times New Roman Bold" w:eastAsia="华文中宋" w:cs="Times New Roman Bold"/>
          <w:b/>
          <w:color w:val="000000" w:themeColor="text1"/>
          <w:sz w:val="32"/>
          <w:szCs w:val="32"/>
          <w14:textFill>
            <w14:solidFill>
              <w14:schemeClr w14:val="tx1"/>
            </w14:solidFill>
          </w14:textFill>
        </w:rPr>
        <w:t>Contents</w:t>
      </w:r>
    </w:p>
    <w:tbl>
      <w:tblPr>
        <w:tblStyle w:val="5"/>
        <w:tblW w:w="9446"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49"/>
        <w:gridCol w:w="7957"/>
        <w:gridCol w:w="240"/>
      </w:tblGrid>
      <w:tr w14:paraId="31144D2A">
        <w:trPr>
          <w:trHeight w:val="409" w:hRule="atLeast"/>
          <w:jc w:val="center"/>
        </w:trPr>
        <w:tc>
          <w:tcPr>
            <w:tcW w:w="1249" w:type="dxa"/>
            <w:tcBorders>
              <w:bottom w:val="single" w:color="auto" w:sz="4" w:space="0"/>
            </w:tcBorders>
            <w:shd w:val="clear" w:color="auto" w:fill="385623"/>
          </w:tcPr>
          <w:p w14:paraId="616FCAAE">
            <w:pPr>
              <w:spacing w:line="360" w:lineRule="auto"/>
              <w:contextualSpacing/>
              <w:jc w:val="center"/>
              <w:rPr>
                <w:rFonts w:ascii="Times New Roman Bold" w:hAnsi="Times New Roman Bold" w:eastAsia="华文中宋" w:cs="Times New Roman Bold"/>
                <w:b/>
                <w:color w:val="FFFFFF" w:themeColor="background1"/>
                <w:sz w:val="24"/>
                <w:szCs w:val="20"/>
                <w14:textFill>
                  <w14:solidFill>
                    <w14:schemeClr w14:val="bg1"/>
                  </w14:solidFill>
                </w14:textFill>
              </w:rPr>
            </w:pPr>
            <w:r>
              <w:rPr>
                <w:rFonts w:ascii="Times New Roman Bold" w:hAnsi="Times New Roman Bold" w:eastAsia="华文中宋" w:cs="Times New Roman Bold"/>
                <w:b/>
                <w:color w:val="FFFFFF" w:themeColor="background1"/>
                <w:sz w:val="24"/>
                <w:szCs w:val="20"/>
                <w14:textFill>
                  <w14:solidFill>
                    <w14:schemeClr w14:val="bg1"/>
                  </w14:solidFill>
                </w14:textFill>
              </w:rPr>
              <w:t>Number</w:t>
            </w:r>
          </w:p>
        </w:tc>
        <w:tc>
          <w:tcPr>
            <w:tcW w:w="7957" w:type="dxa"/>
            <w:tcBorders>
              <w:bottom w:val="single" w:color="auto" w:sz="4" w:space="0"/>
            </w:tcBorders>
            <w:shd w:val="clear" w:color="auto" w:fill="385623"/>
          </w:tcPr>
          <w:p w14:paraId="18BF5738">
            <w:pPr>
              <w:spacing w:line="360" w:lineRule="auto"/>
              <w:ind w:firstLine="1441" w:firstLineChars="600"/>
              <w:contextualSpacing/>
              <w:jc w:val="both"/>
              <w:rPr>
                <w:rFonts w:ascii="Times New Roman Bold" w:hAnsi="Times New Roman Bold" w:eastAsia="华文中宋" w:cs="Times New Roman Bold"/>
                <w:b/>
                <w:color w:val="FFFFFF" w:themeColor="background1"/>
                <w:sz w:val="24"/>
                <w:szCs w:val="20"/>
                <w:lang w:eastAsia="zh-CN"/>
                <w14:textFill>
                  <w14:solidFill>
                    <w14:schemeClr w14:val="bg1"/>
                  </w14:solidFill>
                </w14:textFill>
              </w:rPr>
            </w:pPr>
            <w:r>
              <w:rPr>
                <w:rFonts w:ascii="Times New Roman Bold" w:hAnsi="Times New Roman Bold" w:eastAsia="华文中宋" w:cs="Times New Roman Bold"/>
                <w:b/>
                <w:color w:val="FFFFFF" w:themeColor="background1"/>
                <w:sz w:val="24"/>
                <w:szCs w:val="20"/>
                <w14:textFill>
                  <w14:solidFill>
                    <w14:schemeClr w14:val="bg1"/>
                  </w14:solidFill>
                </w14:textFill>
              </w:rPr>
              <w:t>Material</w:t>
            </w:r>
            <w:r>
              <w:rPr>
                <w:rFonts w:hint="eastAsia" w:ascii="Times New Roman Bold" w:hAnsi="Times New Roman Bold" w:eastAsia="华文中宋" w:cs="Times New Roman Bold"/>
                <w:b/>
                <w:color w:val="FFFFFF" w:themeColor="background1"/>
                <w:sz w:val="24"/>
                <w:szCs w:val="20"/>
                <w:lang w:eastAsia="zh-CN"/>
                <w14:textFill>
                  <w14:solidFill>
                    <w14:schemeClr w14:val="bg1"/>
                  </w14:solidFill>
                </w14:textFill>
              </w:rPr>
              <w:t xml:space="preserve">                                                                         Page</w:t>
            </w:r>
          </w:p>
        </w:tc>
        <w:tc>
          <w:tcPr>
            <w:tcW w:w="240" w:type="dxa"/>
            <w:tcBorders>
              <w:bottom w:val="single" w:color="auto" w:sz="4" w:space="0"/>
            </w:tcBorders>
            <w:shd w:val="clear" w:color="auto" w:fill="385623"/>
          </w:tcPr>
          <w:p w14:paraId="7F81C94B">
            <w:pPr>
              <w:spacing w:line="360" w:lineRule="auto"/>
              <w:contextualSpacing/>
              <w:jc w:val="center"/>
              <w:rPr>
                <w:rFonts w:ascii="Times New Roman Bold" w:hAnsi="Times New Roman Bold" w:eastAsia="华文中宋" w:cs="Times New Roman Bold"/>
                <w:b/>
                <w:color w:val="FFFFFF" w:themeColor="background1"/>
                <w:sz w:val="24"/>
                <w:szCs w:val="20"/>
                <w14:textFill>
                  <w14:solidFill>
                    <w14:schemeClr w14:val="bg1"/>
                  </w14:solidFill>
                </w14:textFill>
              </w:rPr>
            </w:pPr>
          </w:p>
        </w:tc>
      </w:tr>
      <w:tr w14:paraId="62F1817F">
        <w:trPr>
          <w:trHeight w:val="90" w:hRule="atLeast"/>
          <w:jc w:val="center"/>
        </w:trPr>
        <w:tc>
          <w:tcPr>
            <w:tcW w:w="1249" w:type="dxa"/>
            <w:tcBorders>
              <w:top w:val="single" w:color="auto" w:sz="4" w:space="0"/>
            </w:tcBorders>
          </w:tcPr>
          <w:p w14:paraId="72E1151A">
            <w:pPr>
              <w:spacing w:line="360" w:lineRule="auto"/>
              <w:contextualSpacing/>
              <w:jc w:val="center"/>
              <w:rPr>
                <w:rFonts w:ascii="Times New Roman Regular" w:hAnsi="Times New Roman Regular" w:eastAsia="华文中宋" w:cs="Times New Roman Regular"/>
                <w:bCs/>
                <w:color w:val="000000" w:themeColor="text1"/>
                <w:sz w:val="20"/>
                <w:szCs w:val="21"/>
                <w14:textFill>
                  <w14:solidFill>
                    <w14:schemeClr w14:val="tx1"/>
                  </w14:solidFill>
                </w14:textFill>
              </w:rPr>
            </w:pPr>
          </w:p>
        </w:tc>
        <w:tc>
          <w:tcPr>
            <w:tcW w:w="7957" w:type="dxa"/>
            <w:tcBorders>
              <w:top w:val="single" w:color="auto" w:sz="4" w:space="0"/>
            </w:tcBorders>
          </w:tcPr>
          <w:p w14:paraId="3FF38646">
            <w:pPr>
              <w:spacing w:line="360" w:lineRule="auto"/>
              <w:ind w:firstLine="1441" w:firstLineChars="600"/>
              <w:contextualSpacing/>
              <w:rPr>
                <w:rFonts w:ascii="Times New Roman Regular" w:hAnsi="Times New Roman Regular" w:eastAsia="宋体" w:cs="Times New Roman Regular"/>
                <w:bCs/>
                <w:color w:val="121212"/>
                <w:sz w:val="20"/>
                <w:szCs w:val="21"/>
                <w:shd w:val="clear" w:color="auto" w:fill="FFFFFF"/>
                <w:lang w:eastAsia="zh-CN" w:bidi="ar"/>
              </w:rPr>
            </w:pPr>
            <w:r>
              <w:rPr>
                <w:rFonts w:hint="eastAsia" w:ascii="Times New Roman Bold" w:hAnsi="Times New Roman Bold" w:eastAsia="华文中宋" w:cs="Times New Roman Bold"/>
                <w:b/>
                <w:sz w:val="24"/>
                <w:szCs w:val="20"/>
              </w:rPr>
              <w:t>Appendix</w:t>
            </w:r>
          </w:p>
        </w:tc>
        <w:tc>
          <w:tcPr>
            <w:tcW w:w="240" w:type="dxa"/>
            <w:tcBorders>
              <w:top w:val="single" w:color="auto" w:sz="4" w:space="0"/>
            </w:tcBorders>
          </w:tcPr>
          <w:p w14:paraId="7C7300C5">
            <w:pPr>
              <w:spacing w:line="360" w:lineRule="auto"/>
              <w:contextualSpacing/>
              <w:rPr>
                <w:rFonts w:ascii="Times New Roman Regular" w:hAnsi="Times New Roman Regular" w:eastAsia="宋体" w:cs="Times New Roman Regular"/>
                <w:bCs/>
                <w:color w:val="121212"/>
                <w:sz w:val="20"/>
                <w:szCs w:val="21"/>
                <w:shd w:val="clear" w:color="auto" w:fill="FFFFFF"/>
                <w:lang w:bidi="ar"/>
              </w:rPr>
            </w:pPr>
          </w:p>
        </w:tc>
      </w:tr>
      <w:tr w14:paraId="343D73FB">
        <w:trPr>
          <w:trHeight w:val="457" w:hRule="atLeast"/>
          <w:jc w:val="center"/>
        </w:trPr>
        <w:tc>
          <w:tcPr>
            <w:tcW w:w="1249" w:type="dxa"/>
          </w:tcPr>
          <w:p w14:paraId="6601CFC2">
            <w:pPr>
              <w:spacing w:line="360" w:lineRule="auto"/>
              <w:contextualSpacing/>
              <w:jc w:val="center"/>
              <w:rPr>
                <w:rFonts w:ascii="Times New Roman Regular" w:hAnsi="Times New Roman Regular" w:eastAsia="华文中宋" w:cs="Times New Roman Regular"/>
                <w:bCs/>
                <w:color w:val="000000" w:themeColor="text1"/>
                <w:sz w:val="20"/>
                <w:szCs w:val="21"/>
                <w:lang w:eastAsia="zh-CN"/>
                <w14:textFill>
                  <w14:solidFill>
                    <w14:schemeClr w14:val="tx1"/>
                  </w14:solidFill>
                </w14:textFill>
              </w:rPr>
            </w:pPr>
            <w:r>
              <w:rPr>
                <w:rFonts w:hint="eastAsia" w:ascii="Times New Roman Regular" w:hAnsi="Times New Roman Regular" w:eastAsia="华文中宋" w:cs="Times New Roman Regular"/>
                <w:bCs/>
                <w:color w:val="000000" w:themeColor="text1"/>
                <w:sz w:val="20"/>
                <w:szCs w:val="21"/>
                <w:lang w:eastAsia="zh-CN"/>
                <w14:textFill>
                  <w14:solidFill>
                    <w14:schemeClr w14:val="tx1"/>
                  </w14:solidFill>
                </w14:textFill>
              </w:rPr>
              <w:t>1</w:t>
            </w:r>
          </w:p>
        </w:tc>
        <w:tc>
          <w:tcPr>
            <w:tcW w:w="7957" w:type="dxa"/>
          </w:tcPr>
          <w:p w14:paraId="6E8C3185">
            <w:pPr>
              <w:spacing w:line="360" w:lineRule="auto"/>
              <w:ind w:firstLine="400" w:firstLineChars="200"/>
              <w:contextualSpacing/>
              <w:rPr>
                <w:rFonts w:ascii="Times New Roman Regular" w:hAnsi="Times New Roman Regular" w:eastAsia="宋体" w:cs="Times New Roman Regular"/>
                <w:bCs/>
                <w:color w:val="121212"/>
                <w:sz w:val="20"/>
                <w:szCs w:val="21"/>
                <w:shd w:val="clear" w:color="auto" w:fill="FFFFFF"/>
                <w:lang w:bidi="ar"/>
              </w:rPr>
            </w:pPr>
            <w:r>
              <w:rPr>
                <w:rFonts w:hint="eastAsia" w:ascii="Times New Roman Regular" w:hAnsi="Times New Roman Regular" w:eastAsia="宋体" w:cs="Times New Roman Regular"/>
                <w:bCs/>
                <w:color w:val="121212"/>
                <w:sz w:val="20"/>
                <w:szCs w:val="21"/>
                <w:shd w:val="clear" w:color="auto" w:fill="FFFFFF"/>
                <w:lang w:bidi="ar"/>
              </w:rPr>
              <w:t>Appendix S1. Full search strategies and search results</w:t>
            </w:r>
          </w:p>
        </w:tc>
        <w:tc>
          <w:tcPr>
            <w:tcW w:w="240" w:type="dxa"/>
          </w:tcPr>
          <w:p w14:paraId="1354B8AD">
            <w:pPr>
              <w:spacing w:line="360" w:lineRule="auto"/>
              <w:contextualSpacing/>
              <w:rPr>
                <w:rFonts w:ascii="Times New Roman Regular" w:hAnsi="Times New Roman Regular" w:eastAsia="Helvetica Neue" w:cs="Times New Roman Regular"/>
                <w:bCs/>
                <w:color w:val="121212"/>
                <w:sz w:val="20"/>
                <w:szCs w:val="21"/>
                <w:shd w:val="clear" w:color="auto" w:fill="FFFFFF"/>
                <w:lang w:bidi="ar"/>
              </w:rPr>
            </w:pPr>
          </w:p>
        </w:tc>
      </w:tr>
      <w:tr w14:paraId="7C02AF64">
        <w:trPr>
          <w:trHeight w:val="457" w:hRule="atLeast"/>
          <w:jc w:val="center"/>
        </w:trPr>
        <w:tc>
          <w:tcPr>
            <w:tcW w:w="1249" w:type="dxa"/>
          </w:tcPr>
          <w:p w14:paraId="34972153">
            <w:pPr>
              <w:spacing w:line="360" w:lineRule="auto"/>
              <w:contextualSpacing/>
              <w:jc w:val="center"/>
              <w:rPr>
                <w:rFonts w:ascii="Times New Roman Regular" w:hAnsi="Times New Roman Regular" w:eastAsia="华文中宋" w:cs="Times New Roman Regular"/>
                <w:bCs/>
                <w:color w:val="000000" w:themeColor="text1"/>
                <w:sz w:val="20"/>
                <w:szCs w:val="21"/>
                <w:lang w:eastAsia="zh-CN"/>
                <w14:textFill>
                  <w14:solidFill>
                    <w14:schemeClr w14:val="tx1"/>
                  </w14:solidFill>
                </w14:textFill>
              </w:rPr>
            </w:pPr>
            <w:r>
              <w:rPr>
                <w:rFonts w:hint="eastAsia" w:ascii="Times New Roman Regular" w:hAnsi="Times New Roman Regular" w:eastAsia="华文中宋" w:cs="Times New Roman Regular"/>
                <w:bCs/>
                <w:color w:val="000000" w:themeColor="text1"/>
                <w:sz w:val="20"/>
                <w:szCs w:val="21"/>
                <w:lang w:eastAsia="zh-CN"/>
                <w14:textFill>
                  <w14:solidFill>
                    <w14:schemeClr w14:val="tx1"/>
                  </w14:solidFill>
                </w14:textFill>
              </w:rPr>
              <w:t>2</w:t>
            </w:r>
          </w:p>
          <w:p w14:paraId="24E64F63">
            <w:pPr>
              <w:spacing w:line="360" w:lineRule="auto"/>
              <w:contextualSpacing/>
              <w:jc w:val="center"/>
              <w:rPr>
                <w:rFonts w:hint="default" w:ascii="Times New Roman Regular" w:hAnsi="Times New Roman Regular" w:eastAsia="华文中宋" w:cs="Times New Roman Regular"/>
                <w:bCs/>
                <w:color w:val="000000" w:themeColor="text1"/>
                <w:sz w:val="20"/>
                <w:szCs w:val="21"/>
                <w:lang w:val="en-US" w:eastAsia="zh-CN"/>
                <w14:textFill>
                  <w14:solidFill>
                    <w14:schemeClr w14:val="tx1"/>
                  </w14:solidFill>
                </w14:textFill>
              </w:rPr>
            </w:pPr>
          </w:p>
        </w:tc>
        <w:tc>
          <w:tcPr>
            <w:tcW w:w="7957" w:type="dxa"/>
          </w:tcPr>
          <w:p w14:paraId="62ADF35F">
            <w:pPr>
              <w:spacing w:line="360" w:lineRule="auto"/>
              <w:ind w:firstLine="400" w:firstLineChars="200"/>
              <w:contextualSpacing/>
              <w:rPr>
                <w:rFonts w:hint="eastAsia" w:ascii="Times New Roman Regular" w:hAnsi="Times New Roman Regular" w:eastAsia="宋体" w:cs="Times New Roman Regular"/>
                <w:bCs/>
                <w:color w:val="121212"/>
                <w:sz w:val="20"/>
                <w:szCs w:val="21"/>
                <w:shd w:val="clear" w:color="auto" w:fill="FFFFFF"/>
                <w:lang w:bidi="ar"/>
              </w:rPr>
            </w:pPr>
            <w:r>
              <w:rPr>
                <w:rFonts w:hint="eastAsia" w:ascii="Times New Roman Regular" w:hAnsi="Times New Roman Regular" w:eastAsia="宋体" w:cs="Times New Roman Regular"/>
                <w:bCs/>
                <w:color w:val="121212"/>
                <w:sz w:val="20"/>
                <w:szCs w:val="21"/>
                <w:shd w:val="clear" w:color="auto" w:fill="FFFFFF"/>
                <w:lang w:bidi="ar"/>
              </w:rPr>
              <w:t>Appendix S2. Description of the three-level meta-analytic model</w:t>
            </w:r>
          </w:p>
          <w:p w14:paraId="7D5C240E">
            <w:pPr>
              <w:spacing w:line="360" w:lineRule="auto"/>
              <w:ind w:firstLine="1441" w:firstLineChars="600"/>
              <w:contextualSpacing/>
              <w:jc w:val="both"/>
              <w:rPr>
                <w:rFonts w:ascii="Times New Roman Regular" w:hAnsi="Times New Roman Regular" w:eastAsia="宋体" w:cs="Times New Roman Regular"/>
                <w:bCs/>
                <w:color w:val="121212"/>
                <w:sz w:val="20"/>
                <w:szCs w:val="21"/>
                <w:shd w:val="clear" w:color="auto" w:fill="FFFFFF"/>
                <w:lang w:bidi="ar"/>
              </w:rPr>
            </w:pPr>
            <w:r>
              <w:rPr>
                <w:rFonts w:hint="eastAsia" w:ascii="Times New Roman Bold" w:hAnsi="Times New Roman Bold" w:eastAsia="华文中宋" w:cs="Times New Roman Bold"/>
                <w:b/>
                <w:sz w:val="24"/>
                <w:szCs w:val="20"/>
                <w:lang w:eastAsia="zh-CN"/>
              </w:rPr>
              <w:t>Tables</w:t>
            </w:r>
          </w:p>
        </w:tc>
        <w:tc>
          <w:tcPr>
            <w:tcW w:w="240" w:type="dxa"/>
          </w:tcPr>
          <w:p w14:paraId="52E02545">
            <w:pPr>
              <w:spacing w:line="360" w:lineRule="auto"/>
              <w:contextualSpacing/>
              <w:rPr>
                <w:rFonts w:ascii="Times New Roman Regular" w:hAnsi="Times New Roman Regular" w:eastAsia="Helvetica Neue" w:cs="Times New Roman Regular"/>
                <w:bCs/>
                <w:color w:val="121212"/>
                <w:sz w:val="20"/>
                <w:szCs w:val="21"/>
                <w:shd w:val="clear" w:color="auto" w:fill="FFFFFF"/>
                <w:lang w:bidi="ar"/>
              </w:rPr>
            </w:pPr>
          </w:p>
        </w:tc>
      </w:tr>
      <w:tr w14:paraId="6443174E">
        <w:trPr>
          <w:trHeight w:val="457" w:hRule="atLeast"/>
          <w:jc w:val="center"/>
        </w:trPr>
        <w:tc>
          <w:tcPr>
            <w:tcW w:w="1249" w:type="dxa"/>
          </w:tcPr>
          <w:p w14:paraId="0E0F7BAE">
            <w:pPr>
              <w:spacing w:line="360" w:lineRule="auto"/>
              <w:contextualSpacing/>
              <w:jc w:val="center"/>
              <w:rPr>
                <w:rFonts w:ascii="Times New Roman Regular" w:hAnsi="Times New Roman Regular" w:eastAsia="华文中宋" w:cs="Times New Roman Regular"/>
                <w:bCs/>
                <w:color w:val="000000" w:themeColor="text1"/>
                <w:sz w:val="20"/>
                <w:szCs w:val="21"/>
                <w:lang w:eastAsia="zh-CN"/>
                <w14:textFill>
                  <w14:solidFill>
                    <w14:schemeClr w14:val="tx1"/>
                  </w14:solidFill>
                </w14:textFill>
              </w:rPr>
            </w:pPr>
            <w:r>
              <w:rPr>
                <w:rFonts w:hint="eastAsia" w:ascii="Times New Roman Regular" w:hAnsi="Times New Roman Regular" w:eastAsia="华文中宋" w:cs="Times New Roman Regular"/>
                <w:bCs/>
                <w:color w:val="000000" w:themeColor="text1"/>
                <w:sz w:val="20"/>
                <w:szCs w:val="21"/>
                <w:lang w:eastAsia="zh-CN"/>
                <w14:textFill>
                  <w14:solidFill>
                    <w14:schemeClr w14:val="tx1"/>
                  </w14:solidFill>
                </w14:textFill>
              </w:rPr>
              <w:t>1</w:t>
            </w:r>
          </w:p>
        </w:tc>
        <w:tc>
          <w:tcPr>
            <w:tcW w:w="7957" w:type="dxa"/>
          </w:tcPr>
          <w:p w14:paraId="03086881">
            <w:pPr>
              <w:spacing w:line="360" w:lineRule="auto"/>
              <w:ind w:firstLine="400" w:firstLineChars="200"/>
              <w:contextualSpacing/>
              <w:rPr>
                <w:rFonts w:ascii="Times New Roman Regular" w:hAnsi="Times New Roman Regular" w:eastAsia="宋体" w:cs="Times New Roman Regular"/>
                <w:bCs/>
                <w:color w:val="121212"/>
                <w:sz w:val="20"/>
                <w:szCs w:val="21"/>
                <w:shd w:val="clear" w:color="auto" w:fill="FFFFFF"/>
                <w:lang w:bidi="ar"/>
              </w:rPr>
            </w:pPr>
            <w:r>
              <w:rPr>
                <w:rFonts w:hint="eastAsia" w:ascii="Times New Roman Regular" w:hAnsi="Times New Roman Regular" w:eastAsia="宋体" w:cs="Times New Roman Regular"/>
                <w:bCs/>
                <w:color w:val="121212"/>
                <w:sz w:val="20"/>
                <w:szCs w:val="21"/>
                <w:shd w:val="clear" w:color="auto" w:fill="FFFFFF"/>
                <w:lang w:bidi="ar"/>
              </w:rPr>
              <w:t>Table S1. Detailed characteristics of included studies</w:t>
            </w:r>
          </w:p>
        </w:tc>
        <w:tc>
          <w:tcPr>
            <w:tcW w:w="240" w:type="dxa"/>
          </w:tcPr>
          <w:p w14:paraId="749DC95E">
            <w:pPr>
              <w:spacing w:line="360" w:lineRule="auto"/>
              <w:contextualSpacing/>
              <w:rPr>
                <w:rFonts w:ascii="Times New Roman Regular" w:hAnsi="Times New Roman Regular" w:eastAsia="华文中宋" w:cs="Times New Roman Regular"/>
                <w:bCs/>
                <w:color w:val="000000" w:themeColor="text1"/>
                <w:sz w:val="20"/>
                <w:szCs w:val="21"/>
                <w14:textFill>
                  <w14:solidFill>
                    <w14:schemeClr w14:val="tx1"/>
                  </w14:solidFill>
                </w14:textFill>
              </w:rPr>
            </w:pPr>
          </w:p>
        </w:tc>
      </w:tr>
      <w:tr w14:paraId="480BF85A">
        <w:trPr>
          <w:trHeight w:val="466" w:hRule="atLeast"/>
          <w:jc w:val="center"/>
        </w:trPr>
        <w:tc>
          <w:tcPr>
            <w:tcW w:w="1249" w:type="dxa"/>
          </w:tcPr>
          <w:p w14:paraId="7CE1FB5A">
            <w:pPr>
              <w:spacing w:line="360" w:lineRule="auto"/>
              <w:contextualSpacing/>
              <w:jc w:val="center"/>
              <w:rPr>
                <w:rFonts w:ascii="Times New Roman Regular" w:hAnsi="Times New Roman Regular" w:eastAsia="华文中宋" w:cs="Times New Roman Regular"/>
                <w:bCs/>
                <w:color w:val="000000" w:themeColor="text1"/>
                <w:sz w:val="20"/>
                <w:szCs w:val="21"/>
                <w:lang w:eastAsia="zh-CN"/>
                <w14:textFill>
                  <w14:solidFill>
                    <w14:schemeClr w14:val="tx1"/>
                  </w14:solidFill>
                </w14:textFill>
              </w:rPr>
            </w:pPr>
            <w:r>
              <w:rPr>
                <w:rFonts w:hint="eastAsia" w:ascii="Times New Roman Regular" w:hAnsi="Times New Roman Regular" w:eastAsia="华文中宋" w:cs="Times New Roman Regular"/>
                <w:bCs/>
                <w:color w:val="000000" w:themeColor="text1"/>
                <w:sz w:val="20"/>
                <w:szCs w:val="21"/>
                <w:lang w:eastAsia="zh-CN"/>
                <w14:textFill>
                  <w14:solidFill>
                    <w14:schemeClr w14:val="tx1"/>
                  </w14:solidFill>
                </w14:textFill>
              </w:rPr>
              <w:t>2</w:t>
            </w:r>
          </w:p>
          <w:p w14:paraId="04749ABE">
            <w:pPr>
              <w:spacing w:line="360" w:lineRule="auto"/>
              <w:contextualSpacing/>
              <w:jc w:val="center"/>
              <w:rPr>
                <w:rFonts w:hint="default" w:ascii="Times New Roman Regular" w:hAnsi="Times New Roman Regular" w:eastAsia="华文中宋" w:cs="Times New Roman Regular"/>
                <w:bCs/>
                <w:color w:val="000000" w:themeColor="text1"/>
                <w:sz w:val="20"/>
                <w:szCs w:val="21"/>
                <w:lang w:val="en-US" w:eastAsia="zh-CN"/>
                <w14:textFill>
                  <w14:solidFill>
                    <w14:schemeClr w14:val="tx1"/>
                  </w14:solidFill>
                </w14:textFill>
              </w:rPr>
            </w:pPr>
            <w:r>
              <w:rPr>
                <w:rFonts w:hint="eastAsia" w:ascii="Times New Roman Regular" w:hAnsi="Times New Roman Regular" w:eastAsia="华文中宋" w:cs="Times New Roman Regular"/>
                <w:bCs/>
                <w:color w:val="000000" w:themeColor="text1"/>
                <w:sz w:val="20"/>
                <w:szCs w:val="21"/>
                <w:lang w:val="en-US" w:eastAsia="zh-CN"/>
                <w14:textFill>
                  <w14:solidFill>
                    <w14:schemeClr w14:val="tx1"/>
                  </w14:solidFill>
                </w14:textFill>
              </w:rPr>
              <w:t>3</w:t>
            </w:r>
          </w:p>
          <w:p w14:paraId="0BCF8BC1">
            <w:pPr>
              <w:spacing w:line="360" w:lineRule="auto"/>
              <w:contextualSpacing/>
              <w:jc w:val="center"/>
              <w:rPr>
                <w:rFonts w:hint="default" w:ascii="Times New Roman Regular" w:hAnsi="Times New Roman Regular" w:eastAsia="华文中宋" w:cs="Times New Roman Regular"/>
                <w:bCs/>
                <w:color w:val="000000" w:themeColor="text1"/>
                <w:sz w:val="20"/>
                <w:szCs w:val="21"/>
                <w:lang w:val="en-US" w:eastAsia="zh-CN"/>
                <w14:textFill>
                  <w14:solidFill>
                    <w14:schemeClr w14:val="tx1"/>
                  </w14:solidFill>
                </w14:textFill>
              </w:rPr>
            </w:pPr>
            <w:r>
              <w:rPr>
                <w:rFonts w:hint="eastAsia" w:ascii="Times New Roman Regular" w:hAnsi="Times New Roman Regular" w:eastAsia="华文中宋" w:cs="Times New Roman Regular"/>
                <w:bCs/>
                <w:color w:val="000000" w:themeColor="text1"/>
                <w:sz w:val="20"/>
                <w:szCs w:val="21"/>
                <w:lang w:val="en-US" w:eastAsia="zh-CN"/>
                <w14:textFill>
                  <w14:solidFill>
                    <w14:schemeClr w14:val="tx1"/>
                  </w14:solidFill>
                </w14:textFill>
              </w:rPr>
              <w:t>4</w:t>
            </w:r>
          </w:p>
          <w:p w14:paraId="4DD7518F">
            <w:pPr>
              <w:spacing w:line="360" w:lineRule="auto"/>
              <w:contextualSpacing/>
              <w:jc w:val="center"/>
              <w:rPr>
                <w:rFonts w:hint="eastAsia" w:ascii="Times New Roman Regular" w:hAnsi="Times New Roman Regular" w:eastAsia="华文中宋" w:cs="Times New Roman Regular"/>
                <w:bCs/>
                <w:color w:val="000000" w:themeColor="text1"/>
                <w:sz w:val="20"/>
                <w:szCs w:val="21"/>
                <w:lang w:eastAsia="zh-CN"/>
                <w14:textFill>
                  <w14:solidFill>
                    <w14:schemeClr w14:val="tx1"/>
                  </w14:solidFill>
                </w14:textFill>
              </w:rPr>
            </w:pPr>
          </w:p>
          <w:p w14:paraId="6C1E61F2">
            <w:pPr>
              <w:spacing w:line="360" w:lineRule="auto"/>
              <w:contextualSpacing/>
              <w:jc w:val="center"/>
              <w:rPr>
                <w:rFonts w:hint="eastAsia" w:ascii="Times New Roman Regular" w:hAnsi="Times New Roman Regular" w:eastAsia="华文中宋" w:cs="Times New Roman Regular"/>
                <w:bCs/>
                <w:color w:val="000000" w:themeColor="text1"/>
                <w:sz w:val="20"/>
                <w:szCs w:val="21"/>
                <w:lang w:eastAsia="zh-CN"/>
                <w14:textFill>
                  <w14:solidFill>
                    <w14:schemeClr w14:val="tx1"/>
                  </w14:solidFill>
                </w14:textFill>
              </w:rPr>
            </w:pPr>
          </w:p>
          <w:p w14:paraId="086125FF">
            <w:pPr>
              <w:spacing w:line="360" w:lineRule="auto"/>
              <w:contextualSpacing/>
              <w:jc w:val="center"/>
              <w:rPr>
                <w:rFonts w:ascii="Times New Roman Regular" w:hAnsi="Times New Roman Regular" w:eastAsia="华文中宋" w:cs="Times New Roman Regular"/>
                <w:bCs/>
                <w:color w:val="000000" w:themeColor="text1"/>
                <w:sz w:val="20"/>
                <w:szCs w:val="21"/>
                <w:lang w:eastAsia="zh-CN"/>
                <w14:textFill>
                  <w14:solidFill>
                    <w14:schemeClr w14:val="tx1"/>
                  </w14:solidFill>
                </w14:textFill>
              </w:rPr>
            </w:pPr>
            <w:r>
              <w:rPr>
                <w:rFonts w:hint="eastAsia" w:ascii="Times New Roman Regular" w:hAnsi="Times New Roman Regular" w:eastAsia="华文中宋" w:cs="Times New Roman Regular"/>
                <w:bCs/>
                <w:color w:val="000000" w:themeColor="text1"/>
                <w:sz w:val="20"/>
                <w:szCs w:val="21"/>
                <w:lang w:eastAsia="zh-CN"/>
                <w14:textFill>
                  <w14:solidFill>
                    <w14:schemeClr w14:val="tx1"/>
                  </w14:solidFill>
                </w14:textFill>
              </w:rPr>
              <w:t>1</w:t>
            </w:r>
          </w:p>
          <w:p w14:paraId="11FB593E">
            <w:pPr>
              <w:spacing w:line="360" w:lineRule="auto"/>
              <w:contextualSpacing/>
              <w:jc w:val="center"/>
              <w:rPr>
                <w:rFonts w:ascii="Times New Roman Regular" w:hAnsi="Times New Roman Regular" w:eastAsia="华文中宋" w:cs="Times New Roman Regular"/>
                <w:bCs/>
                <w:color w:val="000000" w:themeColor="text1"/>
                <w:sz w:val="20"/>
                <w:szCs w:val="21"/>
                <w:lang w:eastAsia="zh-CN"/>
                <w14:textFill>
                  <w14:solidFill>
                    <w14:schemeClr w14:val="tx1"/>
                  </w14:solidFill>
                </w14:textFill>
              </w:rPr>
            </w:pPr>
            <w:r>
              <w:rPr>
                <w:rFonts w:hint="eastAsia" w:ascii="Times New Roman Regular" w:hAnsi="Times New Roman Regular" w:eastAsia="华文中宋" w:cs="Times New Roman Regular"/>
                <w:bCs/>
                <w:color w:val="000000" w:themeColor="text1"/>
                <w:sz w:val="20"/>
                <w:szCs w:val="21"/>
                <w:lang w:eastAsia="zh-CN"/>
                <w14:textFill>
                  <w14:solidFill>
                    <w14:schemeClr w14:val="tx1"/>
                  </w14:solidFill>
                </w14:textFill>
              </w:rPr>
              <w:t>2</w:t>
            </w:r>
          </w:p>
          <w:p w14:paraId="729B5C70">
            <w:pPr>
              <w:spacing w:line="360" w:lineRule="auto"/>
              <w:contextualSpacing/>
              <w:jc w:val="center"/>
              <w:rPr>
                <w:rFonts w:ascii="Times New Roman Regular" w:hAnsi="Times New Roman Regular" w:eastAsia="华文中宋" w:cs="Times New Roman Regular"/>
                <w:bCs/>
                <w:color w:val="000000" w:themeColor="text1"/>
                <w:sz w:val="20"/>
                <w:szCs w:val="21"/>
                <w:lang w:eastAsia="zh-CN"/>
                <w14:textFill>
                  <w14:solidFill>
                    <w14:schemeClr w14:val="tx1"/>
                  </w14:solidFill>
                </w14:textFill>
              </w:rPr>
            </w:pPr>
            <w:r>
              <w:rPr>
                <w:rFonts w:hint="eastAsia" w:ascii="Times New Roman Regular" w:hAnsi="Times New Roman Regular" w:eastAsia="华文中宋" w:cs="Times New Roman Regular"/>
                <w:bCs/>
                <w:color w:val="000000" w:themeColor="text1"/>
                <w:sz w:val="20"/>
                <w:szCs w:val="21"/>
                <w:lang w:eastAsia="zh-CN"/>
                <w14:textFill>
                  <w14:solidFill>
                    <w14:schemeClr w14:val="tx1"/>
                  </w14:solidFill>
                </w14:textFill>
              </w:rPr>
              <w:t xml:space="preserve">3  </w:t>
            </w:r>
          </w:p>
          <w:p w14:paraId="4D362860">
            <w:pPr>
              <w:spacing w:line="360" w:lineRule="auto"/>
              <w:contextualSpacing/>
              <w:jc w:val="center"/>
              <w:rPr>
                <w:rFonts w:ascii="Times New Roman Regular" w:hAnsi="Times New Roman Regular" w:eastAsia="华文中宋" w:cs="Times New Roman Regular"/>
                <w:bCs/>
                <w:color w:val="000000" w:themeColor="text1"/>
                <w:sz w:val="20"/>
                <w:szCs w:val="21"/>
                <w:lang w:eastAsia="zh-CN"/>
                <w14:textFill>
                  <w14:solidFill>
                    <w14:schemeClr w14:val="tx1"/>
                  </w14:solidFill>
                </w14:textFill>
              </w:rPr>
            </w:pPr>
            <w:r>
              <w:rPr>
                <w:rFonts w:hint="eastAsia" w:ascii="Times New Roman Regular" w:hAnsi="Times New Roman Regular" w:eastAsia="华文中宋" w:cs="Times New Roman Regular"/>
                <w:bCs/>
                <w:color w:val="000000" w:themeColor="text1"/>
                <w:sz w:val="20"/>
                <w:szCs w:val="21"/>
                <w:lang w:eastAsia="zh-CN"/>
                <w14:textFill>
                  <w14:solidFill>
                    <w14:schemeClr w14:val="tx1"/>
                  </w14:solidFill>
                </w14:textFill>
              </w:rPr>
              <w:t>4</w:t>
            </w:r>
          </w:p>
          <w:p w14:paraId="31B7D619">
            <w:pPr>
              <w:spacing w:line="360" w:lineRule="auto"/>
              <w:contextualSpacing/>
              <w:jc w:val="center"/>
              <w:rPr>
                <w:rFonts w:ascii="Times New Roman Regular" w:hAnsi="Times New Roman Regular" w:eastAsia="华文中宋" w:cs="Times New Roman Regular"/>
                <w:bCs/>
                <w:color w:val="000000" w:themeColor="text1"/>
                <w:sz w:val="20"/>
                <w:szCs w:val="21"/>
                <w:lang w:eastAsia="zh-CN"/>
                <w14:textFill>
                  <w14:solidFill>
                    <w14:schemeClr w14:val="tx1"/>
                  </w14:solidFill>
                </w14:textFill>
              </w:rPr>
            </w:pPr>
            <w:r>
              <w:rPr>
                <w:rFonts w:hint="eastAsia" w:ascii="Times New Roman Regular" w:hAnsi="Times New Roman Regular" w:eastAsia="华文中宋" w:cs="Times New Roman Regular"/>
                <w:bCs/>
                <w:color w:val="000000" w:themeColor="text1"/>
                <w:sz w:val="20"/>
                <w:szCs w:val="21"/>
                <w:lang w:eastAsia="zh-CN"/>
                <w14:textFill>
                  <w14:solidFill>
                    <w14:schemeClr w14:val="tx1"/>
                  </w14:solidFill>
                </w14:textFill>
              </w:rPr>
              <w:t>5</w:t>
            </w:r>
          </w:p>
        </w:tc>
        <w:tc>
          <w:tcPr>
            <w:tcW w:w="7957" w:type="dxa"/>
          </w:tcPr>
          <w:p w14:paraId="749D5425">
            <w:pPr>
              <w:spacing w:line="360" w:lineRule="auto"/>
              <w:ind w:firstLine="400" w:firstLineChars="200"/>
              <w:contextualSpacing/>
              <w:rPr>
                <w:rFonts w:hint="eastAsia" w:ascii="Times New Roman Regular" w:hAnsi="Times New Roman Regular" w:eastAsia="宋体" w:cs="Times New Roman Regular"/>
                <w:bCs/>
                <w:color w:val="121212"/>
                <w:sz w:val="20"/>
                <w:szCs w:val="21"/>
                <w:shd w:val="clear" w:color="auto" w:fill="FFFFFF"/>
                <w:lang w:bidi="ar"/>
              </w:rPr>
            </w:pPr>
            <w:r>
              <w:rPr>
                <w:rFonts w:hint="eastAsia" w:ascii="Times New Roman Regular" w:hAnsi="Times New Roman Regular" w:eastAsia="宋体" w:cs="Times New Roman Regular"/>
                <w:bCs/>
                <w:color w:val="121212"/>
                <w:sz w:val="20"/>
                <w:szCs w:val="21"/>
                <w:shd w:val="clear" w:color="auto" w:fill="FFFFFF"/>
                <w:lang w:bidi="ar"/>
              </w:rPr>
              <w:t>Table S2. Methodological quality assessment (PEDro scale)</w:t>
            </w:r>
          </w:p>
          <w:p w14:paraId="326CCD2C">
            <w:pPr>
              <w:spacing w:line="360" w:lineRule="auto"/>
              <w:ind w:firstLine="400" w:firstLineChars="200"/>
              <w:contextualSpacing/>
              <w:rPr>
                <w:rFonts w:hint="eastAsia" w:ascii="Times New Roman Regular" w:hAnsi="Times New Roman Regular" w:eastAsia="宋体" w:cs="Times New Roman Regular"/>
                <w:bCs/>
                <w:color w:val="121212"/>
                <w:sz w:val="20"/>
                <w:szCs w:val="21"/>
                <w:shd w:val="clear" w:color="auto" w:fill="FFFFFF"/>
                <w:lang w:bidi="ar"/>
              </w:rPr>
            </w:pPr>
            <w:r>
              <w:rPr>
                <w:rFonts w:hint="eastAsia" w:ascii="Times New Roman Regular" w:hAnsi="Times New Roman Regular" w:eastAsia="宋体" w:cs="Times New Roman Regular"/>
                <w:bCs/>
                <w:color w:val="121212"/>
                <w:sz w:val="20"/>
                <w:szCs w:val="21"/>
                <w:shd w:val="clear" w:color="auto" w:fill="FFFFFF"/>
                <w:lang w:bidi="ar"/>
              </w:rPr>
              <w:t>Table S3. GRADE evidence profile and summary of findings for critical outcomes</w:t>
            </w:r>
          </w:p>
          <w:p w14:paraId="4B5CDBCD">
            <w:pPr>
              <w:spacing w:line="360" w:lineRule="auto"/>
              <w:ind w:firstLine="400" w:firstLineChars="200"/>
              <w:contextualSpacing/>
              <w:rPr>
                <w:rFonts w:hint="eastAsia" w:ascii="Times New Roman Regular" w:hAnsi="Times New Roman Regular" w:eastAsia="宋体" w:cs="Times New Roman Regular"/>
                <w:bCs/>
                <w:color w:val="121212"/>
                <w:sz w:val="20"/>
                <w:szCs w:val="21"/>
                <w:shd w:val="clear" w:color="auto" w:fill="FFFFFF"/>
                <w:lang w:val="en-GB" w:eastAsia="zh-CN" w:bidi="ar"/>
              </w:rPr>
            </w:pPr>
            <w:r>
              <w:rPr>
                <w:rFonts w:hint="eastAsia" w:ascii="Times New Roman Regular" w:hAnsi="Times New Roman Regular" w:eastAsia="宋体" w:cs="Times New Roman Regular"/>
                <w:bCs/>
                <w:color w:val="121212"/>
                <w:sz w:val="20"/>
                <w:szCs w:val="21"/>
                <w:shd w:val="clear" w:color="auto" w:fill="FFFFFF"/>
                <w:lang w:val="en-GB" w:eastAsia="zh-CN" w:bidi="ar"/>
              </w:rPr>
              <w:t>Table S4. Sensitivity analysis excluding one Gonçalves comparison at a time</w:t>
            </w:r>
          </w:p>
          <w:p w14:paraId="2823484A">
            <w:pPr>
              <w:spacing w:line="360" w:lineRule="auto"/>
              <w:ind w:firstLine="400" w:firstLineChars="200"/>
              <w:contextualSpacing/>
              <w:rPr>
                <w:rFonts w:hint="eastAsia" w:ascii="Times New Roman Regular" w:hAnsi="Times New Roman Regular" w:eastAsia="宋体" w:cs="Times New Roman Regular"/>
                <w:bCs/>
                <w:color w:val="121212"/>
                <w:sz w:val="20"/>
                <w:szCs w:val="21"/>
                <w:shd w:val="clear" w:color="auto" w:fill="FFFFFF"/>
                <w:lang w:bidi="ar"/>
              </w:rPr>
            </w:pPr>
          </w:p>
          <w:p w14:paraId="52B21231">
            <w:pPr>
              <w:spacing w:line="360" w:lineRule="auto"/>
              <w:ind w:firstLine="1441" w:firstLineChars="600"/>
              <w:contextualSpacing/>
              <w:rPr>
                <w:rFonts w:ascii="Times New Roman Regular" w:hAnsi="Times New Roman Regular" w:eastAsia="宋体" w:cs="Times New Roman Regular"/>
                <w:bCs/>
                <w:color w:val="121212"/>
                <w:sz w:val="20"/>
                <w:szCs w:val="21"/>
                <w:shd w:val="clear" w:color="auto" w:fill="FFFFFF"/>
                <w:lang w:bidi="ar"/>
              </w:rPr>
            </w:pPr>
            <w:r>
              <w:rPr>
                <w:rFonts w:hint="eastAsia" w:ascii="Times New Roman Bold" w:hAnsi="Times New Roman Bold" w:eastAsia="华文中宋" w:cs="Times New Roman Bold"/>
                <w:b/>
                <w:sz w:val="24"/>
                <w:szCs w:val="20"/>
                <w:lang w:eastAsia="zh-CN"/>
              </w:rPr>
              <w:t>Figures</w:t>
            </w:r>
          </w:p>
          <w:p w14:paraId="1470BA4B">
            <w:pPr>
              <w:spacing w:line="360" w:lineRule="auto"/>
              <w:ind w:firstLine="400" w:firstLineChars="200"/>
              <w:contextualSpacing/>
              <w:rPr>
                <w:rFonts w:ascii="Times New Roman Regular" w:hAnsi="Times New Roman Regular" w:eastAsia="宋体" w:cs="Times New Roman Regular"/>
                <w:bCs/>
                <w:color w:val="121212"/>
                <w:sz w:val="20"/>
                <w:szCs w:val="21"/>
                <w:shd w:val="clear" w:color="auto" w:fill="FFFFFF"/>
                <w:lang w:bidi="ar"/>
              </w:rPr>
            </w:pPr>
            <w:r>
              <w:rPr>
                <w:rFonts w:hint="eastAsia" w:ascii="Times New Roman Regular" w:hAnsi="Times New Roman Regular" w:eastAsia="宋体" w:cs="Times New Roman Regular"/>
                <w:bCs/>
                <w:color w:val="121212"/>
                <w:sz w:val="20"/>
                <w:szCs w:val="21"/>
                <w:shd w:val="clear" w:color="auto" w:fill="FFFFFF"/>
                <w:lang w:bidi="ar"/>
              </w:rPr>
              <w:t>Figure S1. Risk of bias assessment</w:t>
            </w:r>
          </w:p>
          <w:p w14:paraId="43A79694">
            <w:pPr>
              <w:spacing w:line="360" w:lineRule="auto"/>
              <w:ind w:firstLine="400" w:firstLineChars="200"/>
              <w:contextualSpacing/>
              <w:rPr>
                <w:rFonts w:ascii="Times New Roman Regular" w:hAnsi="Times New Roman Regular" w:eastAsia="宋体" w:cs="Times New Roman Regular"/>
                <w:bCs/>
                <w:color w:val="121212"/>
                <w:sz w:val="20"/>
                <w:szCs w:val="21"/>
                <w:shd w:val="clear" w:color="auto" w:fill="FFFFFF"/>
                <w:lang w:bidi="ar"/>
              </w:rPr>
            </w:pPr>
            <w:r>
              <w:rPr>
                <w:rFonts w:hint="eastAsia" w:ascii="Times New Roman Regular" w:hAnsi="Times New Roman Regular" w:eastAsia="宋体" w:cs="Times New Roman Regular"/>
                <w:bCs/>
                <w:color w:val="121212"/>
                <w:sz w:val="20"/>
                <w:szCs w:val="21"/>
                <w:shd w:val="clear" w:color="auto" w:fill="FFFFFF"/>
                <w:lang w:bidi="ar"/>
              </w:rPr>
              <w:t>Figure S2. Funnel plot for assessment of small-study effects</w:t>
            </w:r>
          </w:p>
          <w:p w14:paraId="0F48829C">
            <w:pPr>
              <w:spacing w:line="360" w:lineRule="auto"/>
              <w:ind w:firstLine="400" w:firstLineChars="200"/>
              <w:contextualSpacing/>
              <w:rPr>
                <w:rFonts w:ascii="Times New Roman Regular" w:hAnsi="Times New Roman Regular" w:eastAsia="宋体" w:cs="Times New Roman Regular"/>
                <w:bCs/>
                <w:color w:val="121212"/>
                <w:sz w:val="20"/>
                <w:szCs w:val="21"/>
                <w:shd w:val="clear" w:color="auto" w:fill="FFFFFF"/>
                <w:lang w:bidi="ar"/>
              </w:rPr>
            </w:pPr>
            <w:r>
              <w:rPr>
                <w:rFonts w:hint="eastAsia" w:ascii="Times New Roman Regular" w:hAnsi="Times New Roman Regular" w:eastAsia="宋体" w:cs="Times New Roman Regular"/>
                <w:bCs/>
                <w:color w:val="121212"/>
                <w:sz w:val="20"/>
                <w:szCs w:val="21"/>
                <w:shd w:val="clear" w:color="auto" w:fill="FFFFFF"/>
                <w:lang w:bidi="ar"/>
              </w:rPr>
              <w:t>Figure S3. Contour-enhanced funnel plot for assessment of publication bias</w:t>
            </w:r>
          </w:p>
          <w:p w14:paraId="6BC76227">
            <w:pPr>
              <w:spacing w:line="360" w:lineRule="auto"/>
              <w:ind w:firstLine="400" w:firstLineChars="200"/>
              <w:contextualSpacing/>
              <w:rPr>
                <w:rFonts w:ascii="Times New Roman Regular" w:hAnsi="Times New Roman Regular" w:eastAsia="宋体" w:cs="Times New Roman Regular"/>
                <w:bCs/>
                <w:color w:val="121212"/>
                <w:sz w:val="20"/>
                <w:szCs w:val="21"/>
                <w:shd w:val="clear" w:color="auto" w:fill="FFFFFF"/>
                <w:lang w:bidi="ar"/>
              </w:rPr>
            </w:pPr>
            <w:r>
              <w:rPr>
                <w:rFonts w:hint="eastAsia" w:ascii="Times New Roman Regular" w:hAnsi="Times New Roman Regular" w:eastAsia="宋体" w:cs="Times New Roman Regular"/>
                <w:bCs/>
                <w:color w:val="121212"/>
                <w:sz w:val="20"/>
                <w:szCs w:val="21"/>
                <w:shd w:val="clear" w:color="auto" w:fill="FFFFFF"/>
                <w:lang w:bidi="ar"/>
              </w:rPr>
              <w:t>Figure S4. Meta-regression of mean age</w:t>
            </w:r>
          </w:p>
          <w:p w14:paraId="5B0D56F2">
            <w:pPr>
              <w:spacing w:line="360" w:lineRule="auto"/>
              <w:ind w:firstLine="400" w:firstLineChars="200"/>
              <w:contextualSpacing/>
              <w:rPr>
                <w:rFonts w:ascii="Times New Roman Regular" w:hAnsi="Times New Roman Regular" w:eastAsia="宋体" w:cs="Times New Roman Regular"/>
                <w:bCs/>
                <w:color w:val="121212"/>
                <w:sz w:val="20"/>
                <w:szCs w:val="21"/>
                <w:shd w:val="clear" w:color="auto" w:fill="FFFFFF"/>
                <w:lang w:bidi="ar"/>
              </w:rPr>
            </w:pPr>
            <w:r>
              <w:rPr>
                <w:rFonts w:hint="eastAsia" w:ascii="Times New Roman Regular" w:hAnsi="Times New Roman Regular" w:eastAsia="宋体" w:cs="Times New Roman Regular"/>
                <w:bCs/>
                <w:color w:val="121212"/>
                <w:sz w:val="20"/>
                <w:szCs w:val="21"/>
                <w:shd w:val="clear" w:color="auto" w:fill="FFFFFF"/>
                <w:lang w:bidi="ar"/>
              </w:rPr>
              <w:t>Figure S5. Meta-regression of exercise dose (MET·min/week)</w:t>
            </w:r>
          </w:p>
        </w:tc>
        <w:tc>
          <w:tcPr>
            <w:tcW w:w="240" w:type="dxa"/>
          </w:tcPr>
          <w:p w14:paraId="29CD6798">
            <w:pPr>
              <w:spacing w:line="360" w:lineRule="auto"/>
              <w:contextualSpacing/>
              <w:rPr>
                <w:rFonts w:ascii="Times New Roman Regular" w:hAnsi="Times New Roman Regular" w:eastAsia="华文中宋" w:cs="Times New Roman Regular"/>
                <w:bCs/>
                <w:color w:val="000000" w:themeColor="text1"/>
                <w:sz w:val="20"/>
                <w:szCs w:val="21"/>
                <w14:textFill>
                  <w14:solidFill>
                    <w14:schemeClr w14:val="tx1"/>
                  </w14:solidFill>
                </w14:textFill>
              </w:rPr>
            </w:pPr>
          </w:p>
        </w:tc>
      </w:tr>
      <w:tr w14:paraId="3E5C687C">
        <w:trPr>
          <w:jc w:val="center"/>
        </w:trPr>
        <w:tc>
          <w:tcPr>
            <w:tcW w:w="1249" w:type="dxa"/>
          </w:tcPr>
          <w:p w14:paraId="01765EA8">
            <w:pPr>
              <w:spacing w:line="360" w:lineRule="auto"/>
              <w:ind w:firstLine="400" w:firstLineChars="200"/>
              <w:contextualSpacing/>
              <w:rPr>
                <w:rFonts w:hint="eastAsia" w:ascii="Times New Roman Regular" w:hAnsi="Times New Roman Regular" w:eastAsia="宋体" w:cs="Times New Roman Regular"/>
                <w:bCs/>
                <w:color w:val="121212"/>
                <w:sz w:val="20"/>
                <w:szCs w:val="21"/>
                <w:shd w:val="clear" w:color="auto" w:fill="FFFFFF"/>
                <w:lang w:bidi="ar"/>
              </w:rPr>
            </w:pPr>
          </w:p>
        </w:tc>
        <w:tc>
          <w:tcPr>
            <w:tcW w:w="7957" w:type="dxa"/>
          </w:tcPr>
          <w:p w14:paraId="14E683EF">
            <w:pPr>
              <w:spacing w:line="360" w:lineRule="auto"/>
              <w:ind w:firstLine="400" w:firstLineChars="200"/>
              <w:contextualSpacing/>
              <w:rPr>
                <w:rFonts w:hint="eastAsia" w:ascii="Times New Roman Regular" w:hAnsi="Times New Roman Regular" w:eastAsia="宋体" w:cs="Times New Roman Regular"/>
                <w:bCs/>
                <w:color w:val="121212"/>
                <w:sz w:val="20"/>
                <w:szCs w:val="21"/>
                <w:shd w:val="clear" w:color="auto" w:fill="FFFFFF"/>
                <w:lang w:bidi="ar"/>
              </w:rPr>
            </w:pPr>
          </w:p>
        </w:tc>
        <w:tc>
          <w:tcPr>
            <w:tcW w:w="240" w:type="dxa"/>
          </w:tcPr>
          <w:p w14:paraId="1E1E4BF3"/>
        </w:tc>
      </w:tr>
    </w:tbl>
    <w:p w14:paraId="0E436F23">
      <w:pPr>
        <w:spacing w:after="384" w:afterLines="160" w:line="240" w:lineRule="auto"/>
        <w:rPr>
          <w:rFonts w:ascii="Times New Roman" w:hAnsi="Times New Roman" w:cs="Times New Roman"/>
          <w:b/>
          <w:bCs/>
          <w:sz w:val="24"/>
          <w:szCs w:val="24"/>
          <w:lang w:val="en-GB"/>
        </w:rPr>
      </w:pPr>
    </w:p>
    <w:p w14:paraId="0F27AEB1">
      <w:pPr>
        <w:spacing w:line="360" w:lineRule="auto"/>
        <w:contextualSpacing/>
        <w:rPr>
          <w:rFonts w:ascii="Times New Roman" w:hAnsi="Times New Roman" w:cs="Times New Roman"/>
          <w:b/>
          <w:bCs/>
          <w:sz w:val="24"/>
          <w:szCs w:val="24"/>
          <w:lang w:val="en-GB"/>
        </w:rPr>
      </w:pPr>
      <w:r>
        <w:rPr>
          <w:rFonts w:ascii="Times New Roman" w:hAnsi="Times New Roman" w:cs="Times New Roman"/>
          <w:b/>
          <w:bCs/>
          <w:sz w:val="24"/>
          <w:szCs w:val="24"/>
          <w:lang w:val="en-GB"/>
        </w:rPr>
        <w:br w:type="page"/>
      </w:r>
    </w:p>
    <w:p w14:paraId="2A87A51F">
      <w:pPr>
        <w:spacing w:line="360" w:lineRule="auto"/>
        <w:contextualSpacing/>
        <w:rPr>
          <w:rFonts w:ascii="Times New Roman Bold" w:hAnsi="Times New Roman Bold" w:cs="Times New Roman Bold"/>
          <w:b/>
          <w:bCs/>
          <w:color w:val="376092"/>
          <w:sz w:val="28"/>
          <w:szCs w:val="28"/>
        </w:rPr>
      </w:pPr>
      <w:r>
        <w:rPr>
          <w:rFonts w:hint="eastAsia" w:ascii="Times New Roman Bold" w:hAnsi="Times New Roman Bold" w:eastAsia="Calibri" w:cs="Times New Roman Bold"/>
          <w:b/>
          <w:bCs/>
          <w:color w:val="376092"/>
          <w:sz w:val="28"/>
          <w:szCs w:val="28"/>
        </w:rPr>
        <w:t>Appendix S1. Full search strategies and search results</w:t>
      </w:r>
    </w:p>
    <w:tbl>
      <w:tblPr>
        <w:tblStyle w:val="5"/>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01"/>
        <w:gridCol w:w="11601"/>
        <w:gridCol w:w="1358"/>
      </w:tblGrid>
      <w:tr w14:paraId="105ADE24">
        <w:tc>
          <w:tcPr>
            <w:tcW w:w="610" w:type="pct"/>
            <w:tcBorders>
              <w:top w:val="single" w:color="auto" w:sz="4" w:space="0"/>
              <w:bottom w:val="single" w:color="auto" w:sz="4" w:space="0"/>
            </w:tcBorders>
          </w:tcPr>
          <w:p w14:paraId="30D670DA">
            <w:pPr>
              <w:spacing w:before="120" w:beforeLines="50" w:after="120" w:afterLines="50"/>
              <w:contextualSpacing/>
              <w:jc w:val="center"/>
              <w:rPr>
                <w:rFonts w:ascii="Times New Roman" w:hAnsi="Times New Roman" w:eastAsia="宋体" w:cs="Times New Roman"/>
                <w:b/>
                <w:bCs/>
                <w:color w:val="000000" w:themeColor="text1"/>
                <w:sz w:val="24"/>
                <w:szCs w:val="20"/>
                <w14:textFill>
                  <w14:solidFill>
                    <w14:schemeClr w14:val="tx1"/>
                  </w14:solidFill>
                </w14:textFill>
              </w:rPr>
            </w:pPr>
            <w:r>
              <w:rPr>
                <w:rFonts w:ascii="Times New Roman" w:hAnsi="Times New Roman" w:eastAsia="宋体" w:cs="Times New Roman"/>
                <w:b/>
                <w:bCs/>
                <w:color w:val="000000" w:themeColor="text1"/>
                <w:sz w:val="24"/>
                <w:szCs w:val="20"/>
                <w14:textFill>
                  <w14:solidFill>
                    <w14:schemeClr w14:val="tx1"/>
                  </w14:solidFill>
                </w14:textFill>
              </w:rPr>
              <w:t>Data</w:t>
            </w:r>
          </w:p>
        </w:tc>
        <w:tc>
          <w:tcPr>
            <w:tcW w:w="3930" w:type="pct"/>
            <w:tcBorders>
              <w:top w:val="single" w:color="auto" w:sz="4" w:space="0"/>
              <w:bottom w:val="single" w:color="auto" w:sz="4" w:space="0"/>
            </w:tcBorders>
          </w:tcPr>
          <w:p w14:paraId="2DB425D3">
            <w:pPr>
              <w:spacing w:before="120" w:beforeLines="50" w:after="120" w:afterLines="50"/>
              <w:contextualSpacing/>
              <w:jc w:val="center"/>
              <w:rPr>
                <w:rFonts w:ascii="Times New Roman" w:hAnsi="Times New Roman" w:eastAsia="宋体" w:cs="Times New Roman"/>
                <w:b/>
                <w:bCs/>
                <w:color w:val="000000" w:themeColor="text1"/>
                <w:sz w:val="24"/>
                <w:szCs w:val="20"/>
                <w14:textFill>
                  <w14:solidFill>
                    <w14:schemeClr w14:val="tx1"/>
                  </w14:solidFill>
                </w14:textFill>
              </w:rPr>
            </w:pPr>
            <w:r>
              <w:rPr>
                <w:rFonts w:ascii="Times New Roman" w:hAnsi="Times New Roman" w:eastAsia="宋体" w:cs="Times New Roman"/>
                <w:b/>
                <w:bCs/>
                <w:color w:val="000000" w:themeColor="text1"/>
                <w:sz w:val="24"/>
                <w:szCs w:val="20"/>
                <w14:textFill>
                  <w14:solidFill>
                    <w14:schemeClr w14:val="tx1"/>
                  </w14:solidFill>
                </w14:textFill>
              </w:rPr>
              <w:t>Query</w:t>
            </w:r>
          </w:p>
        </w:tc>
        <w:tc>
          <w:tcPr>
            <w:tcW w:w="460" w:type="pct"/>
            <w:tcBorders>
              <w:top w:val="single" w:color="auto" w:sz="4" w:space="0"/>
              <w:bottom w:val="single" w:color="auto" w:sz="4" w:space="0"/>
            </w:tcBorders>
          </w:tcPr>
          <w:p w14:paraId="731BE631">
            <w:pPr>
              <w:spacing w:before="120" w:beforeLines="50" w:after="120" w:afterLines="50"/>
              <w:contextualSpacing/>
              <w:jc w:val="center"/>
              <w:rPr>
                <w:rFonts w:ascii="Times New Roman" w:hAnsi="Times New Roman" w:eastAsia="宋体" w:cs="Times New Roman"/>
                <w:b/>
                <w:bCs/>
                <w:color w:val="000000" w:themeColor="text1"/>
                <w:sz w:val="24"/>
                <w:szCs w:val="20"/>
                <w14:textFill>
                  <w14:solidFill>
                    <w14:schemeClr w14:val="tx1"/>
                  </w14:solidFill>
                </w14:textFill>
              </w:rPr>
            </w:pPr>
            <w:r>
              <w:rPr>
                <w:rFonts w:ascii="Times New Roman" w:hAnsi="Times New Roman" w:eastAsia="宋体" w:cs="Times New Roman"/>
                <w:b/>
                <w:bCs/>
                <w:color w:val="000000" w:themeColor="text1"/>
                <w:sz w:val="24"/>
                <w:szCs w:val="20"/>
                <w14:textFill>
                  <w14:solidFill>
                    <w14:schemeClr w14:val="tx1"/>
                  </w14:solidFill>
                </w14:textFill>
              </w:rPr>
              <w:t>Results</w:t>
            </w:r>
          </w:p>
        </w:tc>
      </w:tr>
      <w:tr w14:paraId="3454C72D">
        <w:tc>
          <w:tcPr>
            <w:tcW w:w="610" w:type="pct"/>
            <w:tcBorders>
              <w:top w:val="single" w:color="auto" w:sz="4" w:space="0"/>
            </w:tcBorders>
          </w:tcPr>
          <w:p w14:paraId="0908B3C5">
            <w:pPr>
              <w:spacing w:before="120" w:beforeLines="50" w:after="120" w:afterLines="50"/>
              <w:contextualSpacing/>
              <w:rPr>
                <w:rFonts w:ascii="Times New Roman" w:hAnsi="Times New Roman" w:eastAsia="宋体" w:cs="Times New Roman"/>
                <w:b/>
                <w:bCs/>
                <w:color w:val="000000" w:themeColor="text1"/>
                <w:sz w:val="24"/>
                <w:szCs w:val="20"/>
                <w14:textFill>
                  <w14:solidFill>
                    <w14:schemeClr w14:val="tx1"/>
                  </w14:solidFill>
                </w14:textFill>
              </w:rPr>
            </w:pPr>
            <w:r>
              <w:rPr>
                <w:rFonts w:ascii="Times New Roman" w:hAnsi="Times New Roman" w:eastAsia="宋体" w:cs="Times New Roman"/>
                <w:b/>
                <w:bCs/>
                <w:color w:val="000000" w:themeColor="text1"/>
                <w:sz w:val="24"/>
                <w:szCs w:val="20"/>
                <w14:textFill>
                  <w14:solidFill>
                    <w14:schemeClr w14:val="tx1"/>
                  </w14:solidFill>
                </w14:textFill>
              </w:rPr>
              <w:t>PUBMED</w:t>
            </w:r>
          </w:p>
        </w:tc>
        <w:tc>
          <w:tcPr>
            <w:tcW w:w="3930" w:type="pct"/>
            <w:tcBorders>
              <w:top w:val="single" w:color="auto" w:sz="4" w:space="0"/>
            </w:tcBorders>
          </w:tcPr>
          <w:p w14:paraId="2DE531E2">
            <w:pPr>
              <w:spacing w:before="120" w:beforeLines="50" w:after="120" w:afterLines="50"/>
              <w:contextualSpacing/>
              <w:rPr>
                <w:rFonts w:ascii="Times New Roman" w:hAnsi="Times New Roman" w:eastAsia="宋体" w:cs="Times New Roman"/>
                <w:color w:val="000000" w:themeColor="text1"/>
                <w:sz w:val="20"/>
                <w:szCs w:val="21"/>
                <w14:textFill>
                  <w14:solidFill>
                    <w14:schemeClr w14:val="tx1"/>
                  </w14:solidFill>
                </w14:textFill>
              </w:rPr>
            </w:pPr>
            <w:r>
              <w:rPr>
                <w:rFonts w:hint="eastAsia" w:ascii="Times New Roman" w:hAnsi="Times New Roman" w:eastAsia="宋体" w:cs="Times New Roman"/>
                <w:color w:val="000000" w:themeColor="text1"/>
                <w:sz w:val="20"/>
                <w:szCs w:val="21"/>
                <w14:textFill>
                  <w14:solidFill>
                    <w14:schemeClr w14:val="tx1"/>
                  </w14:solidFill>
                </w14:textFill>
              </w:rPr>
              <w:t>(("coronary artery disease"[Title/Abstract] OR "coronary heart disease"[Title/Abstract] OR "ischemic heart disease"[Title/Abstract] OR "ischaemic heart disease"[Title/Abstract] OR "CAD"[Title/Abstract] OR "CHD"[Title/Abstract] OR "IHD"[Title/Abstract] OR "myocardial ischem*"[Title/Abstract] OR "acute coronary syndrome"[Title/Abstract] OR "ACS"[Title/Abstract] OR "post PCI"[Title/Abstract] OR "post CABG"[Title/Abstract]) AND ("exercise therap*"[Title/Abstract] OR "exercise training"[Title/Abstract] OR "physical training"[Title/Abstract] OR "aerobic training"[Title/Abstract] OR "aerobic exercise"[Title/Abstract] OR "resistance training"[Title/Abstract] OR "resistance exercise"[Title/Abstract] OR "strength training"[Title/Abstract] OR "interval training"[Title/Abstract] OR "high intensity interval training"[Title/Abstract] OR "HIIT"[Title/Abstract] OR "endurance training"[Title/Abstract] OR "cardiac rehabilitation"[Title/Abstract] OR "rehab*"[Title/Abstract] OR "physical activity"[Title/Abstract] OR "exercise program*"[Title/Abstract] OR "physical exercis*"[Title/Abstract] OR "sports therap*"[Title/Abstract]) AND ("quality of life"[Title/Abstract] OR "health-related quality of life"[Title/Abstract] OR "health-related quality of life"[Title/Abstract] OR "QoL"[Title/Abstract] OR "HRQoL"[Title/Abstract] OR "HRQL"[Title/Abstract] OR ("well-being"[Title/Abstract] OR "wellbeing"[Title/Abstract] OR "life satisfaction"[Title/Abstract] OR "patient reported outcome"[Title/Abstract] OR "patient reported outcome measure"[Title/Abstract] OR "PROM"[Title/Abstract]))) AND ((clinicaltrial[Filter] OR randomizedcontrolledtrial[Filter]) AND (humans[Filter]) AND (english[Filter]))</w:t>
            </w:r>
          </w:p>
        </w:tc>
        <w:tc>
          <w:tcPr>
            <w:tcW w:w="460" w:type="pct"/>
            <w:tcBorders>
              <w:top w:val="single" w:color="auto" w:sz="4" w:space="0"/>
            </w:tcBorders>
          </w:tcPr>
          <w:p w14:paraId="4CB7701C">
            <w:pPr>
              <w:spacing w:before="120" w:beforeLines="50" w:after="120" w:afterLines="50"/>
              <w:contextualSpacing/>
              <w:jc w:val="center"/>
              <w:rPr>
                <w:rFonts w:ascii="Times New Roman" w:hAnsi="Times New Roman" w:eastAsia="宋体" w:cs="Times New Roman"/>
                <w:color w:val="000000" w:themeColor="text1"/>
                <w:sz w:val="24"/>
                <w:szCs w:val="20"/>
                <w:lang w:eastAsia="zh-CN"/>
                <w14:textFill>
                  <w14:solidFill>
                    <w14:schemeClr w14:val="tx1"/>
                  </w14:solidFill>
                </w14:textFill>
              </w:rPr>
            </w:pPr>
            <w:r>
              <w:rPr>
                <w:rFonts w:hint="eastAsia" w:ascii="Times New Roman" w:hAnsi="Times New Roman" w:eastAsia="宋体" w:cs="Times New Roman"/>
                <w:color w:val="000000" w:themeColor="text1"/>
                <w:sz w:val="24"/>
                <w:szCs w:val="20"/>
                <w:lang w:eastAsia="zh-CN"/>
                <w14:textFill>
                  <w14:solidFill>
                    <w14:schemeClr w14:val="tx1"/>
                  </w14:solidFill>
                </w14:textFill>
              </w:rPr>
              <w:t>271</w:t>
            </w:r>
          </w:p>
        </w:tc>
      </w:tr>
      <w:tr w14:paraId="16A45C35">
        <w:tc>
          <w:tcPr>
            <w:tcW w:w="610" w:type="pct"/>
          </w:tcPr>
          <w:p w14:paraId="3369DD7E">
            <w:pPr>
              <w:spacing w:before="120" w:beforeLines="50" w:after="120" w:afterLines="50"/>
              <w:contextualSpacing/>
              <w:rPr>
                <w:rFonts w:ascii="Times New Roman" w:hAnsi="Times New Roman" w:eastAsia="宋体" w:cs="Times New Roman"/>
                <w:b/>
                <w:bCs/>
                <w:color w:val="000000" w:themeColor="text1"/>
                <w:sz w:val="24"/>
                <w:szCs w:val="20"/>
                <w14:textFill>
                  <w14:solidFill>
                    <w14:schemeClr w14:val="tx1"/>
                  </w14:solidFill>
                </w14:textFill>
              </w:rPr>
            </w:pPr>
            <w:r>
              <w:rPr>
                <w:rFonts w:ascii="Times New Roman" w:hAnsi="Times New Roman" w:eastAsia="宋体" w:cs="Times New Roman"/>
                <w:b/>
                <w:bCs/>
                <w:color w:val="000000" w:themeColor="text1"/>
                <w:sz w:val="24"/>
                <w:szCs w:val="20"/>
                <w14:textFill>
                  <w14:solidFill>
                    <w14:schemeClr w14:val="tx1"/>
                  </w14:solidFill>
                </w14:textFill>
              </w:rPr>
              <w:t>Web of Science</w:t>
            </w:r>
          </w:p>
        </w:tc>
        <w:tc>
          <w:tcPr>
            <w:tcW w:w="3930" w:type="pct"/>
          </w:tcPr>
          <w:p w14:paraId="7F6303EF">
            <w:pPr>
              <w:spacing w:before="120" w:beforeLines="50" w:after="120" w:afterLines="50"/>
              <w:contextualSpacing/>
              <w:rPr>
                <w:rFonts w:ascii="Times New Roman" w:hAnsi="Times New Roman" w:eastAsia="宋体" w:cs="Times New Roman"/>
                <w:color w:val="000000" w:themeColor="text1"/>
                <w:sz w:val="20"/>
                <w:szCs w:val="21"/>
                <w14:textFill>
                  <w14:solidFill>
                    <w14:schemeClr w14:val="tx1"/>
                  </w14:solidFill>
                </w14:textFill>
              </w:rPr>
            </w:pPr>
            <w:r>
              <w:rPr>
                <w:rFonts w:hint="eastAsia" w:ascii="Times New Roman" w:hAnsi="Times New Roman" w:eastAsia="宋体" w:cs="Times New Roman"/>
                <w:color w:val="000000" w:themeColor="text1"/>
                <w:sz w:val="20"/>
                <w:szCs w:val="21"/>
                <w14:textFill>
                  <w14:solidFill>
                    <w14:schemeClr w14:val="tx1"/>
                  </w14:solidFill>
                </w14:textFill>
              </w:rPr>
              <w:t>TS=( ("coronary artery disease" OR "coronary heart disease" OR "ischemic heart disease" OR "ischaemic heart disease" OR CAD OR CHD OR IHD OR "myocardial ischem*" OR "acute coronary syndrome" OR ACS OR "post PCI" OR "post CABG") AND  ("exercise therap*" OR "exercise training" OR "physical training" OR "aerobic training" OR "aerobic exercise" OR "resistance training" OR "resistance exercise" OR "strength training" OR "interval training" OR "high intensity interval training" OR HIIT OR "endurance training" OR "cardiac rehabilitation" OR rehab* OR "physical activity" OR "exercise program*" OR "physical exercis*" OR "sports therap*")  AND  ("quality of life" OR "health-related quality of life" OR "health related quality of life" OR QoL OR HRQoL OR HRQL OR "well-being" OR wellbeing OR "life satisfaction" OR "patient reported outcome*" OR "patient-reported outcome*" OR PROM)AND  (random* OR "clinical trial*" OR "controlled trial" OR placebo OR "cross-over" OR crossover))</w:t>
            </w:r>
          </w:p>
        </w:tc>
        <w:tc>
          <w:tcPr>
            <w:tcW w:w="460" w:type="pct"/>
          </w:tcPr>
          <w:p w14:paraId="149AEDE0">
            <w:pPr>
              <w:spacing w:before="120" w:beforeLines="50" w:after="120" w:afterLines="50"/>
              <w:contextualSpacing/>
              <w:jc w:val="center"/>
              <w:rPr>
                <w:rFonts w:ascii="Times New Roman" w:hAnsi="Times New Roman" w:eastAsia="宋体" w:cs="Times New Roman"/>
                <w:color w:val="000000" w:themeColor="text1"/>
                <w:sz w:val="24"/>
                <w:szCs w:val="20"/>
                <w:lang w:eastAsia="zh-CN"/>
                <w14:textFill>
                  <w14:solidFill>
                    <w14:schemeClr w14:val="tx1"/>
                  </w14:solidFill>
                </w14:textFill>
              </w:rPr>
            </w:pPr>
            <w:r>
              <w:rPr>
                <w:rFonts w:hint="eastAsia" w:ascii="Times New Roman" w:hAnsi="Times New Roman" w:eastAsia="宋体" w:cs="Times New Roman"/>
                <w:color w:val="000000" w:themeColor="text1"/>
                <w:sz w:val="24"/>
                <w:szCs w:val="20"/>
                <w:lang w:eastAsia="zh-CN"/>
                <w14:textFill>
                  <w14:solidFill>
                    <w14:schemeClr w14:val="tx1"/>
                  </w14:solidFill>
                </w14:textFill>
              </w:rPr>
              <w:t>1938</w:t>
            </w:r>
          </w:p>
        </w:tc>
      </w:tr>
      <w:tr w14:paraId="44B5218E">
        <w:trPr>
          <w:trHeight w:val="2658" w:hRule="atLeast"/>
        </w:trPr>
        <w:tc>
          <w:tcPr>
            <w:tcW w:w="610" w:type="pct"/>
          </w:tcPr>
          <w:p w14:paraId="3A7208B7">
            <w:pPr>
              <w:spacing w:before="120" w:beforeLines="50" w:after="120" w:afterLines="50"/>
              <w:contextualSpacing/>
              <w:rPr>
                <w:rFonts w:ascii="Times New Roman" w:hAnsi="Times New Roman" w:eastAsia="宋体" w:cs="Times New Roman"/>
                <w:b/>
                <w:bCs/>
                <w:color w:val="000000" w:themeColor="text1"/>
                <w:sz w:val="24"/>
                <w:szCs w:val="20"/>
                <w14:textFill>
                  <w14:solidFill>
                    <w14:schemeClr w14:val="tx1"/>
                  </w14:solidFill>
                </w14:textFill>
              </w:rPr>
            </w:pPr>
            <w:r>
              <w:rPr>
                <w:rFonts w:ascii="Times New Roman" w:hAnsi="Times New Roman" w:cs="Times New Roman"/>
                <w:b/>
                <w:bCs/>
                <w:sz w:val="24"/>
                <w:szCs w:val="24"/>
                <w:lang w:val="en-GB"/>
              </w:rPr>
              <w:t>Cochrane</w:t>
            </w:r>
          </w:p>
        </w:tc>
        <w:tc>
          <w:tcPr>
            <w:tcW w:w="3930" w:type="pct"/>
          </w:tcPr>
          <w:p w14:paraId="43C51572">
            <w:pPr>
              <w:spacing w:before="120" w:beforeLines="50" w:after="120" w:afterLines="50"/>
              <w:contextualSpacing/>
              <w:rPr>
                <w:rFonts w:ascii="Times New Roman" w:hAnsi="Times New Roman" w:eastAsia="宋体" w:cs="Times New Roman"/>
                <w:color w:val="000000" w:themeColor="text1"/>
                <w:sz w:val="20"/>
                <w:szCs w:val="21"/>
                <w14:textFill>
                  <w14:solidFill>
                    <w14:schemeClr w14:val="tx1"/>
                  </w14:solidFill>
                </w14:textFill>
              </w:rPr>
            </w:pPr>
            <w:r>
              <w:rPr>
                <w:rFonts w:hint="eastAsia" w:ascii="Times New Roman" w:hAnsi="Times New Roman" w:eastAsia="宋体" w:cs="Times New Roman"/>
                <w:color w:val="000000" w:themeColor="text1"/>
                <w:sz w:val="20"/>
                <w:szCs w:val="21"/>
                <w14:textFill>
                  <w14:solidFill>
                    <w14:schemeClr w14:val="tx1"/>
                  </w14:solidFill>
                </w14:textFill>
              </w:rPr>
              <w:t>coronary artery disease OR coronary heart disease OR ischemic heart disease OR ischaemic heart disease OR CAD OR CHD OR IHD OR myocardial ischem* OR acute coronary syndrome OR ACS OR post PCI OR post CABG in Title Abstract Keyword AND exercise therap* OR exercise training OR physical training OR aerobic training OR aerobic exercise OR resistance training OR resistance exercise OR strength training OR interval training OR high intensity interval training OR HIIT OR endurance training OR cardiac rehabilitation OR rehab* OR physical activity OR exercise program* OR physical exercis* OR sports therap* in Title Abstract Keyword AND quality of life OR health-related quality of life OR QoL OR HRQoL OR HRQL OR well-being OR wellbeing OR life satisfaction OR patient reported outcome OR patient reported outcome measure OR PROM in Title Abstract Keyword - (Word variations have been searched)</w:t>
            </w:r>
          </w:p>
        </w:tc>
        <w:tc>
          <w:tcPr>
            <w:tcW w:w="460" w:type="pct"/>
          </w:tcPr>
          <w:p w14:paraId="7AD47C65">
            <w:pPr>
              <w:spacing w:before="120" w:beforeLines="50" w:after="120" w:afterLines="50"/>
              <w:contextualSpacing/>
              <w:jc w:val="center"/>
              <w:rPr>
                <w:rFonts w:ascii="Times New Roman" w:hAnsi="Times New Roman" w:eastAsia="宋体" w:cs="Times New Roman"/>
                <w:color w:val="000000" w:themeColor="text1"/>
                <w:sz w:val="24"/>
                <w:szCs w:val="20"/>
                <w:lang w:eastAsia="zh-CN"/>
                <w14:textFill>
                  <w14:solidFill>
                    <w14:schemeClr w14:val="tx1"/>
                  </w14:solidFill>
                </w14:textFill>
              </w:rPr>
            </w:pPr>
            <w:r>
              <w:rPr>
                <w:rFonts w:ascii="Times New Roman" w:hAnsi="Times New Roman" w:eastAsia="宋体" w:cs="Times New Roman"/>
                <w:color w:val="000000" w:themeColor="text1"/>
                <w:sz w:val="24"/>
                <w:szCs w:val="20"/>
                <w14:textFill>
                  <w14:solidFill>
                    <w14:schemeClr w14:val="tx1"/>
                  </w14:solidFill>
                </w14:textFill>
              </w:rPr>
              <w:t>2</w:t>
            </w:r>
            <w:r>
              <w:rPr>
                <w:rFonts w:hint="eastAsia" w:ascii="Times New Roman" w:hAnsi="Times New Roman" w:eastAsia="宋体" w:cs="Times New Roman"/>
                <w:color w:val="000000" w:themeColor="text1"/>
                <w:sz w:val="24"/>
                <w:szCs w:val="20"/>
                <w:lang w:eastAsia="zh-CN"/>
                <w14:textFill>
                  <w14:solidFill>
                    <w14:schemeClr w14:val="tx1"/>
                  </w14:solidFill>
                </w14:textFill>
              </w:rPr>
              <w:t>709</w:t>
            </w:r>
          </w:p>
        </w:tc>
      </w:tr>
      <w:tr w14:paraId="4CB44B2D">
        <w:tc>
          <w:tcPr>
            <w:tcW w:w="610" w:type="pct"/>
          </w:tcPr>
          <w:p w14:paraId="73D52FF5">
            <w:pPr>
              <w:spacing w:before="120" w:beforeLines="50" w:after="120" w:afterLines="50"/>
              <w:contextualSpacing/>
              <w:rPr>
                <w:rFonts w:ascii="Times New Roman" w:hAnsi="Times New Roman" w:eastAsia="宋体" w:cs="Times New Roman"/>
                <w:b/>
                <w:bCs/>
                <w:color w:val="000000" w:themeColor="text1"/>
                <w:sz w:val="24"/>
                <w:szCs w:val="20"/>
                <w14:textFill>
                  <w14:solidFill>
                    <w14:schemeClr w14:val="tx1"/>
                  </w14:solidFill>
                </w14:textFill>
              </w:rPr>
            </w:pPr>
            <w:r>
              <w:rPr>
                <w:rFonts w:ascii="Times New Roman" w:hAnsi="Times New Roman" w:eastAsia="宋体" w:cs="Times New Roman"/>
                <w:b/>
                <w:bCs/>
                <w:color w:val="000000" w:themeColor="text1"/>
                <w:sz w:val="24"/>
                <w:szCs w:val="20"/>
                <w14:textFill>
                  <w14:solidFill>
                    <w14:schemeClr w14:val="tx1"/>
                  </w14:solidFill>
                </w14:textFill>
              </w:rPr>
              <w:t>CNKI</w:t>
            </w:r>
          </w:p>
        </w:tc>
        <w:tc>
          <w:tcPr>
            <w:tcW w:w="3930" w:type="pct"/>
          </w:tcPr>
          <w:p w14:paraId="549DAF02">
            <w:pPr>
              <w:spacing w:before="120" w:beforeLines="50" w:after="120" w:afterLines="50"/>
              <w:contextualSpacing/>
              <w:rPr>
                <w:rFonts w:ascii="Times New Roman" w:hAnsi="Times New Roman" w:eastAsia="宋体" w:cs="Times New Roman"/>
                <w:color w:val="000000" w:themeColor="text1"/>
                <w:sz w:val="20"/>
                <w:szCs w:val="21"/>
                <w:lang w:eastAsia="zh-CN"/>
                <w14:textFill>
                  <w14:solidFill>
                    <w14:schemeClr w14:val="tx1"/>
                  </w14:solidFill>
                </w14:textFill>
              </w:rPr>
            </w:pPr>
            <w:r>
              <w:rPr>
                <w:rFonts w:hint="eastAsia" w:ascii="Times New Roman" w:hAnsi="Times New Roman" w:eastAsia="宋体" w:cs="Times New Roman"/>
                <w:color w:val="000000" w:themeColor="text1"/>
                <w:sz w:val="20"/>
                <w:szCs w:val="21"/>
                <w:lang w:eastAsia="zh-CN"/>
                <w14:textFill>
                  <w14:solidFill>
                    <w14:schemeClr w14:val="tx1"/>
                  </w14:solidFill>
                </w14:textFill>
              </w:rPr>
              <w:t>(冠心病 + 冠状动脉疾病 + 缺血性心脏病 + 心脏病)AND(运动 + 体力活动 + 肌肉力量 + 肌力 + 力量训练 + 力量运动 + 抗阻训练 + 抗阻运动 + 耐力训练 + 耐力运动 + 有氧训练 + 有氧运动)AND(生活质量 + 生命质量 + 福祉 + 幸福)AND(随机 + 随机对照 + 随机对照试验 + RCT + 随机分组 + 随机分配)</w:t>
            </w:r>
          </w:p>
        </w:tc>
        <w:tc>
          <w:tcPr>
            <w:tcW w:w="460" w:type="pct"/>
          </w:tcPr>
          <w:p w14:paraId="404FB3DF">
            <w:pPr>
              <w:spacing w:before="120" w:beforeLines="50" w:after="120" w:afterLines="50"/>
              <w:contextualSpacing/>
              <w:jc w:val="center"/>
              <w:rPr>
                <w:rFonts w:ascii="Times New Roman" w:hAnsi="Times New Roman" w:eastAsia="宋体" w:cs="Times New Roman"/>
                <w:color w:val="000000" w:themeColor="text1"/>
                <w:sz w:val="24"/>
                <w:szCs w:val="20"/>
                <w:lang w:eastAsia="zh-CN"/>
                <w14:textFill>
                  <w14:solidFill>
                    <w14:schemeClr w14:val="tx1"/>
                  </w14:solidFill>
                </w14:textFill>
              </w:rPr>
            </w:pPr>
            <w:r>
              <w:rPr>
                <w:rFonts w:hint="eastAsia" w:ascii="Times New Roman" w:hAnsi="Times New Roman" w:eastAsia="宋体" w:cs="Times New Roman"/>
                <w:color w:val="000000" w:themeColor="text1"/>
                <w:sz w:val="24"/>
                <w:szCs w:val="20"/>
                <w:lang w:eastAsia="zh-CN"/>
                <w14:textFill>
                  <w14:solidFill>
                    <w14:schemeClr w14:val="tx1"/>
                  </w14:solidFill>
                </w14:textFill>
              </w:rPr>
              <w:t>77</w:t>
            </w:r>
          </w:p>
        </w:tc>
      </w:tr>
    </w:tbl>
    <w:p w14:paraId="3BB4DD08">
      <w:pPr>
        <w:spacing w:line="360" w:lineRule="auto"/>
        <w:contextualSpacing/>
        <w:jc w:val="both"/>
        <w:rPr>
          <w:rFonts w:ascii="Times New Roman Bold" w:hAnsi="Times New Roman Bold" w:cs="Times New Roman Bold"/>
          <w:b/>
          <w:bCs/>
          <w:color w:val="376092"/>
          <w:sz w:val="28"/>
          <w:szCs w:val="28"/>
        </w:rPr>
      </w:pPr>
      <w:r>
        <w:rPr>
          <w:sz w:val="18"/>
          <w:szCs w:val="21"/>
        </w:rPr>
        <w:br w:type="page"/>
      </w:r>
      <w:r>
        <w:rPr>
          <w:rFonts w:hint="eastAsia" w:ascii="Times New Roman Bold" w:hAnsi="Times New Roman Bold" w:cs="Times New Roman Bold"/>
          <w:b/>
          <w:bCs/>
          <w:color w:val="376092"/>
          <w:sz w:val="28"/>
          <w:szCs w:val="28"/>
        </w:rPr>
        <w:t>Appendix S2. Description of the three-level meta-analytic model</w:t>
      </w:r>
    </w:p>
    <w:p w14:paraId="24905406">
      <w:pPr>
        <w:spacing w:after="0" w:line="480" w:lineRule="auto"/>
        <w:ind w:firstLine="400" w:firstLineChars="200"/>
        <w:jc w:val="both"/>
        <w:rPr>
          <w:rFonts w:ascii="Times New Roman" w:hAnsi="Times New Roman"/>
          <w:sz w:val="20"/>
          <w:szCs w:val="20"/>
          <w:lang w:val="en-GB" w:eastAsia="zh-CN"/>
        </w:rPr>
      </w:pPr>
      <w:r>
        <w:rPr>
          <w:rFonts w:hint="eastAsia" w:ascii="Times New Roman" w:hAnsi="Times New Roman"/>
          <w:sz w:val="20"/>
          <w:szCs w:val="20"/>
          <w:lang w:val="en-GB" w:eastAsia="zh-CN"/>
        </w:rPr>
        <w:t>Because several included trials contributed more than one effect size (e.g. multiple HR-QoL domains, time points, or intervention comparisons), the assumption of independence required for conventional two-level meta-analysis was not met. To account for the dependency among effect sizes derived from the same study, a three-level random-effects meta-analysis was applied. In this framework, level 1 represents the sampling variance of each observed effect size, level 2 captures the within-study variance between multiple effect sizes from the same study, and level 3 reflects the between-study variance across studies. This approach allows all eligible effect sizes to be retained while appropriately modelling their hierarchical structure and avoiding the loss of information associated with selecting a single outcome per study.</w:t>
      </w:r>
    </w:p>
    <w:p w14:paraId="0CB21A09">
      <w:pPr>
        <w:spacing w:after="0" w:line="480" w:lineRule="auto"/>
        <w:ind w:firstLine="400" w:firstLineChars="200"/>
        <w:jc w:val="both"/>
        <w:rPr>
          <w:rFonts w:hint="eastAsia" w:ascii="Times New Roman" w:hAnsi="Times New Roman"/>
          <w:sz w:val="20"/>
          <w:szCs w:val="20"/>
          <w:lang w:val="en-GB" w:eastAsia="zh-CN"/>
        </w:rPr>
        <w:sectPr>
          <w:type w:val="continuous"/>
          <w:pgSz w:w="15840" w:h="12240" w:orient="landscape"/>
          <w:pgMar w:top="792" w:right="648" w:bottom="792" w:left="648" w:header="708" w:footer="708" w:gutter="0"/>
          <w:cols w:space="708" w:num="1"/>
          <w:docGrid w:linePitch="360" w:charSpace="0"/>
        </w:sectPr>
      </w:pPr>
      <w:r>
        <w:rPr>
          <w:rFonts w:hint="eastAsia" w:ascii="Times New Roman" w:hAnsi="Times New Roman"/>
          <w:sz w:val="20"/>
          <w:szCs w:val="20"/>
          <w:lang w:val="en-GB" w:eastAsia="zh-CN"/>
        </w:rPr>
        <w:t>All analyses were performed in R (R Foundation for Statistical Computing, Vienna, Austria), primarily using the metafor package. Three-level models were fitted with restricted maximum likelihood estimation</w:t>
      </w:r>
    </w:p>
    <w:p w14:paraId="7396CF24">
      <w:pPr>
        <w:spacing w:line="360" w:lineRule="auto"/>
        <w:contextualSpacing/>
        <w:rPr>
          <w:rFonts w:ascii="Times New Roman Bold" w:hAnsi="Times New Roman Bold" w:cs="Times New Roman Bold"/>
          <w:b/>
          <w:bCs/>
          <w:color w:val="376092"/>
          <w:sz w:val="28"/>
          <w:szCs w:val="28"/>
          <w:lang w:val="en-GB" w:eastAsia="zh-CN"/>
        </w:rPr>
      </w:pPr>
      <w:r>
        <w:rPr>
          <w:rFonts w:hint="eastAsia" w:ascii="Times New Roman Bold" w:hAnsi="Times New Roman Bold" w:cs="Times New Roman Bold"/>
          <w:b/>
          <w:bCs/>
          <w:color w:val="376092"/>
          <w:sz w:val="28"/>
          <w:szCs w:val="28"/>
          <w:lang w:val="en-GB" w:eastAsia="zh-CN"/>
        </w:rPr>
        <w:t>Table S1. Detailed characteristics of included studies</w:t>
      </w:r>
    </w:p>
    <w:tbl>
      <w:tblPr>
        <w:tblStyle w:val="5"/>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61"/>
        <w:gridCol w:w="1307"/>
        <w:gridCol w:w="1345"/>
        <w:gridCol w:w="1183"/>
        <w:gridCol w:w="47"/>
        <w:gridCol w:w="1233"/>
        <w:gridCol w:w="1729"/>
        <w:gridCol w:w="1047"/>
        <w:gridCol w:w="1183"/>
        <w:gridCol w:w="1730"/>
        <w:gridCol w:w="1695"/>
      </w:tblGrid>
      <w:tr w14:paraId="32D52340">
        <w:tc>
          <w:tcPr>
            <w:tcW w:w="779" w:type="pct"/>
            <w:tcBorders>
              <w:top w:val="single" w:color="auto" w:sz="4" w:space="0"/>
              <w:bottom w:val="single" w:color="auto" w:sz="4" w:space="0"/>
            </w:tcBorders>
            <w:vAlign w:val="center"/>
          </w:tcPr>
          <w:p w14:paraId="7B9597FA">
            <w:pPr>
              <w:spacing w:after="0" w:line="360" w:lineRule="auto"/>
              <w:rPr>
                <w:rFonts w:ascii="Times New Roman" w:hAnsi="Times New Roman" w:cs="Times New Roman"/>
                <w:b/>
                <w:bCs/>
                <w:sz w:val="20"/>
                <w:szCs w:val="20"/>
              </w:rPr>
            </w:pPr>
            <w:r>
              <w:rPr>
                <w:rFonts w:ascii="Times New Roman" w:hAnsi="Times New Roman" w:eastAsia="宋体" w:cs="Times New Roman"/>
                <w:b/>
                <w:bCs/>
                <w:sz w:val="20"/>
                <w:szCs w:val="20"/>
                <w:lang w:eastAsia="zh-CN" w:bidi="ar"/>
              </w:rPr>
              <w:t>Study</w:t>
            </w:r>
          </w:p>
        </w:tc>
        <w:tc>
          <w:tcPr>
            <w:tcW w:w="456" w:type="pct"/>
            <w:tcBorders>
              <w:top w:val="single" w:color="auto" w:sz="4" w:space="0"/>
              <w:bottom w:val="single" w:color="auto" w:sz="4" w:space="0"/>
            </w:tcBorders>
            <w:vAlign w:val="center"/>
          </w:tcPr>
          <w:p w14:paraId="34F4546C">
            <w:pPr>
              <w:spacing w:after="0" w:line="360" w:lineRule="auto"/>
              <w:rPr>
                <w:rFonts w:ascii="Times New Roman" w:hAnsi="Times New Roman" w:cs="Times New Roman"/>
                <w:b/>
                <w:bCs/>
                <w:sz w:val="20"/>
                <w:szCs w:val="20"/>
              </w:rPr>
            </w:pPr>
            <w:r>
              <w:rPr>
                <w:rFonts w:ascii="Times New Roman" w:hAnsi="Times New Roman" w:eastAsia="宋体" w:cs="Times New Roman"/>
                <w:b/>
                <w:bCs/>
                <w:sz w:val="20"/>
                <w:szCs w:val="20"/>
                <w:lang w:eastAsia="zh-CN" w:bidi="ar"/>
              </w:rPr>
              <w:t>Country</w:t>
            </w:r>
          </w:p>
        </w:tc>
        <w:tc>
          <w:tcPr>
            <w:tcW w:w="469" w:type="pct"/>
            <w:tcBorders>
              <w:top w:val="single" w:color="auto" w:sz="4" w:space="0"/>
              <w:bottom w:val="single" w:color="auto" w:sz="4" w:space="0"/>
            </w:tcBorders>
            <w:vAlign w:val="center"/>
          </w:tcPr>
          <w:p w14:paraId="1C577DCA">
            <w:pPr>
              <w:spacing w:after="0" w:line="360" w:lineRule="auto"/>
              <w:rPr>
                <w:rFonts w:ascii="Times New Roman" w:hAnsi="Times New Roman" w:cs="Times New Roman"/>
                <w:b/>
                <w:bCs/>
                <w:sz w:val="20"/>
                <w:szCs w:val="20"/>
              </w:rPr>
            </w:pPr>
            <w:r>
              <w:rPr>
                <w:rFonts w:ascii="Times New Roman" w:hAnsi="Times New Roman" w:eastAsia="宋体" w:cs="Times New Roman"/>
                <w:b/>
                <w:bCs/>
                <w:sz w:val="20"/>
                <w:szCs w:val="20"/>
                <w:lang w:eastAsia="zh-CN" w:bidi="ar"/>
              </w:rPr>
              <w:t>Sample Size (% Women)</w:t>
            </w:r>
          </w:p>
        </w:tc>
        <w:tc>
          <w:tcPr>
            <w:tcW w:w="414" w:type="pct"/>
            <w:tcBorders>
              <w:top w:val="single" w:color="auto" w:sz="4" w:space="0"/>
              <w:bottom w:val="single" w:color="auto" w:sz="4" w:space="0"/>
            </w:tcBorders>
            <w:vAlign w:val="center"/>
          </w:tcPr>
          <w:p w14:paraId="63817DF4">
            <w:pPr>
              <w:spacing w:after="0" w:line="360" w:lineRule="auto"/>
              <w:rPr>
                <w:rFonts w:ascii="Times New Roman" w:hAnsi="Times New Roman" w:cs="Times New Roman"/>
                <w:b/>
                <w:bCs/>
                <w:sz w:val="20"/>
                <w:szCs w:val="20"/>
              </w:rPr>
            </w:pPr>
            <w:r>
              <w:rPr>
                <w:rFonts w:ascii="Times New Roman" w:hAnsi="Times New Roman" w:eastAsia="宋体" w:cs="Times New Roman"/>
                <w:b/>
                <w:bCs/>
                <w:sz w:val="20"/>
                <w:szCs w:val="20"/>
                <w:lang w:eastAsia="zh-CN" w:bidi="ar"/>
              </w:rPr>
              <w:t>Age (years)</w:t>
            </w:r>
          </w:p>
        </w:tc>
        <w:tc>
          <w:tcPr>
            <w:tcW w:w="460" w:type="pct"/>
            <w:gridSpan w:val="2"/>
            <w:tcBorders>
              <w:top w:val="single" w:color="auto" w:sz="4" w:space="0"/>
              <w:bottom w:val="single" w:color="auto" w:sz="4" w:space="0"/>
            </w:tcBorders>
            <w:vAlign w:val="center"/>
          </w:tcPr>
          <w:p w14:paraId="79C9F618">
            <w:pPr>
              <w:spacing w:after="0" w:line="360" w:lineRule="auto"/>
              <w:rPr>
                <w:rFonts w:ascii="Times New Roman" w:hAnsi="Times New Roman" w:cs="Times New Roman"/>
                <w:b/>
                <w:bCs/>
                <w:sz w:val="20"/>
                <w:szCs w:val="20"/>
              </w:rPr>
            </w:pPr>
            <w:r>
              <w:rPr>
                <w:rFonts w:ascii="Times New Roman" w:hAnsi="Times New Roman" w:eastAsia="宋体" w:cs="Times New Roman"/>
                <w:b/>
                <w:bCs/>
                <w:sz w:val="20"/>
                <w:szCs w:val="20"/>
                <w:lang w:eastAsia="zh-CN" w:bidi="ar"/>
              </w:rPr>
              <w:t>BMI</w:t>
            </w:r>
          </w:p>
        </w:tc>
        <w:tc>
          <w:tcPr>
            <w:tcW w:w="599" w:type="pct"/>
            <w:tcBorders>
              <w:top w:val="single" w:color="auto" w:sz="4" w:space="0"/>
              <w:bottom w:val="single" w:color="auto" w:sz="4" w:space="0"/>
            </w:tcBorders>
            <w:vAlign w:val="center"/>
          </w:tcPr>
          <w:p w14:paraId="53F2EB9B">
            <w:pPr>
              <w:spacing w:after="0" w:line="360" w:lineRule="auto"/>
              <w:rPr>
                <w:rFonts w:ascii="Times New Roman" w:hAnsi="Times New Roman" w:cs="Times New Roman"/>
                <w:b/>
                <w:bCs/>
                <w:sz w:val="20"/>
                <w:szCs w:val="20"/>
              </w:rPr>
            </w:pPr>
            <w:r>
              <w:rPr>
                <w:rFonts w:ascii="Times New Roman" w:hAnsi="Times New Roman" w:eastAsia="宋体" w:cs="Times New Roman"/>
                <w:b/>
                <w:bCs/>
                <w:sz w:val="20"/>
                <w:szCs w:val="20"/>
                <w:lang w:eastAsia="zh-CN" w:bidi="ar"/>
              </w:rPr>
              <w:t>Intervention Type</w:t>
            </w:r>
          </w:p>
        </w:tc>
        <w:tc>
          <w:tcPr>
            <w:tcW w:w="368" w:type="pct"/>
            <w:tcBorders>
              <w:top w:val="single" w:color="auto" w:sz="4" w:space="0"/>
              <w:bottom w:val="single" w:color="auto" w:sz="4" w:space="0"/>
            </w:tcBorders>
            <w:vAlign w:val="center"/>
          </w:tcPr>
          <w:p w14:paraId="294580F0">
            <w:pPr>
              <w:spacing w:after="0" w:line="360" w:lineRule="auto"/>
              <w:rPr>
                <w:rFonts w:ascii="Times New Roman" w:hAnsi="Times New Roman" w:cs="Times New Roman"/>
                <w:b/>
                <w:bCs/>
                <w:sz w:val="20"/>
                <w:szCs w:val="20"/>
              </w:rPr>
            </w:pPr>
            <w:r>
              <w:rPr>
                <w:rFonts w:ascii="Times New Roman" w:hAnsi="Times New Roman" w:eastAsia="宋体" w:cs="Times New Roman"/>
                <w:b/>
                <w:bCs/>
                <w:sz w:val="20"/>
                <w:szCs w:val="20"/>
                <w:lang w:eastAsia="zh-CN" w:bidi="ar"/>
              </w:rPr>
              <w:t>Duration</w:t>
            </w:r>
          </w:p>
        </w:tc>
        <w:tc>
          <w:tcPr>
            <w:tcW w:w="414" w:type="pct"/>
            <w:tcBorders>
              <w:top w:val="single" w:color="auto" w:sz="4" w:space="0"/>
              <w:bottom w:val="single" w:color="auto" w:sz="4" w:space="0"/>
            </w:tcBorders>
            <w:vAlign w:val="center"/>
          </w:tcPr>
          <w:p w14:paraId="6A7032AE">
            <w:pPr>
              <w:spacing w:after="0" w:line="360" w:lineRule="auto"/>
              <w:rPr>
                <w:rFonts w:ascii="Times New Roman" w:hAnsi="Times New Roman" w:cs="Times New Roman"/>
                <w:b/>
                <w:bCs/>
                <w:sz w:val="20"/>
                <w:szCs w:val="20"/>
              </w:rPr>
            </w:pPr>
            <w:r>
              <w:rPr>
                <w:rFonts w:ascii="Times New Roman" w:hAnsi="Times New Roman" w:eastAsia="宋体" w:cs="Times New Roman"/>
                <w:b/>
                <w:bCs/>
                <w:sz w:val="20"/>
                <w:szCs w:val="20"/>
                <w:lang w:eastAsia="zh-CN" w:bidi="ar"/>
              </w:rPr>
              <w:t>HRQoL Instrument</w:t>
            </w:r>
          </w:p>
        </w:tc>
        <w:tc>
          <w:tcPr>
            <w:tcW w:w="599" w:type="pct"/>
            <w:tcBorders>
              <w:top w:val="single" w:color="auto" w:sz="4" w:space="0"/>
              <w:bottom w:val="single" w:color="auto" w:sz="4" w:space="0"/>
            </w:tcBorders>
            <w:vAlign w:val="center"/>
          </w:tcPr>
          <w:p w14:paraId="6D551F97">
            <w:pPr>
              <w:spacing w:after="0" w:line="360" w:lineRule="auto"/>
              <w:rPr>
                <w:rFonts w:ascii="Times New Roman" w:hAnsi="Times New Roman" w:cs="Times New Roman"/>
                <w:b/>
                <w:bCs/>
                <w:sz w:val="20"/>
                <w:szCs w:val="20"/>
              </w:rPr>
            </w:pPr>
            <w:r>
              <w:rPr>
                <w:rFonts w:ascii="Times New Roman" w:hAnsi="Times New Roman" w:eastAsia="宋体" w:cs="Times New Roman"/>
                <w:b/>
                <w:bCs/>
                <w:sz w:val="20"/>
                <w:szCs w:val="20"/>
                <w:lang w:eastAsia="zh-CN" w:bidi="ar"/>
              </w:rPr>
              <w:t>Disease Stage</w:t>
            </w:r>
          </w:p>
        </w:tc>
        <w:tc>
          <w:tcPr>
            <w:tcW w:w="443" w:type="pct"/>
            <w:tcBorders>
              <w:top w:val="single" w:color="auto" w:sz="4" w:space="0"/>
              <w:bottom w:val="single" w:color="auto" w:sz="4" w:space="0"/>
            </w:tcBorders>
            <w:vAlign w:val="center"/>
          </w:tcPr>
          <w:p w14:paraId="068B8E0C">
            <w:pPr>
              <w:spacing w:after="0" w:line="360" w:lineRule="auto"/>
              <w:rPr>
                <w:rFonts w:ascii="Times New Roman" w:hAnsi="Times New Roman" w:cs="Times New Roman"/>
                <w:b/>
                <w:bCs/>
                <w:sz w:val="20"/>
                <w:szCs w:val="20"/>
              </w:rPr>
            </w:pPr>
            <w:r>
              <w:rPr>
                <w:rFonts w:ascii="Times New Roman" w:hAnsi="Times New Roman" w:cs="Times New Roman"/>
                <w:b/>
                <w:bCs/>
                <w:sz w:val="20"/>
                <w:szCs w:val="20"/>
              </w:rPr>
              <w:t>Exercise dose (MET·min/week)</w:t>
            </w:r>
          </w:p>
        </w:tc>
      </w:tr>
      <w:tr w14:paraId="15CDECDB">
        <w:tc>
          <w:tcPr>
            <w:tcW w:w="779" w:type="pct"/>
            <w:tcBorders>
              <w:top w:val="single" w:color="auto" w:sz="4" w:space="0"/>
            </w:tcBorders>
            <w:vAlign w:val="center"/>
          </w:tcPr>
          <w:p w14:paraId="35B60D44">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Chen et al., 2014</w:t>
            </w:r>
          </w:p>
        </w:tc>
        <w:tc>
          <w:tcPr>
            <w:tcW w:w="456" w:type="pct"/>
            <w:tcBorders>
              <w:top w:val="single" w:color="auto" w:sz="4" w:space="0"/>
            </w:tcBorders>
            <w:vAlign w:val="center"/>
          </w:tcPr>
          <w:p w14:paraId="2427BA54">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Taiwan, China</w:t>
            </w:r>
          </w:p>
        </w:tc>
        <w:tc>
          <w:tcPr>
            <w:tcW w:w="469" w:type="pct"/>
            <w:tcBorders>
              <w:top w:val="single" w:color="auto" w:sz="4" w:space="0"/>
            </w:tcBorders>
            <w:vAlign w:val="center"/>
          </w:tcPr>
          <w:p w14:paraId="2323ED14">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36 (22%)</w:t>
            </w:r>
          </w:p>
        </w:tc>
        <w:tc>
          <w:tcPr>
            <w:tcW w:w="443" w:type="pct"/>
            <w:gridSpan w:val="2"/>
            <w:tcBorders>
              <w:top w:val="single" w:color="auto" w:sz="4" w:space="0"/>
            </w:tcBorders>
            <w:vAlign w:val="center"/>
          </w:tcPr>
          <w:p w14:paraId="344AD376">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69 (R65-80)</w:t>
            </w:r>
          </w:p>
        </w:tc>
        <w:tc>
          <w:tcPr>
            <w:tcW w:w="431" w:type="pct"/>
            <w:tcBorders>
              <w:top w:val="single" w:color="auto" w:sz="4" w:space="0"/>
            </w:tcBorders>
            <w:vAlign w:val="center"/>
          </w:tcPr>
          <w:p w14:paraId="359F1C60">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25.4 ± 3.0</w:t>
            </w:r>
          </w:p>
        </w:tc>
        <w:tc>
          <w:tcPr>
            <w:tcW w:w="599" w:type="pct"/>
            <w:tcBorders>
              <w:top w:val="single" w:color="auto" w:sz="4" w:space="0"/>
            </w:tcBorders>
            <w:vAlign w:val="center"/>
          </w:tcPr>
          <w:p w14:paraId="341065CB">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Combined training</w:t>
            </w:r>
          </w:p>
        </w:tc>
        <w:tc>
          <w:tcPr>
            <w:tcW w:w="368" w:type="pct"/>
            <w:tcBorders>
              <w:top w:val="single" w:color="auto" w:sz="4" w:space="0"/>
            </w:tcBorders>
            <w:vAlign w:val="center"/>
          </w:tcPr>
          <w:p w14:paraId="741DEB31">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12 weeks</w:t>
            </w:r>
          </w:p>
        </w:tc>
        <w:tc>
          <w:tcPr>
            <w:tcW w:w="414" w:type="pct"/>
            <w:tcBorders>
              <w:top w:val="single" w:color="auto" w:sz="4" w:space="0"/>
            </w:tcBorders>
            <w:vAlign w:val="center"/>
          </w:tcPr>
          <w:p w14:paraId="3AD4BDD2">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SF-36</w:t>
            </w:r>
          </w:p>
        </w:tc>
        <w:tc>
          <w:tcPr>
            <w:tcW w:w="599" w:type="pct"/>
            <w:tcBorders>
              <w:top w:val="single" w:color="auto" w:sz="4" w:space="0"/>
            </w:tcBorders>
            <w:vAlign w:val="center"/>
          </w:tcPr>
          <w:p w14:paraId="0E83076B">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Post-ACS / Stable</w:t>
            </w:r>
          </w:p>
        </w:tc>
        <w:tc>
          <w:tcPr>
            <w:tcW w:w="443" w:type="pct"/>
            <w:tcBorders>
              <w:top w:val="single" w:color="auto" w:sz="4" w:space="0"/>
            </w:tcBorders>
            <w:vAlign w:val="center"/>
          </w:tcPr>
          <w:p w14:paraId="53C05D73">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1260</w:t>
            </w:r>
          </w:p>
        </w:tc>
      </w:tr>
      <w:tr w14:paraId="4B59CE9E">
        <w:tc>
          <w:tcPr>
            <w:tcW w:w="779" w:type="pct"/>
            <w:vAlign w:val="center"/>
          </w:tcPr>
          <w:p w14:paraId="18044C80">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Deng et al., 2020</w:t>
            </w:r>
          </w:p>
        </w:tc>
        <w:tc>
          <w:tcPr>
            <w:tcW w:w="456" w:type="pct"/>
            <w:vAlign w:val="center"/>
          </w:tcPr>
          <w:p w14:paraId="77F79427">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China</w:t>
            </w:r>
          </w:p>
        </w:tc>
        <w:tc>
          <w:tcPr>
            <w:tcW w:w="469" w:type="pct"/>
            <w:vAlign w:val="center"/>
          </w:tcPr>
          <w:p w14:paraId="6FFB8B36">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70 (12%)</w:t>
            </w:r>
          </w:p>
        </w:tc>
        <w:tc>
          <w:tcPr>
            <w:tcW w:w="443" w:type="pct"/>
            <w:gridSpan w:val="2"/>
            <w:vAlign w:val="center"/>
          </w:tcPr>
          <w:p w14:paraId="201877F4">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81 ± 3.5</w:t>
            </w:r>
          </w:p>
        </w:tc>
        <w:tc>
          <w:tcPr>
            <w:tcW w:w="431" w:type="pct"/>
            <w:vAlign w:val="center"/>
          </w:tcPr>
          <w:p w14:paraId="65BE7D51">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24.0 ± 3.1</w:t>
            </w:r>
          </w:p>
        </w:tc>
        <w:tc>
          <w:tcPr>
            <w:tcW w:w="599" w:type="pct"/>
            <w:vAlign w:val="center"/>
          </w:tcPr>
          <w:p w14:paraId="57DA76AC">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MICT</w:t>
            </w:r>
          </w:p>
        </w:tc>
        <w:tc>
          <w:tcPr>
            <w:tcW w:w="368" w:type="pct"/>
            <w:vAlign w:val="center"/>
          </w:tcPr>
          <w:p w14:paraId="7307940D">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12 weeks</w:t>
            </w:r>
          </w:p>
        </w:tc>
        <w:tc>
          <w:tcPr>
            <w:tcW w:w="414" w:type="pct"/>
            <w:vAlign w:val="center"/>
          </w:tcPr>
          <w:p w14:paraId="04C7A253">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SF-12</w:t>
            </w:r>
          </w:p>
        </w:tc>
        <w:tc>
          <w:tcPr>
            <w:tcW w:w="599" w:type="pct"/>
            <w:vAlign w:val="center"/>
          </w:tcPr>
          <w:p w14:paraId="79AAF755">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Post-ACS / Stable</w:t>
            </w:r>
          </w:p>
        </w:tc>
        <w:tc>
          <w:tcPr>
            <w:tcW w:w="443" w:type="pct"/>
            <w:vAlign w:val="center"/>
          </w:tcPr>
          <w:p w14:paraId="2EDF6606">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1050</w:t>
            </w:r>
          </w:p>
        </w:tc>
      </w:tr>
      <w:tr w14:paraId="1546339D">
        <w:tc>
          <w:tcPr>
            <w:tcW w:w="779" w:type="pct"/>
            <w:vAlign w:val="center"/>
          </w:tcPr>
          <w:p w14:paraId="4F586674">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ManoKumar R et al., 2024</w:t>
            </w:r>
          </w:p>
        </w:tc>
        <w:tc>
          <w:tcPr>
            <w:tcW w:w="456" w:type="pct"/>
            <w:vAlign w:val="center"/>
          </w:tcPr>
          <w:p w14:paraId="0D5F4EEE">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India</w:t>
            </w:r>
          </w:p>
        </w:tc>
        <w:tc>
          <w:tcPr>
            <w:tcW w:w="469" w:type="pct"/>
            <w:vAlign w:val="center"/>
          </w:tcPr>
          <w:p w14:paraId="1C63AB53">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40 (10%)</w:t>
            </w:r>
          </w:p>
        </w:tc>
        <w:tc>
          <w:tcPr>
            <w:tcW w:w="443" w:type="pct"/>
            <w:gridSpan w:val="2"/>
            <w:vAlign w:val="center"/>
          </w:tcPr>
          <w:p w14:paraId="36B03EBC">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57 ± 6</w:t>
            </w:r>
          </w:p>
        </w:tc>
        <w:tc>
          <w:tcPr>
            <w:tcW w:w="431" w:type="pct"/>
            <w:vAlign w:val="center"/>
          </w:tcPr>
          <w:p w14:paraId="226372E3">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26.1 ± 2.8</w:t>
            </w:r>
          </w:p>
        </w:tc>
        <w:tc>
          <w:tcPr>
            <w:tcW w:w="599" w:type="pct"/>
            <w:vAlign w:val="center"/>
          </w:tcPr>
          <w:p w14:paraId="5C3B37F8">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Combined training</w:t>
            </w:r>
          </w:p>
        </w:tc>
        <w:tc>
          <w:tcPr>
            <w:tcW w:w="368" w:type="pct"/>
            <w:vAlign w:val="center"/>
          </w:tcPr>
          <w:p w14:paraId="66DF0633">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12 weeks</w:t>
            </w:r>
          </w:p>
        </w:tc>
        <w:tc>
          <w:tcPr>
            <w:tcW w:w="414" w:type="pct"/>
            <w:vAlign w:val="center"/>
          </w:tcPr>
          <w:p w14:paraId="14FDBBF4">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WHOQOL-BREF</w:t>
            </w:r>
          </w:p>
        </w:tc>
        <w:tc>
          <w:tcPr>
            <w:tcW w:w="599" w:type="pct"/>
            <w:vAlign w:val="center"/>
          </w:tcPr>
          <w:p w14:paraId="652048EB">
            <w:pPr>
              <w:spacing w:after="0" w:line="360" w:lineRule="auto"/>
              <w:rPr>
                <w:rFonts w:ascii="Times New Roman" w:hAnsi="Times New Roman" w:cs="Times New Roman"/>
                <w:sz w:val="20"/>
                <w:szCs w:val="20"/>
              </w:rPr>
            </w:pPr>
            <w:r>
              <w:rPr>
                <w:rFonts w:hint="eastAsia" w:ascii="Times New Roman" w:hAnsi="Times New Roman" w:eastAsia="宋体" w:cs="Times New Roman"/>
                <w:sz w:val="20"/>
                <w:szCs w:val="20"/>
                <w:lang w:eastAsia="zh-CN" w:bidi="ar"/>
              </w:rPr>
              <w:t>Not classifiable</w:t>
            </w:r>
          </w:p>
        </w:tc>
        <w:tc>
          <w:tcPr>
            <w:tcW w:w="443" w:type="pct"/>
            <w:vAlign w:val="center"/>
          </w:tcPr>
          <w:p w14:paraId="229A51F0">
            <w:pPr>
              <w:spacing w:after="0" w:line="360" w:lineRule="auto"/>
              <w:rPr>
                <w:rFonts w:ascii="Times New Roman" w:hAnsi="Times New Roman" w:cs="Times New Roman"/>
                <w:sz w:val="20"/>
                <w:szCs w:val="20"/>
              </w:rPr>
            </w:pPr>
            <w:r>
              <w:rPr>
                <w:rFonts w:hint="eastAsia" w:ascii="Times New Roman" w:hAnsi="Times New Roman" w:eastAsia="宋体" w:cs="Times New Roman"/>
                <w:sz w:val="20"/>
                <w:szCs w:val="20"/>
                <w:lang w:eastAsia="zh-CN" w:bidi="ar"/>
              </w:rPr>
              <w:t>Not classifiable</w:t>
            </w:r>
          </w:p>
        </w:tc>
      </w:tr>
      <w:tr w14:paraId="2EFBA530">
        <w:tc>
          <w:tcPr>
            <w:tcW w:w="779" w:type="pct"/>
            <w:vAlign w:val="center"/>
          </w:tcPr>
          <w:p w14:paraId="4136D631">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Belardinelli et al., 2001</w:t>
            </w:r>
          </w:p>
        </w:tc>
        <w:tc>
          <w:tcPr>
            <w:tcW w:w="456" w:type="pct"/>
            <w:vAlign w:val="center"/>
          </w:tcPr>
          <w:p w14:paraId="6FC3EC91">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Italy</w:t>
            </w:r>
          </w:p>
        </w:tc>
        <w:tc>
          <w:tcPr>
            <w:tcW w:w="469" w:type="pct"/>
            <w:vAlign w:val="center"/>
          </w:tcPr>
          <w:p w14:paraId="4A575D8D">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130 (15%)</w:t>
            </w:r>
          </w:p>
        </w:tc>
        <w:tc>
          <w:tcPr>
            <w:tcW w:w="443" w:type="pct"/>
            <w:gridSpan w:val="2"/>
            <w:vAlign w:val="center"/>
          </w:tcPr>
          <w:p w14:paraId="14ACD333">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57 ± 10</w:t>
            </w:r>
          </w:p>
        </w:tc>
        <w:tc>
          <w:tcPr>
            <w:tcW w:w="431" w:type="pct"/>
            <w:vAlign w:val="center"/>
          </w:tcPr>
          <w:p w14:paraId="452F115C">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NR</w:t>
            </w:r>
          </w:p>
        </w:tc>
        <w:tc>
          <w:tcPr>
            <w:tcW w:w="599" w:type="pct"/>
            <w:vAlign w:val="center"/>
          </w:tcPr>
          <w:p w14:paraId="39B9DB5A">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MICT</w:t>
            </w:r>
          </w:p>
        </w:tc>
        <w:tc>
          <w:tcPr>
            <w:tcW w:w="368" w:type="pct"/>
            <w:vAlign w:val="center"/>
          </w:tcPr>
          <w:p w14:paraId="2A20D8E0">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24 weeks</w:t>
            </w:r>
          </w:p>
        </w:tc>
        <w:tc>
          <w:tcPr>
            <w:tcW w:w="414" w:type="pct"/>
            <w:vAlign w:val="center"/>
          </w:tcPr>
          <w:p w14:paraId="492CC04C">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SF-36</w:t>
            </w:r>
          </w:p>
        </w:tc>
        <w:tc>
          <w:tcPr>
            <w:tcW w:w="599" w:type="pct"/>
            <w:vAlign w:val="center"/>
          </w:tcPr>
          <w:p w14:paraId="54DA02EB">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Post-ACS / Stable</w:t>
            </w:r>
          </w:p>
        </w:tc>
        <w:tc>
          <w:tcPr>
            <w:tcW w:w="443" w:type="pct"/>
            <w:vAlign w:val="center"/>
          </w:tcPr>
          <w:p w14:paraId="4AAECD02">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630</w:t>
            </w:r>
          </w:p>
        </w:tc>
      </w:tr>
      <w:tr w14:paraId="72D96C02">
        <w:tc>
          <w:tcPr>
            <w:tcW w:w="779" w:type="pct"/>
            <w:vAlign w:val="center"/>
          </w:tcPr>
          <w:p w14:paraId="06FCE5A7">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Kristiansen et al., 2022</w:t>
            </w:r>
          </w:p>
        </w:tc>
        <w:tc>
          <w:tcPr>
            <w:tcW w:w="456" w:type="pct"/>
            <w:vAlign w:val="center"/>
          </w:tcPr>
          <w:p w14:paraId="2F02E886">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Denmark</w:t>
            </w:r>
          </w:p>
        </w:tc>
        <w:tc>
          <w:tcPr>
            <w:tcW w:w="469" w:type="pct"/>
            <w:vAlign w:val="center"/>
          </w:tcPr>
          <w:p w14:paraId="1D9F20A4">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142 (17%)</w:t>
            </w:r>
          </w:p>
        </w:tc>
        <w:tc>
          <w:tcPr>
            <w:tcW w:w="443" w:type="pct"/>
            <w:gridSpan w:val="2"/>
            <w:vAlign w:val="center"/>
          </w:tcPr>
          <w:p w14:paraId="7CB403BF">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67 ± 9</w:t>
            </w:r>
          </w:p>
        </w:tc>
        <w:tc>
          <w:tcPr>
            <w:tcW w:w="431" w:type="pct"/>
            <w:vAlign w:val="center"/>
          </w:tcPr>
          <w:p w14:paraId="2100C43A">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29.4 ± 4.8</w:t>
            </w:r>
          </w:p>
        </w:tc>
        <w:tc>
          <w:tcPr>
            <w:tcW w:w="599" w:type="pct"/>
            <w:vAlign w:val="center"/>
          </w:tcPr>
          <w:p w14:paraId="3574B911">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HIIT</w:t>
            </w:r>
          </w:p>
        </w:tc>
        <w:tc>
          <w:tcPr>
            <w:tcW w:w="368" w:type="pct"/>
            <w:vAlign w:val="center"/>
          </w:tcPr>
          <w:p w14:paraId="59EC8C67">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12 weeks</w:t>
            </w:r>
          </w:p>
        </w:tc>
        <w:tc>
          <w:tcPr>
            <w:tcW w:w="414" w:type="pct"/>
            <w:vAlign w:val="center"/>
          </w:tcPr>
          <w:p w14:paraId="62D33357">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SF-36</w:t>
            </w:r>
          </w:p>
        </w:tc>
        <w:tc>
          <w:tcPr>
            <w:tcW w:w="599" w:type="pct"/>
            <w:vAlign w:val="center"/>
          </w:tcPr>
          <w:p w14:paraId="5B658E55">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CCS</w:t>
            </w:r>
          </w:p>
        </w:tc>
        <w:tc>
          <w:tcPr>
            <w:tcW w:w="443" w:type="pct"/>
            <w:vAlign w:val="center"/>
          </w:tcPr>
          <w:p w14:paraId="62124B23">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360</w:t>
            </w:r>
          </w:p>
        </w:tc>
      </w:tr>
      <w:tr w14:paraId="45CAE8F7">
        <w:tc>
          <w:tcPr>
            <w:tcW w:w="779" w:type="pct"/>
            <w:vAlign w:val="center"/>
          </w:tcPr>
          <w:p w14:paraId="1A1170F4">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Deka et al., 2022</w:t>
            </w:r>
          </w:p>
        </w:tc>
        <w:tc>
          <w:tcPr>
            <w:tcW w:w="456" w:type="pct"/>
            <w:vAlign w:val="center"/>
          </w:tcPr>
          <w:p w14:paraId="2A270D98">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Spain</w:t>
            </w:r>
          </w:p>
        </w:tc>
        <w:tc>
          <w:tcPr>
            <w:tcW w:w="469" w:type="pct"/>
            <w:vAlign w:val="center"/>
          </w:tcPr>
          <w:p w14:paraId="3741489A">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90 (24%)</w:t>
            </w:r>
          </w:p>
        </w:tc>
        <w:tc>
          <w:tcPr>
            <w:tcW w:w="443" w:type="pct"/>
            <w:gridSpan w:val="2"/>
            <w:vAlign w:val="center"/>
          </w:tcPr>
          <w:p w14:paraId="5E8B0141">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69 ± 5</w:t>
            </w:r>
          </w:p>
        </w:tc>
        <w:tc>
          <w:tcPr>
            <w:tcW w:w="431" w:type="pct"/>
            <w:vAlign w:val="center"/>
          </w:tcPr>
          <w:p w14:paraId="15BBF521">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27.8 ± 4.6</w:t>
            </w:r>
          </w:p>
        </w:tc>
        <w:tc>
          <w:tcPr>
            <w:tcW w:w="599" w:type="pct"/>
            <w:vAlign w:val="center"/>
          </w:tcPr>
          <w:p w14:paraId="66B7B6A6">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Combined training</w:t>
            </w:r>
          </w:p>
        </w:tc>
        <w:tc>
          <w:tcPr>
            <w:tcW w:w="368" w:type="pct"/>
            <w:vAlign w:val="center"/>
          </w:tcPr>
          <w:p w14:paraId="30E6D8F8">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8 weeks</w:t>
            </w:r>
          </w:p>
        </w:tc>
        <w:tc>
          <w:tcPr>
            <w:tcW w:w="414" w:type="pct"/>
            <w:vAlign w:val="center"/>
          </w:tcPr>
          <w:p w14:paraId="231E73B1">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SF-36</w:t>
            </w:r>
          </w:p>
        </w:tc>
        <w:tc>
          <w:tcPr>
            <w:tcW w:w="599" w:type="pct"/>
            <w:vAlign w:val="center"/>
          </w:tcPr>
          <w:p w14:paraId="62491FB8">
            <w:pPr>
              <w:spacing w:after="0" w:line="360" w:lineRule="auto"/>
              <w:rPr>
                <w:rFonts w:ascii="Times New Roman" w:hAnsi="Times New Roman" w:cs="Times New Roman"/>
                <w:sz w:val="20"/>
                <w:szCs w:val="20"/>
              </w:rPr>
            </w:pPr>
            <w:r>
              <w:rPr>
                <w:rFonts w:hint="eastAsia" w:ascii="Times New Roman" w:hAnsi="Times New Roman" w:eastAsia="宋体" w:cs="Times New Roman"/>
                <w:sz w:val="20"/>
                <w:szCs w:val="20"/>
                <w:lang w:eastAsia="zh-CN" w:bidi="ar"/>
              </w:rPr>
              <w:t>Post-ACS</w:t>
            </w:r>
            <w:r>
              <w:rPr>
                <w:rFonts w:hint="eastAsia" w:ascii="Times New Roman" w:hAnsi="Times New Roman" w:eastAsia="宋体" w:cs="Times New Roman"/>
                <w:sz w:val="20"/>
                <w:szCs w:val="20"/>
                <w:lang w:val="en-US" w:eastAsia="zh-CN" w:bidi="ar"/>
              </w:rPr>
              <w:t xml:space="preserve"> </w:t>
            </w:r>
            <w:r>
              <w:rPr>
                <w:rFonts w:ascii="Times New Roman" w:hAnsi="Times New Roman" w:eastAsia="宋体" w:cs="Times New Roman"/>
                <w:sz w:val="20"/>
                <w:szCs w:val="20"/>
                <w:lang w:eastAsia="zh-CN" w:bidi="ar"/>
              </w:rPr>
              <w:t>/ Stable</w:t>
            </w:r>
          </w:p>
        </w:tc>
        <w:tc>
          <w:tcPr>
            <w:tcW w:w="443" w:type="pct"/>
            <w:vAlign w:val="center"/>
          </w:tcPr>
          <w:p w14:paraId="2A52CE8E">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525</w:t>
            </w:r>
          </w:p>
        </w:tc>
      </w:tr>
      <w:tr w14:paraId="29E74B4F">
        <w:tc>
          <w:tcPr>
            <w:tcW w:w="779" w:type="pct"/>
            <w:vAlign w:val="center"/>
          </w:tcPr>
          <w:p w14:paraId="14581B3B">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Avila et al., 2018</w:t>
            </w:r>
          </w:p>
        </w:tc>
        <w:tc>
          <w:tcPr>
            <w:tcW w:w="456" w:type="pct"/>
            <w:vAlign w:val="center"/>
          </w:tcPr>
          <w:p w14:paraId="13197590">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Belgium</w:t>
            </w:r>
          </w:p>
        </w:tc>
        <w:tc>
          <w:tcPr>
            <w:tcW w:w="469" w:type="pct"/>
            <w:vAlign w:val="center"/>
          </w:tcPr>
          <w:p w14:paraId="52BFC198">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90 (11%)</w:t>
            </w:r>
          </w:p>
        </w:tc>
        <w:tc>
          <w:tcPr>
            <w:tcW w:w="443" w:type="pct"/>
            <w:gridSpan w:val="2"/>
            <w:vAlign w:val="center"/>
          </w:tcPr>
          <w:p w14:paraId="2172CB79">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61 ± 7</w:t>
            </w:r>
          </w:p>
        </w:tc>
        <w:tc>
          <w:tcPr>
            <w:tcW w:w="431" w:type="pct"/>
            <w:vAlign w:val="center"/>
          </w:tcPr>
          <w:p w14:paraId="4BF49FF9">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27.5 ± 3.4</w:t>
            </w:r>
          </w:p>
        </w:tc>
        <w:tc>
          <w:tcPr>
            <w:tcW w:w="599" w:type="pct"/>
            <w:vAlign w:val="center"/>
          </w:tcPr>
          <w:p w14:paraId="02A9E415">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MICT</w:t>
            </w:r>
          </w:p>
        </w:tc>
        <w:tc>
          <w:tcPr>
            <w:tcW w:w="368" w:type="pct"/>
            <w:vAlign w:val="center"/>
          </w:tcPr>
          <w:p w14:paraId="4A9FBE30">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12 weeks</w:t>
            </w:r>
          </w:p>
        </w:tc>
        <w:tc>
          <w:tcPr>
            <w:tcW w:w="414" w:type="pct"/>
            <w:vAlign w:val="center"/>
          </w:tcPr>
          <w:p w14:paraId="6D5018FE">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SF-36</w:t>
            </w:r>
          </w:p>
        </w:tc>
        <w:tc>
          <w:tcPr>
            <w:tcW w:w="599" w:type="pct"/>
            <w:vAlign w:val="center"/>
          </w:tcPr>
          <w:p w14:paraId="34DBCC26">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Post-ACS / Stable</w:t>
            </w:r>
          </w:p>
        </w:tc>
        <w:tc>
          <w:tcPr>
            <w:tcW w:w="443" w:type="pct"/>
            <w:vAlign w:val="center"/>
          </w:tcPr>
          <w:p w14:paraId="6F339BA7">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1092</w:t>
            </w:r>
          </w:p>
        </w:tc>
      </w:tr>
      <w:tr w14:paraId="7B5A61BA">
        <w:tc>
          <w:tcPr>
            <w:tcW w:w="779" w:type="pct"/>
            <w:vAlign w:val="center"/>
          </w:tcPr>
          <w:p w14:paraId="2940D012">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Salvetti et al., 2008</w:t>
            </w:r>
          </w:p>
        </w:tc>
        <w:tc>
          <w:tcPr>
            <w:tcW w:w="456" w:type="pct"/>
            <w:vAlign w:val="center"/>
          </w:tcPr>
          <w:p w14:paraId="367B091F">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Brazil</w:t>
            </w:r>
          </w:p>
        </w:tc>
        <w:tc>
          <w:tcPr>
            <w:tcW w:w="469" w:type="pct"/>
            <w:vAlign w:val="center"/>
          </w:tcPr>
          <w:p w14:paraId="2919C826">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39 (25%)</w:t>
            </w:r>
          </w:p>
        </w:tc>
        <w:tc>
          <w:tcPr>
            <w:tcW w:w="443" w:type="pct"/>
            <w:gridSpan w:val="2"/>
            <w:vAlign w:val="center"/>
          </w:tcPr>
          <w:p w14:paraId="5D202422">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53 ± 8</w:t>
            </w:r>
          </w:p>
        </w:tc>
        <w:tc>
          <w:tcPr>
            <w:tcW w:w="431" w:type="pct"/>
            <w:vAlign w:val="center"/>
          </w:tcPr>
          <w:p w14:paraId="35170D62">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27.0 ± 3.5</w:t>
            </w:r>
          </w:p>
        </w:tc>
        <w:tc>
          <w:tcPr>
            <w:tcW w:w="599" w:type="pct"/>
            <w:vAlign w:val="center"/>
          </w:tcPr>
          <w:p w14:paraId="50694B0F">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MICT</w:t>
            </w:r>
          </w:p>
        </w:tc>
        <w:tc>
          <w:tcPr>
            <w:tcW w:w="368" w:type="pct"/>
            <w:vAlign w:val="center"/>
          </w:tcPr>
          <w:p w14:paraId="72714BD9">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12 weeks</w:t>
            </w:r>
          </w:p>
        </w:tc>
        <w:tc>
          <w:tcPr>
            <w:tcW w:w="414" w:type="pct"/>
            <w:vAlign w:val="center"/>
          </w:tcPr>
          <w:p w14:paraId="7F77B605">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SF-36</w:t>
            </w:r>
          </w:p>
        </w:tc>
        <w:tc>
          <w:tcPr>
            <w:tcW w:w="599" w:type="pct"/>
            <w:vAlign w:val="center"/>
          </w:tcPr>
          <w:p w14:paraId="2E8ED720">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Post-ACS / Stable</w:t>
            </w:r>
          </w:p>
        </w:tc>
        <w:tc>
          <w:tcPr>
            <w:tcW w:w="443" w:type="pct"/>
            <w:vAlign w:val="center"/>
          </w:tcPr>
          <w:p w14:paraId="38DFC376">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495</w:t>
            </w:r>
          </w:p>
        </w:tc>
      </w:tr>
      <w:tr w14:paraId="7BBDF303">
        <w:tc>
          <w:tcPr>
            <w:tcW w:w="779" w:type="pct"/>
            <w:vAlign w:val="center"/>
          </w:tcPr>
          <w:p w14:paraId="556410EF">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Tong Y et al., 2024</w:t>
            </w:r>
          </w:p>
        </w:tc>
        <w:tc>
          <w:tcPr>
            <w:tcW w:w="456" w:type="pct"/>
            <w:vAlign w:val="center"/>
          </w:tcPr>
          <w:p w14:paraId="7AEA7E1B">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China</w:t>
            </w:r>
          </w:p>
        </w:tc>
        <w:tc>
          <w:tcPr>
            <w:tcW w:w="469" w:type="pct"/>
            <w:vAlign w:val="center"/>
          </w:tcPr>
          <w:p w14:paraId="10F4D77C">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80 (40%)</w:t>
            </w:r>
          </w:p>
        </w:tc>
        <w:tc>
          <w:tcPr>
            <w:tcW w:w="443" w:type="pct"/>
            <w:gridSpan w:val="2"/>
            <w:vAlign w:val="center"/>
          </w:tcPr>
          <w:p w14:paraId="1BFB6553">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59 ± 9</w:t>
            </w:r>
          </w:p>
        </w:tc>
        <w:tc>
          <w:tcPr>
            <w:tcW w:w="431" w:type="pct"/>
            <w:vAlign w:val="center"/>
          </w:tcPr>
          <w:p w14:paraId="166ADA40">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26.4 ± 3.1</w:t>
            </w:r>
          </w:p>
        </w:tc>
        <w:tc>
          <w:tcPr>
            <w:tcW w:w="599" w:type="pct"/>
            <w:vAlign w:val="center"/>
          </w:tcPr>
          <w:p w14:paraId="1C438C77">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Combined training</w:t>
            </w:r>
          </w:p>
        </w:tc>
        <w:tc>
          <w:tcPr>
            <w:tcW w:w="368" w:type="pct"/>
            <w:vAlign w:val="center"/>
          </w:tcPr>
          <w:p w14:paraId="66706215">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12 weeks</w:t>
            </w:r>
          </w:p>
        </w:tc>
        <w:tc>
          <w:tcPr>
            <w:tcW w:w="414" w:type="pct"/>
            <w:vAlign w:val="center"/>
          </w:tcPr>
          <w:p w14:paraId="006FA9F5">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SF-36</w:t>
            </w:r>
          </w:p>
        </w:tc>
        <w:tc>
          <w:tcPr>
            <w:tcW w:w="599" w:type="pct"/>
            <w:vAlign w:val="center"/>
          </w:tcPr>
          <w:p w14:paraId="56D7C5D0">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CCS</w:t>
            </w:r>
          </w:p>
        </w:tc>
        <w:tc>
          <w:tcPr>
            <w:tcW w:w="443" w:type="pct"/>
            <w:vAlign w:val="center"/>
          </w:tcPr>
          <w:p w14:paraId="2ECCA40A">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960</w:t>
            </w:r>
          </w:p>
        </w:tc>
      </w:tr>
      <w:tr w14:paraId="4645A2AD">
        <w:tc>
          <w:tcPr>
            <w:tcW w:w="779" w:type="pct"/>
            <w:vAlign w:val="center"/>
          </w:tcPr>
          <w:p w14:paraId="4120C30F">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Che Q et al., 2024</w:t>
            </w:r>
          </w:p>
        </w:tc>
        <w:tc>
          <w:tcPr>
            <w:tcW w:w="456" w:type="pct"/>
            <w:vAlign w:val="center"/>
          </w:tcPr>
          <w:p w14:paraId="20E7F1CA">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China</w:t>
            </w:r>
          </w:p>
        </w:tc>
        <w:tc>
          <w:tcPr>
            <w:tcW w:w="469" w:type="pct"/>
            <w:vAlign w:val="center"/>
          </w:tcPr>
          <w:p w14:paraId="7D3395F7">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100 (25%)</w:t>
            </w:r>
          </w:p>
        </w:tc>
        <w:tc>
          <w:tcPr>
            <w:tcW w:w="443" w:type="pct"/>
            <w:gridSpan w:val="2"/>
            <w:vAlign w:val="center"/>
          </w:tcPr>
          <w:p w14:paraId="3F0D1ECA">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56 ± 8</w:t>
            </w:r>
          </w:p>
        </w:tc>
        <w:tc>
          <w:tcPr>
            <w:tcW w:w="431" w:type="pct"/>
            <w:vAlign w:val="center"/>
          </w:tcPr>
          <w:p w14:paraId="7563012C">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26.8 ± 3.8</w:t>
            </w:r>
          </w:p>
        </w:tc>
        <w:tc>
          <w:tcPr>
            <w:tcW w:w="599" w:type="pct"/>
            <w:vAlign w:val="center"/>
          </w:tcPr>
          <w:p w14:paraId="7230F45C">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MICT</w:t>
            </w:r>
          </w:p>
        </w:tc>
        <w:tc>
          <w:tcPr>
            <w:tcW w:w="368" w:type="pct"/>
            <w:vAlign w:val="center"/>
          </w:tcPr>
          <w:p w14:paraId="5B1B6588">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12 weeks</w:t>
            </w:r>
          </w:p>
        </w:tc>
        <w:tc>
          <w:tcPr>
            <w:tcW w:w="414" w:type="pct"/>
            <w:vAlign w:val="center"/>
          </w:tcPr>
          <w:p w14:paraId="4512F2D7">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SF-36</w:t>
            </w:r>
          </w:p>
        </w:tc>
        <w:tc>
          <w:tcPr>
            <w:tcW w:w="599" w:type="pct"/>
            <w:vAlign w:val="center"/>
          </w:tcPr>
          <w:p w14:paraId="02FAF32F">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CCS</w:t>
            </w:r>
          </w:p>
        </w:tc>
        <w:tc>
          <w:tcPr>
            <w:tcW w:w="443" w:type="pct"/>
            <w:vAlign w:val="center"/>
          </w:tcPr>
          <w:p w14:paraId="704FF3B7">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1124</w:t>
            </w:r>
          </w:p>
        </w:tc>
      </w:tr>
      <w:tr w14:paraId="27AC2F51">
        <w:tc>
          <w:tcPr>
            <w:tcW w:w="779" w:type="pct"/>
            <w:vAlign w:val="center"/>
          </w:tcPr>
          <w:p w14:paraId="787EA6AE">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Ge S et al., 2024</w:t>
            </w:r>
          </w:p>
        </w:tc>
        <w:tc>
          <w:tcPr>
            <w:tcW w:w="456" w:type="pct"/>
            <w:vAlign w:val="center"/>
          </w:tcPr>
          <w:p w14:paraId="2DCD4744">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China</w:t>
            </w:r>
          </w:p>
        </w:tc>
        <w:tc>
          <w:tcPr>
            <w:tcW w:w="469" w:type="pct"/>
            <w:vAlign w:val="center"/>
          </w:tcPr>
          <w:p w14:paraId="3733BE77">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80 (40%)</w:t>
            </w:r>
          </w:p>
        </w:tc>
        <w:tc>
          <w:tcPr>
            <w:tcW w:w="443" w:type="pct"/>
            <w:gridSpan w:val="2"/>
            <w:vAlign w:val="center"/>
          </w:tcPr>
          <w:p w14:paraId="571EAF00">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54 ± 7</w:t>
            </w:r>
          </w:p>
        </w:tc>
        <w:tc>
          <w:tcPr>
            <w:tcW w:w="431" w:type="pct"/>
            <w:vAlign w:val="center"/>
          </w:tcPr>
          <w:p w14:paraId="4F2C6FB0">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NR</w:t>
            </w:r>
          </w:p>
        </w:tc>
        <w:tc>
          <w:tcPr>
            <w:tcW w:w="599" w:type="pct"/>
            <w:vAlign w:val="center"/>
          </w:tcPr>
          <w:p w14:paraId="76C580DC">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Combined training</w:t>
            </w:r>
          </w:p>
        </w:tc>
        <w:tc>
          <w:tcPr>
            <w:tcW w:w="368" w:type="pct"/>
            <w:vAlign w:val="center"/>
          </w:tcPr>
          <w:p w14:paraId="11ED7488">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12 weeks</w:t>
            </w:r>
          </w:p>
        </w:tc>
        <w:tc>
          <w:tcPr>
            <w:tcW w:w="414" w:type="pct"/>
            <w:vAlign w:val="center"/>
          </w:tcPr>
          <w:p w14:paraId="5D9C3B94">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SAQ</w:t>
            </w:r>
          </w:p>
        </w:tc>
        <w:tc>
          <w:tcPr>
            <w:tcW w:w="599" w:type="pct"/>
            <w:vAlign w:val="center"/>
          </w:tcPr>
          <w:p w14:paraId="4DA6831E">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CCS</w:t>
            </w:r>
          </w:p>
        </w:tc>
        <w:tc>
          <w:tcPr>
            <w:tcW w:w="443" w:type="pct"/>
            <w:vAlign w:val="center"/>
          </w:tcPr>
          <w:p w14:paraId="0800F463">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925</w:t>
            </w:r>
          </w:p>
        </w:tc>
      </w:tr>
      <w:tr w14:paraId="3B2A958A">
        <w:tc>
          <w:tcPr>
            <w:tcW w:w="779" w:type="pct"/>
            <w:vAlign w:val="center"/>
          </w:tcPr>
          <w:p w14:paraId="139FF67E">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Mao L et al., 2021</w:t>
            </w:r>
          </w:p>
        </w:tc>
        <w:tc>
          <w:tcPr>
            <w:tcW w:w="456" w:type="pct"/>
            <w:vAlign w:val="center"/>
          </w:tcPr>
          <w:p w14:paraId="7ABFFEDC">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China</w:t>
            </w:r>
          </w:p>
        </w:tc>
        <w:tc>
          <w:tcPr>
            <w:tcW w:w="469" w:type="pct"/>
            <w:vAlign w:val="center"/>
          </w:tcPr>
          <w:p w14:paraId="32A13BE1">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112 (38%)</w:t>
            </w:r>
          </w:p>
        </w:tc>
        <w:tc>
          <w:tcPr>
            <w:tcW w:w="443" w:type="pct"/>
            <w:gridSpan w:val="2"/>
            <w:vAlign w:val="center"/>
          </w:tcPr>
          <w:p w14:paraId="6E82E740">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61 ± 7</w:t>
            </w:r>
          </w:p>
        </w:tc>
        <w:tc>
          <w:tcPr>
            <w:tcW w:w="431" w:type="pct"/>
            <w:vAlign w:val="center"/>
          </w:tcPr>
          <w:p w14:paraId="2EEE6B27">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NR</w:t>
            </w:r>
          </w:p>
        </w:tc>
        <w:tc>
          <w:tcPr>
            <w:tcW w:w="599" w:type="pct"/>
            <w:vAlign w:val="center"/>
          </w:tcPr>
          <w:p w14:paraId="0B917609">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Combined training</w:t>
            </w:r>
          </w:p>
        </w:tc>
        <w:tc>
          <w:tcPr>
            <w:tcW w:w="368" w:type="pct"/>
            <w:vAlign w:val="center"/>
          </w:tcPr>
          <w:p w14:paraId="6669F9F4">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12 weeks</w:t>
            </w:r>
          </w:p>
        </w:tc>
        <w:tc>
          <w:tcPr>
            <w:tcW w:w="414" w:type="pct"/>
            <w:vAlign w:val="center"/>
          </w:tcPr>
          <w:p w14:paraId="0AA6F8CF">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SAQ</w:t>
            </w:r>
          </w:p>
        </w:tc>
        <w:tc>
          <w:tcPr>
            <w:tcW w:w="599" w:type="pct"/>
            <w:vAlign w:val="center"/>
          </w:tcPr>
          <w:p w14:paraId="42A3D7A5">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CCS</w:t>
            </w:r>
          </w:p>
        </w:tc>
        <w:tc>
          <w:tcPr>
            <w:tcW w:w="443" w:type="pct"/>
            <w:vAlign w:val="center"/>
          </w:tcPr>
          <w:p w14:paraId="2294A27F">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672</w:t>
            </w:r>
          </w:p>
        </w:tc>
      </w:tr>
      <w:tr w14:paraId="0AD425CE">
        <w:tc>
          <w:tcPr>
            <w:tcW w:w="779" w:type="pct"/>
            <w:vAlign w:val="center"/>
          </w:tcPr>
          <w:p w14:paraId="6BB799D5">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Yang L et al., 2020</w:t>
            </w:r>
          </w:p>
        </w:tc>
        <w:tc>
          <w:tcPr>
            <w:tcW w:w="456" w:type="pct"/>
            <w:vAlign w:val="center"/>
          </w:tcPr>
          <w:p w14:paraId="7D958440">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China</w:t>
            </w:r>
          </w:p>
        </w:tc>
        <w:tc>
          <w:tcPr>
            <w:tcW w:w="469" w:type="pct"/>
            <w:vAlign w:val="center"/>
          </w:tcPr>
          <w:p w14:paraId="6BFF7F76">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104 (38%)</w:t>
            </w:r>
          </w:p>
        </w:tc>
        <w:tc>
          <w:tcPr>
            <w:tcW w:w="443" w:type="pct"/>
            <w:gridSpan w:val="2"/>
            <w:vAlign w:val="center"/>
          </w:tcPr>
          <w:p w14:paraId="43C9C794">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85 ± 4</w:t>
            </w:r>
          </w:p>
        </w:tc>
        <w:tc>
          <w:tcPr>
            <w:tcW w:w="431" w:type="pct"/>
            <w:vAlign w:val="center"/>
          </w:tcPr>
          <w:p w14:paraId="2EFA6065">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NR</w:t>
            </w:r>
          </w:p>
        </w:tc>
        <w:tc>
          <w:tcPr>
            <w:tcW w:w="599" w:type="pct"/>
            <w:vAlign w:val="center"/>
          </w:tcPr>
          <w:p w14:paraId="5650BE2F">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MICT</w:t>
            </w:r>
          </w:p>
        </w:tc>
        <w:tc>
          <w:tcPr>
            <w:tcW w:w="368" w:type="pct"/>
            <w:vAlign w:val="center"/>
          </w:tcPr>
          <w:p w14:paraId="729CF374">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12 weeks</w:t>
            </w:r>
          </w:p>
        </w:tc>
        <w:tc>
          <w:tcPr>
            <w:tcW w:w="414" w:type="pct"/>
            <w:vAlign w:val="center"/>
          </w:tcPr>
          <w:p w14:paraId="0A3495F1">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SF-36</w:t>
            </w:r>
          </w:p>
        </w:tc>
        <w:tc>
          <w:tcPr>
            <w:tcW w:w="599" w:type="pct"/>
            <w:vAlign w:val="center"/>
          </w:tcPr>
          <w:p w14:paraId="1E68E823">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CCS</w:t>
            </w:r>
          </w:p>
        </w:tc>
        <w:tc>
          <w:tcPr>
            <w:tcW w:w="443" w:type="pct"/>
            <w:vAlign w:val="center"/>
          </w:tcPr>
          <w:p w14:paraId="399E5949">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455</w:t>
            </w:r>
          </w:p>
        </w:tc>
      </w:tr>
      <w:tr w14:paraId="34E840EF">
        <w:tc>
          <w:tcPr>
            <w:tcW w:w="779" w:type="pct"/>
            <w:vAlign w:val="center"/>
          </w:tcPr>
          <w:p w14:paraId="07BB12FA">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Wu Y et al., 2019</w:t>
            </w:r>
          </w:p>
        </w:tc>
        <w:tc>
          <w:tcPr>
            <w:tcW w:w="456" w:type="pct"/>
            <w:vAlign w:val="center"/>
          </w:tcPr>
          <w:p w14:paraId="2ED3AAB5">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China</w:t>
            </w:r>
          </w:p>
        </w:tc>
        <w:tc>
          <w:tcPr>
            <w:tcW w:w="469" w:type="pct"/>
            <w:vAlign w:val="center"/>
          </w:tcPr>
          <w:p w14:paraId="0948A9D7">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200 (32%)</w:t>
            </w:r>
          </w:p>
        </w:tc>
        <w:tc>
          <w:tcPr>
            <w:tcW w:w="443" w:type="pct"/>
            <w:gridSpan w:val="2"/>
            <w:vAlign w:val="center"/>
          </w:tcPr>
          <w:p w14:paraId="43A8468A">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63 ± 8</w:t>
            </w:r>
          </w:p>
        </w:tc>
        <w:tc>
          <w:tcPr>
            <w:tcW w:w="431" w:type="pct"/>
            <w:vAlign w:val="center"/>
          </w:tcPr>
          <w:p w14:paraId="29A70722">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NR</w:t>
            </w:r>
          </w:p>
        </w:tc>
        <w:tc>
          <w:tcPr>
            <w:tcW w:w="599" w:type="pct"/>
            <w:vAlign w:val="center"/>
          </w:tcPr>
          <w:p w14:paraId="07C96584">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Combined training</w:t>
            </w:r>
          </w:p>
        </w:tc>
        <w:tc>
          <w:tcPr>
            <w:tcW w:w="368" w:type="pct"/>
            <w:vAlign w:val="center"/>
          </w:tcPr>
          <w:p w14:paraId="54483B57">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12 weeks</w:t>
            </w:r>
          </w:p>
        </w:tc>
        <w:tc>
          <w:tcPr>
            <w:tcW w:w="414" w:type="pct"/>
            <w:vAlign w:val="center"/>
          </w:tcPr>
          <w:p w14:paraId="72194FE5">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SF-36, SAQ</w:t>
            </w:r>
          </w:p>
        </w:tc>
        <w:tc>
          <w:tcPr>
            <w:tcW w:w="599" w:type="pct"/>
            <w:vAlign w:val="center"/>
          </w:tcPr>
          <w:p w14:paraId="501AF57B">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CCS</w:t>
            </w:r>
          </w:p>
        </w:tc>
        <w:tc>
          <w:tcPr>
            <w:tcW w:w="443" w:type="pct"/>
            <w:vAlign w:val="center"/>
          </w:tcPr>
          <w:p w14:paraId="3548621A">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1259</w:t>
            </w:r>
          </w:p>
        </w:tc>
      </w:tr>
      <w:tr w14:paraId="5CEA309A">
        <w:tc>
          <w:tcPr>
            <w:tcW w:w="779" w:type="pct"/>
            <w:vAlign w:val="center"/>
          </w:tcPr>
          <w:p w14:paraId="4D0FE139">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Gonçalves et al.</w:t>
            </w:r>
          </w:p>
        </w:tc>
        <w:tc>
          <w:tcPr>
            <w:tcW w:w="456" w:type="pct"/>
            <w:vAlign w:val="center"/>
          </w:tcPr>
          <w:p w14:paraId="75401DB9">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Portugal</w:t>
            </w:r>
          </w:p>
        </w:tc>
        <w:tc>
          <w:tcPr>
            <w:tcW w:w="469" w:type="pct"/>
            <w:vAlign w:val="center"/>
          </w:tcPr>
          <w:p w14:paraId="37C13021">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69 (13%)</w:t>
            </w:r>
          </w:p>
        </w:tc>
        <w:tc>
          <w:tcPr>
            <w:tcW w:w="443" w:type="pct"/>
            <w:gridSpan w:val="2"/>
            <w:vAlign w:val="center"/>
          </w:tcPr>
          <w:p w14:paraId="09602773">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56 ± 10</w:t>
            </w:r>
          </w:p>
        </w:tc>
        <w:tc>
          <w:tcPr>
            <w:tcW w:w="431" w:type="pct"/>
            <w:vAlign w:val="center"/>
          </w:tcPr>
          <w:p w14:paraId="48D628DD">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29.0 ± 4.3</w:t>
            </w:r>
          </w:p>
        </w:tc>
        <w:tc>
          <w:tcPr>
            <w:tcW w:w="599" w:type="pct"/>
            <w:vAlign w:val="center"/>
          </w:tcPr>
          <w:p w14:paraId="5AEA8811">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HIIT, MICT</w:t>
            </w:r>
          </w:p>
        </w:tc>
        <w:tc>
          <w:tcPr>
            <w:tcW w:w="368" w:type="pct"/>
            <w:vAlign w:val="center"/>
          </w:tcPr>
          <w:p w14:paraId="7272CF96">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6 weeks</w:t>
            </w:r>
          </w:p>
        </w:tc>
        <w:tc>
          <w:tcPr>
            <w:tcW w:w="414" w:type="pct"/>
            <w:vAlign w:val="center"/>
          </w:tcPr>
          <w:p w14:paraId="39929E69">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SF-36</w:t>
            </w:r>
          </w:p>
        </w:tc>
        <w:tc>
          <w:tcPr>
            <w:tcW w:w="599" w:type="pct"/>
            <w:vAlign w:val="center"/>
          </w:tcPr>
          <w:p w14:paraId="48D3F1CB">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Post-ACS / Stable</w:t>
            </w:r>
          </w:p>
        </w:tc>
        <w:tc>
          <w:tcPr>
            <w:tcW w:w="443" w:type="pct"/>
            <w:vAlign w:val="center"/>
          </w:tcPr>
          <w:p w14:paraId="05EFD5D0">
            <w:pPr>
              <w:spacing w:after="0" w:line="360" w:lineRule="auto"/>
              <w:rPr>
                <w:rFonts w:ascii="Times New Roman" w:hAnsi="Times New Roman" w:cs="Times New Roman"/>
                <w:sz w:val="20"/>
                <w:szCs w:val="20"/>
              </w:rPr>
            </w:pPr>
            <w:r>
              <w:rPr>
                <w:rFonts w:ascii="Times New Roman" w:hAnsi="Times New Roman" w:eastAsia="宋体" w:cs="Times New Roman"/>
                <w:sz w:val="20"/>
                <w:szCs w:val="20"/>
                <w:lang w:eastAsia="zh-CN" w:bidi="ar"/>
              </w:rPr>
              <w:t>480</w:t>
            </w:r>
          </w:p>
        </w:tc>
      </w:tr>
    </w:tbl>
    <w:p w14:paraId="1F576BF3">
      <w:pPr>
        <w:rPr>
          <w:rFonts w:hint="default" w:ascii="Times New Roman" w:hAnsi="Times New Roman" w:cs="Times New Roman"/>
          <w:color w:val="000000" w:themeColor="text1"/>
          <w:sz w:val="20"/>
          <w:szCs w:val="20"/>
          <w:lang w:val="en-US" w:eastAsia="zh-CN"/>
          <w14:textFill>
            <w14:solidFill>
              <w14:schemeClr w14:val="tx1"/>
            </w14:solidFill>
          </w14:textFill>
        </w:rPr>
        <w:sectPr>
          <w:pgSz w:w="15840" w:h="12240" w:orient="landscape"/>
          <w:pgMar w:top="792" w:right="648" w:bottom="792" w:left="648" w:header="708" w:footer="708" w:gutter="0"/>
          <w:cols w:space="708" w:num="1"/>
          <w:docGrid w:linePitch="360" w:charSpace="0"/>
        </w:sectPr>
      </w:pPr>
      <w:r>
        <w:rPr>
          <w:rFonts w:hint="eastAsia" w:ascii="Times New Roman" w:hAnsi="Times New Roman" w:cs="Times New Roman"/>
          <w:b/>
          <w:bCs/>
          <w:i/>
          <w:iCs/>
          <w:color w:val="000000" w:themeColor="text1"/>
          <w:sz w:val="20"/>
          <w:szCs w:val="20"/>
          <w:lang w:val="en-GB" w:eastAsia="zh-CN"/>
          <w14:textFill>
            <w14:solidFill>
              <w14:schemeClr w14:val="tx1"/>
            </w14:solidFill>
          </w14:textFill>
        </w:rPr>
        <w:t>Note:</w:t>
      </w:r>
      <w:r>
        <w:rPr>
          <w:rFonts w:hint="eastAsia" w:eastAsia="宋体"/>
          <w:sz w:val="15"/>
          <w:szCs w:val="15"/>
          <w:lang w:val="en-GB" w:eastAsia="zh-CN"/>
        </w:rPr>
        <w:t xml:space="preserve"> </w:t>
      </w:r>
      <w:r>
        <w:rPr>
          <w:rFonts w:hint="eastAsia" w:ascii="Times New Roman" w:hAnsi="Times New Roman" w:cs="Times New Roman"/>
          <w:color w:val="000000" w:themeColor="text1"/>
          <w:sz w:val="20"/>
          <w:szCs w:val="20"/>
          <w:lang w:val="en-GB" w:eastAsia="zh-CN"/>
          <w14:textFill>
            <w14:solidFill>
              <w14:schemeClr w14:val="tx1"/>
            </w14:solidFill>
          </w14:textFill>
        </w:rPr>
        <w:t>Supplementary Table S1 summarises the characteristics of the studies included in the meta-analysis, including country, sample size, age, BMI, intervention type, intervention duration, HR-QoL instrument, disease stage, and exercise dose. Data are presented as reported in the original studies. CCS refers to patients with chronic stable angina and no recent history of myocardial infarction or unstable angina; post-ACS stable refers to clinically stable patients with a previous history of myocardial infarction or unstable angina. MET·min/week was used to quantify exercise dose. CCS, chronic coronary syndrome; HR-QoL, health-related quality of lif</w:t>
      </w:r>
      <w:r>
        <w:rPr>
          <w:rFonts w:hint="eastAsia" w:ascii="Times New Roman" w:hAnsi="Times New Roman" w:cs="Times New Roman"/>
          <w:color w:val="000000" w:themeColor="text1"/>
          <w:sz w:val="20"/>
          <w:szCs w:val="20"/>
          <w:lang w:val="en-US" w:eastAsia="zh-CN"/>
          <w14:textFill>
            <w14:solidFill>
              <w14:schemeClr w14:val="tx1"/>
            </w14:solidFill>
          </w14:textFill>
        </w:rPr>
        <w:t>e.</w:t>
      </w:r>
    </w:p>
    <w:p w14:paraId="77D5013F">
      <w:pPr>
        <w:rPr>
          <w:rFonts w:ascii="Times New Roman" w:hAnsi="Times New Roman" w:cs="Times New Roman"/>
          <w:color w:val="000000" w:themeColor="text1"/>
          <w:sz w:val="20"/>
          <w:szCs w:val="20"/>
          <w:lang w:val="en-GB" w:eastAsia="zh-CN"/>
          <w14:textFill>
            <w14:solidFill>
              <w14:schemeClr w14:val="tx1"/>
            </w14:solidFill>
          </w14:textFill>
        </w:rPr>
      </w:pPr>
      <w:r>
        <w:rPr>
          <w:rFonts w:hint="eastAsia" w:ascii="Times New Roman" w:hAnsi="Times New Roman" w:cs="Times New Roman"/>
          <w:color w:val="000000" w:themeColor="text1"/>
          <w:sz w:val="20"/>
          <w:szCs w:val="20"/>
          <w:lang w:val="en-GB" w:eastAsia="zh-CN"/>
          <w14:textFill>
            <w14:solidFill>
              <w14:schemeClr w14:val="tx1"/>
            </w14:solidFill>
          </w14:textFill>
        </w:rPr>
        <w:t>HIIT, high-intensity interval training; MICT, moderate-intensity continuous training; NR, not reported; SAQ, Seattle Angina Questionnaire; SF-12, 12-Item Short Form Health Survey; SF-36, 36-Item Short Form Health Survey; WHOQOL-BREF, World Health Organization Quality of Life-BREF.</w:t>
      </w:r>
    </w:p>
    <w:p w14:paraId="419DC207">
      <w:pPr>
        <w:rPr>
          <w:rFonts w:ascii="Times New Roman Bold" w:hAnsi="Times New Roman Bold" w:cs="Times New Roman Bold"/>
          <w:b/>
          <w:bCs/>
          <w:color w:val="376092"/>
          <w:sz w:val="28"/>
          <w:szCs w:val="28"/>
        </w:rPr>
      </w:pPr>
      <w:r>
        <w:rPr>
          <w:rFonts w:hint="eastAsia" w:ascii="Times New Roman Bold" w:hAnsi="Times New Roman Bold" w:cs="Times New Roman Bold"/>
          <w:b/>
          <w:bCs/>
          <w:color w:val="376092"/>
          <w:sz w:val="28"/>
          <w:szCs w:val="28"/>
        </w:rPr>
        <w:t>Table S2. Methodological quality assessment (PEDro scale)</w:t>
      </w:r>
    </w:p>
    <w:tbl>
      <w:tblPr>
        <w:tblStyle w:val="5"/>
        <w:tblW w:w="14007"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77"/>
        <w:gridCol w:w="919"/>
        <w:gridCol w:w="919"/>
        <w:gridCol w:w="919"/>
        <w:gridCol w:w="919"/>
        <w:gridCol w:w="919"/>
        <w:gridCol w:w="920"/>
        <w:gridCol w:w="919"/>
        <w:gridCol w:w="919"/>
        <w:gridCol w:w="919"/>
        <w:gridCol w:w="919"/>
        <w:gridCol w:w="919"/>
        <w:gridCol w:w="920"/>
      </w:tblGrid>
      <w:tr w14:paraId="022D4A62">
        <w:tc>
          <w:tcPr>
            <w:tcW w:w="2977" w:type="dxa"/>
            <w:tcBorders>
              <w:top w:val="single" w:color="auto" w:sz="4" w:space="0"/>
              <w:bottom w:val="single" w:color="auto" w:sz="4" w:space="0"/>
            </w:tcBorders>
          </w:tcPr>
          <w:p w14:paraId="5C294EFF">
            <w:pPr>
              <w:spacing w:line="360" w:lineRule="exact"/>
              <w:contextualSpacing/>
              <w:jc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sz w:val="20"/>
                <w:szCs w:val="20"/>
              </w:rPr>
              <w:t>A</w:t>
            </w:r>
            <w:r>
              <w:rPr>
                <w:rFonts w:hint="eastAsia" w:ascii="Times New Roman" w:hAnsi="Times New Roman" w:eastAsia="等线" w:cs="Times New Roman"/>
                <w:b/>
                <w:bCs/>
                <w:color w:val="000000"/>
                <w:sz w:val="20"/>
                <w:szCs w:val="20"/>
              </w:rPr>
              <w:t>uthor, year</w:t>
            </w:r>
          </w:p>
        </w:tc>
        <w:tc>
          <w:tcPr>
            <w:tcW w:w="919" w:type="dxa"/>
            <w:tcBorders>
              <w:top w:val="single" w:color="auto" w:sz="4" w:space="0"/>
              <w:bottom w:val="single" w:color="auto" w:sz="4" w:space="0"/>
            </w:tcBorders>
            <w:vAlign w:val="center"/>
          </w:tcPr>
          <w:p w14:paraId="37C87F47">
            <w:pPr>
              <w:spacing w:line="360" w:lineRule="exact"/>
              <w:contextualSpacing/>
              <w:jc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sz w:val="20"/>
                <w:szCs w:val="20"/>
              </w:rPr>
              <w:t>D1</w:t>
            </w:r>
          </w:p>
        </w:tc>
        <w:tc>
          <w:tcPr>
            <w:tcW w:w="919" w:type="dxa"/>
            <w:tcBorders>
              <w:top w:val="single" w:color="auto" w:sz="4" w:space="0"/>
              <w:bottom w:val="single" w:color="auto" w:sz="4" w:space="0"/>
            </w:tcBorders>
            <w:vAlign w:val="center"/>
          </w:tcPr>
          <w:p w14:paraId="21C79D30">
            <w:pPr>
              <w:spacing w:line="360" w:lineRule="exact"/>
              <w:contextualSpacing/>
              <w:jc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sz w:val="20"/>
                <w:szCs w:val="20"/>
              </w:rPr>
              <w:t>D2</w:t>
            </w:r>
          </w:p>
        </w:tc>
        <w:tc>
          <w:tcPr>
            <w:tcW w:w="919" w:type="dxa"/>
            <w:tcBorders>
              <w:top w:val="single" w:color="auto" w:sz="4" w:space="0"/>
              <w:bottom w:val="single" w:color="auto" w:sz="4" w:space="0"/>
            </w:tcBorders>
            <w:vAlign w:val="center"/>
          </w:tcPr>
          <w:p w14:paraId="01E5FE7A">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b/>
                <w:bCs/>
                <w:color w:val="000000"/>
                <w:sz w:val="20"/>
                <w:szCs w:val="20"/>
              </w:rPr>
              <w:t>D3</w:t>
            </w:r>
          </w:p>
        </w:tc>
        <w:tc>
          <w:tcPr>
            <w:tcW w:w="919" w:type="dxa"/>
            <w:tcBorders>
              <w:top w:val="single" w:color="auto" w:sz="4" w:space="0"/>
              <w:bottom w:val="single" w:color="auto" w:sz="4" w:space="0"/>
            </w:tcBorders>
            <w:vAlign w:val="center"/>
          </w:tcPr>
          <w:p w14:paraId="6F603F19">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b/>
                <w:bCs/>
                <w:color w:val="000000"/>
                <w:sz w:val="20"/>
                <w:szCs w:val="20"/>
              </w:rPr>
              <w:t>D4</w:t>
            </w:r>
          </w:p>
        </w:tc>
        <w:tc>
          <w:tcPr>
            <w:tcW w:w="919" w:type="dxa"/>
            <w:tcBorders>
              <w:top w:val="single" w:color="auto" w:sz="4" w:space="0"/>
              <w:bottom w:val="single" w:color="auto" w:sz="4" w:space="0"/>
            </w:tcBorders>
            <w:vAlign w:val="center"/>
          </w:tcPr>
          <w:p w14:paraId="5A618570">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b/>
                <w:bCs/>
                <w:color w:val="000000"/>
                <w:sz w:val="20"/>
                <w:szCs w:val="20"/>
              </w:rPr>
              <w:t>D5</w:t>
            </w:r>
          </w:p>
        </w:tc>
        <w:tc>
          <w:tcPr>
            <w:tcW w:w="920" w:type="dxa"/>
            <w:tcBorders>
              <w:top w:val="single" w:color="auto" w:sz="4" w:space="0"/>
              <w:bottom w:val="single" w:color="auto" w:sz="4" w:space="0"/>
            </w:tcBorders>
            <w:vAlign w:val="center"/>
          </w:tcPr>
          <w:p w14:paraId="6A49050F">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b/>
                <w:bCs/>
                <w:color w:val="000000"/>
                <w:sz w:val="20"/>
                <w:szCs w:val="20"/>
              </w:rPr>
              <w:t>D6</w:t>
            </w:r>
          </w:p>
        </w:tc>
        <w:tc>
          <w:tcPr>
            <w:tcW w:w="919" w:type="dxa"/>
            <w:tcBorders>
              <w:top w:val="single" w:color="auto" w:sz="4" w:space="0"/>
              <w:bottom w:val="single" w:color="auto" w:sz="4" w:space="0"/>
            </w:tcBorders>
            <w:vAlign w:val="center"/>
          </w:tcPr>
          <w:p w14:paraId="0E53F575">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b/>
                <w:bCs/>
                <w:color w:val="000000"/>
                <w:sz w:val="20"/>
                <w:szCs w:val="20"/>
              </w:rPr>
              <w:t>D7</w:t>
            </w:r>
          </w:p>
        </w:tc>
        <w:tc>
          <w:tcPr>
            <w:tcW w:w="919" w:type="dxa"/>
            <w:tcBorders>
              <w:top w:val="single" w:color="auto" w:sz="4" w:space="0"/>
              <w:bottom w:val="single" w:color="auto" w:sz="4" w:space="0"/>
            </w:tcBorders>
            <w:vAlign w:val="center"/>
          </w:tcPr>
          <w:p w14:paraId="45FC3749">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b/>
                <w:bCs/>
                <w:color w:val="000000"/>
                <w:sz w:val="20"/>
                <w:szCs w:val="20"/>
              </w:rPr>
              <w:t>D8</w:t>
            </w:r>
          </w:p>
        </w:tc>
        <w:tc>
          <w:tcPr>
            <w:tcW w:w="919" w:type="dxa"/>
            <w:tcBorders>
              <w:top w:val="single" w:color="auto" w:sz="4" w:space="0"/>
              <w:bottom w:val="single" w:color="auto" w:sz="4" w:space="0"/>
            </w:tcBorders>
            <w:vAlign w:val="center"/>
          </w:tcPr>
          <w:p w14:paraId="77E1C4AE">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b/>
                <w:bCs/>
                <w:color w:val="000000"/>
                <w:sz w:val="20"/>
                <w:szCs w:val="20"/>
              </w:rPr>
              <w:t>D9</w:t>
            </w:r>
          </w:p>
        </w:tc>
        <w:tc>
          <w:tcPr>
            <w:tcW w:w="919" w:type="dxa"/>
            <w:tcBorders>
              <w:top w:val="single" w:color="auto" w:sz="4" w:space="0"/>
              <w:bottom w:val="single" w:color="auto" w:sz="4" w:space="0"/>
            </w:tcBorders>
            <w:vAlign w:val="center"/>
          </w:tcPr>
          <w:p w14:paraId="2B434D42">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b/>
                <w:bCs/>
                <w:color w:val="000000"/>
                <w:sz w:val="20"/>
                <w:szCs w:val="20"/>
              </w:rPr>
              <w:t>D10</w:t>
            </w:r>
          </w:p>
        </w:tc>
        <w:tc>
          <w:tcPr>
            <w:tcW w:w="919" w:type="dxa"/>
            <w:tcBorders>
              <w:top w:val="single" w:color="auto" w:sz="4" w:space="0"/>
              <w:bottom w:val="single" w:color="auto" w:sz="4" w:space="0"/>
            </w:tcBorders>
            <w:vAlign w:val="center"/>
          </w:tcPr>
          <w:p w14:paraId="4FF7B52B">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b/>
                <w:bCs/>
                <w:color w:val="000000"/>
                <w:sz w:val="20"/>
                <w:szCs w:val="20"/>
              </w:rPr>
              <w:t>D11</w:t>
            </w:r>
          </w:p>
        </w:tc>
        <w:tc>
          <w:tcPr>
            <w:tcW w:w="920" w:type="dxa"/>
            <w:tcBorders>
              <w:top w:val="single" w:color="auto" w:sz="4" w:space="0"/>
              <w:bottom w:val="single" w:color="auto" w:sz="4" w:space="0"/>
            </w:tcBorders>
            <w:vAlign w:val="center"/>
          </w:tcPr>
          <w:p w14:paraId="6CEE0471">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b/>
                <w:bCs/>
                <w:color w:val="000000"/>
                <w:sz w:val="20"/>
                <w:szCs w:val="20"/>
              </w:rPr>
              <w:t>Total</w:t>
            </w:r>
          </w:p>
        </w:tc>
      </w:tr>
      <w:tr w14:paraId="1A2546DE">
        <w:tc>
          <w:tcPr>
            <w:tcW w:w="2977" w:type="dxa"/>
            <w:tcBorders>
              <w:top w:val="single" w:color="auto" w:sz="4" w:space="0"/>
            </w:tcBorders>
            <w:vAlign w:val="center"/>
          </w:tcPr>
          <w:p w14:paraId="1E8B314C">
            <w:pPr>
              <w:contextualSpacing/>
              <w:rPr>
                <w:rFonts w:ascii="Times New Roman" w:hAnsi="Times New Roman" w:eastAsia="宋体" w:cs="Times New Roman"/>
                <w:sz w:val="20"/>
                <w:szCs w:val="20"/>
              </w:rPr>
            </w:pPr>
            <w:r>
              <w:rPr>
                <w:rFonts w:hint="eastAsia" w:ascii="Times New Roman" w:hAnsi="Times New Roman" w:eastAsia="等线" w:cs="Times New Roman"/>
                <w:color w:val="000000"/>
                <w:sz w:val="20"/>
                <w:szCs w:val="20"/>
              </w:rPr>
              <w:t>Chen et al 2014</w:t>
            </w:r>
          </w:p>
        </w:tc>
        <w:tc>
          <w:tcPr>
            <w:tcW w:w="919" w:type="dxa"/>
            <w:tcBorders>
              <w:top w:val="single" w:color="auto" w:sz="4" w:space="0"/>
            </w:tcBorders>
            <w:vAlign w:val="center"/>
          </w:tcPr>
          <w:p w14:paraId="5CEF0415">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color w:val="000000"/>
                <w:sz w:val="20"/>
                <w:szCs w:val="20"/>
              </w:rPr>
              <w:t>Y</w:t>
            </w:r>
          </w:p>
        </w:tc>
        <w:tc>
          <w:tcPr>
            <w:tcW w:w="919" w:type="dxa"/>
            <w:tcBorders>
              <w:top w:val="single" w:color="auto" w:sz="4" w:space="0"/>
            </w:tcBorders>
            <w:vAlign w:val="center"/>
          </w:tcPr>
          <w:p w14:paraId="587C7172">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color w:val="000000"/>
                <w:sz w:val="20"/>
                <w:szCs w:val="20"/>
              </w:rPr>
              <w:t>0</w:t>
            </w:r>
          </w:p>
        </w:tc>
        <w:tc>
          <w:tcPr>
            <w:tcW w:w="919" w:type="dxa"/>
            <w:tcBorders>
              <w:top w:val="single" w:color="auto" w:sz="4" w:space="0"/>
            </w:tcBorders>
            <w:vAlign w:val="center"/>
          </w:tcPr>
          <w:p w14:paraId="3918F7C2">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color w:val="000000"/>
                <w:sz w:val="20"/>
                <w:szCs w:val="20"/>
              </w:rPr>
              <w:t>0</w:t>
            </w:r>
          </w:p>
        </w:tc>
        <w:tc>
          <w:tcPr>
            <w:tcW w:w="919" w:type="dxa"/>
            <w:tcBorders>
              <w:top w:val="single" w:color="auto" w:sz="4" w:space="0"/>
            </w:tcBorders>
            <w:vAlign w:val="center"/>
          </w:tcPr>
          <w:p w14:paraId="0DE5A30C">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tcBorders>
              <w:top w:val="single" w:color="auto" w:sz="4" w:space="0"/>
            </w:tcBorders>
            <w:vAlign w:val="center"/>
          </w:tcPr>
          <w:p w14:paraId="3DACC778">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color w:val="000000"/>
                <w:sz w:val="20"/>
                <w:szCs w:val="20"/>
              </w:rPr>
              <w:t>0</w:t>
            </w:r>
          </w:p>
        </w:tc>
        <w:tc>
          <w:tcPr>
            <w:tcW w:w="920" w:type="dxa"/>
            <w:tcBorders>
              <w:top w:val="single" w:color="auto" w:sz="4" w:space="0"/>
            </w:tcBorders>
            <w:vAlign w:val="center"/>
          </w:tcPr>
          <w:p w14:paraId="286D24B5">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color w:val="000000"/>
                <w:sz w:val="20"/>
                <w:szCs w:val="20"/>
              </w:rPr>
              <w:t>0</w:t>
            </w:r>
          </w:p>
        </w:tc>
        <w:tc>
          <w:tcPr>
            <w:tcW w:w="919" w:type="dxa"/>
            <w:tcBorders>
              <w:top w:val="single" w:color="auto" w:sz="4" w:space="0"/>
            </w:tcBorders>
            <w:vAlign w:val="center"/>
          </w:tcPr>
          <w:p w14:paraId="7E25EC9F">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color w:val="000000"/>
                <w:sz w:val="20"/>
                <w:szCs w:val="20"/>
              </w:rPr>
              <w:t>0</w:t>
            </w:r>
          </w:p>
        </w:tc>
        <w:tc>
          <w:tcPr>
            <w:tcW w:w="919" w:type="dxa"/>
            <w:tcBorders>
              <w:top w:val="single" w:color="auto" w:sz="4" w:space="0"/>
            </w:tcBorders>
            <w:vAlign w:val="center"/>
          </w:tcPr>
          <w:p w14:paraId="0FF38ACC">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color w:val="000000"/>
                <w:sz w:val="20"/>
                <w:szCs w:val="20"/>
              </w:rPr>
              <w:t>0</w:t>
            </w:r>
          </w:p>
        </w:tc>
        <w:tc>
          <w:tcPr>
            <w:tcW w:w="919" w:type="dxa"/>
            <w:tcBorders>
              <w:top w:val="single" w:color="auto" w:sz="4" w:space="0"/>
            </w:tcBorders>
            <w:vAlign w:val="center"/>
          </w:tcPr>
          <w:p w14:paraId="0D20717B">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color w:val="000000"/>
                <w:sz w:val="20"/>
                <w:szCs w:val="20"/>
              </w:rPr>
              <w:t>0</w:t>
            </w:r>
          </w:p>
        </w:tc>
        <w:tc>
          <w:tcPr>
            <w:tcW w:w="919" w:type="dxa"/>
            <w:tcBorders>
              <w:top w:val="single" w:color="auto" w:sz="4" w:space="0"/>
            </w:tcBorders>
            <w:vAlign w:val="center"/>
          </w:tcPr>
          <w:p w14:paraId="30AE2618">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tcBorders>
              <w:top w:val="single" w:color="auto" w:sz="4" w:space="0"/>
            </w:tcBorders>
            <w:vAlign w:val="center"/>
          </w:tcPr>
          <w:p w14:paraId="23F83938">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20" w:type="dxa"/>
            <w:tcBorders>
              <w:top w:val="single" w:color="auto" w:sz="4" w:space="0"/>
            </w:tcBorders>
            <w:shd w:val="clear" w:color="auto" w:fill="FFD965" w:themeFill="accent4" w:themeFillTint="99"/>
            <w:vAlign w:val="center"/>
          </w:tcPr>
          <w:p w14:paraId="04B7CC4D">
            <w:pPr>
              <w:shd w:val="clear" w:color="auto" w:fill="FFD965" w:themeFill="accent4" w:themeFillTint="99"/>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等线" w:cs="Times New Roman"/>
                <w:color w:val="000000"/>
                <w:sz w:val="20"/>
                <w:szCs w:val="20"/>
                <w:lang w:eastAsia="zh-CN"/>
              </w:rPr>
              <w:t>3</w:t>
            </w:r>
          </w:p>
        </w:tc>
      </w:tr>
      <w:tr w14:paraId="2E2CE4DA">
        <w:tc>
          <w:tcPr>
            <w:tcW w:w="2977" w:type="dxa"/>
            <w:vAlign w:val="bottom"/>
          </w:tcPr>
          <w:p w14:paraId="231C8286">
            <w:pPr>
              <w:contextualSpacing/>
              <w:rPr>
                <w:rFonts w:ascii="Times New Roman" w:hAnsi="Times New Roman" w:eastAsia="等线" w:cs="Times New Roman"/>
                <w:color w:val="000000"/>
                <w:sz w:val="20"/>
                <w:szCs w:val="20"/>
              </w:rPr>
            </w:pPr>
            <w:r>
              <w:rPr>
                <w:rFonts w:ascii="Times New Roman" w:hAnsi="Times New Roman" w:eastAsia="等线" w:cs="Times New Roman"/>
                <w:color w:val="000000"/>
                <w:sz w:val="20"/>
                <w:szCs w:val="20"/>
                <w:lang w:eastAsia="zh-CN"/>
              </w:rPr>
              <w:t>Deng et al 2020</w:t>
            </w:r>
          </w:p>
        </w:tc>
        <w:tc>
          <w:tcPr>
            <w:tcW w:w="919" w:type="dxa"/>
            <w:vAlign w:val="center"/>
          </w:tcPr>
          <w:p w14:paraId="17C81A49">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color w:val="000000"/>
                <w:sz w:val="20"/>
                <w:szCs w:val="20"/>
              </w:rPr>
              <w:t>Y</w:t>
            </w:r>
          </w:p>
        </w:tc>
        <w:tc>
          <w:tcPr>
            <w:tcW w:w="919" w:type="dxa"/>
            <w:vAlign w:val="center"/>
          </w:tcPr>
          <w:p w14:paraId="72A5208F">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43DEF713">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color w:val="000000"/>
                <w:sz w:val="20"/>
                <w:szCs w:val="20"/>
              </w:rPr>
              <w:t>0</w:t>
            </w:r>
          </w:p>
        </w:tc>
        <w:tc>
          <w:tcPr>
            <w:tcW w:w="919" w:type="dxa"/>
            <w:vAlign w:val="center"/>
          </w:tcPr>
          <w:p w14:paraId="5BB967BF">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72CDEE0A">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color w:val="000000"/>
                <w:sz w:val="20"/>
                <w:szCs w:val="20"/>
              </w:rPr>
              <w:t>0</w:t>
            </w:r>
          </w:p>
        </w:tc>
        <w:tc>
          <w:tcPr>
            <w:tcW w:w="920" w:type="dxa"/>
            <w:vAlign w:val="center"/>
          </w:tcPr>
          <w:p w14:paraId="6131E5CC">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color w:val="000000"/>
                <w:sz w:val="20"/>
                <w:szCs w:val="20"/>
              </w:rPr>
              <w:t>0</w:t>
            </w:r>
          </w:p>
        </w:tc>
        <w:tc>
          <w:tcPr>
            <w:tcW w:w="919" w:type="dxa"/>
            <w:vAlign w:val="center"/>
          </w:tcPr>
          <w:p w14:paraId="5249C02A">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color w:val="000000"/>
                <w:sz w:val="20"/>
                <w:szCs w:val="20"/>
              </w:rPr>
              <w:t>0</w:t>
            </w:r>
          </w:p>
        </w:tc>
        <w:tc>
          <w:tcPr>
            <w:tcW w:w="919" w:type="dxa"/>
            <w:vAlign w:val="center"/>
          </w:tcPr>
          <w:p w14:paraId="725DEB2A">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18139748">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429F63B9">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77C17D61">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20" w:type="dxa"/>
            <w:shd w:val="clear" w:color="auto" w:fill="A8D08D" w:themeFill="accent6" w:themeFillTint="99"/>
            <w:vAlign w:val="center"/>
          </w:tcPr>
          <w:p w14:paraId="54F3F5E3">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color w:val="000000"/>
                <w:sz w:val="20"/>
                <w:szCs w:val="20"/>
              </w:rPr>
              <w:t>6</w:t>
            </w:r>
          </w:p>
        </w:tc>
      </w:tr>
      <w:tr w14:paraId="3E3AB522">
        <w:tc>
          <w:tcPr>
            <w:tcW w:w="2977" w:type="dxa"/>
            <w:vAlign w:val="bottom"/>
          </w:tcPr>
          <w:p w14:paraId="0B543B71">
            <w:pPr>
              <w:contextualSpacing/>
              <w:rPr>
                <w:rFonts w:ascii="Times New Roman" w:hAnsi="Times New Roman" w:eastAsia="等线" w:cs="Times New Roman"/>
                <w:color w:val="000000"/>
                <w:sz w:val="20"/>
                <w:szCs w:val="20"/>
              </w:rPr>
            </w:pPr>
            <w:r>
              <w:rPr>
                <w:rFonts w:ascii="Times New Roman" w:hAnsi="Times New Roman" w:eastAsia="等线" w:cs="Times New Roman"/>
                <w:color w:val="000000"/>
                <w:sz w:val="20"/>
                <w:szCs w:val="20"/>
                <w:lang w:eastAsia="zh-CN"/>
              </w:rPr>
              <w:t>ManoKumar R 2024</w:t>
            </w:r>
          </w:p>
        </w:tc>
        <w:tc>
          <w:tcPr>
            <w:tcW w:w="919" w:type="dxa"/>
            <w:vAlign w:val="center"/>
          </w:tcPr>
          <w:p w14:paraId="39791307">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Y</w:t>
            </w:r>
          </w:p>
        </w:tc>
        <w:tc>
          <w:tcPr>
            <w:tcW w:w="919" w:type="dxa"/>
            <w:vAlign w:val="center"/>
          </w:tcPr>
          <w:p w14:paraId="74DBB720">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2C0D40AF">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0</w:t>
            </w:r>
          </w:p>
        </w:tc>
        <w:tc>
          <w:tcPr>
            <w:tcW w:w="919" w:type="dxa"/>
            <w:vAlign w:val="center"/>
          </w:tcPr>
          <w:p w14:paraId="13774F5F">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632CA229">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0</w:t>
            </w:r>
          </w:p>
        </w:tc>
        <w:tc>
          <w:tcPr>
            <w:tcW w:w="920" w:type="dxa"/>
            <w:vAlign w:val="center"/>
          </w:tcPr>
          <w:p w14:paraId="4255F701">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0</w:t>
            </w:r>
          </w:p>
        </w:tc>
        <w:tc>
          <w:tcPr>
            <w:tcW w:w="919" w:type="dxa"/>
            <w:vAlign w:val="center"/>
          </w:tcPr>
          <w:p w14:paraId="76F1C1B8">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33A1A050">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5A8FE943">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5DF4A520">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0D6FAB26">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20" w:type="dxa"/>
            <w:shd w:val="clear" w:color="auto" w:fill="A8D08D" w:themeFill="accent6" w:themeFillTint="99"/>
            <w:vAlign w:val="center"/>
          </w:tcPr>
          <w:p w14:paraId="10058136">
            <w:pPr>
              <w:shd w:val="clear" w:color="auto" w:fill="A8D08D" w:themeFill="accent6" w:themeFillTint="99"/>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7</w:t>
            </w:r>
          </w:p>
        </w:tc>
      </w:tr>
      <w:tr w14:paraId="003F98FC">
        <w:tc>
          <w:tcPr>
            <w:tcW w:w="2977" w:type="dxa"/>
            <w:vAlign w:val="bottom"/>
          </w:tcPr>
          <w:p w14:paraId="6D439BE3">
            <w:pPr>
              <w:contextualSpacing/>
              <w:rPr>
                <w:rFonts w:ascii="Times New Roman" w:hAnsi="Times New Roman" w:eastAsia="等线" w:cs="Times New Roman"/>
                <w:color w:val="000000"/>
                <w:sz w:val="20"/>
                <w:szCs w:val="20"/>
              </w:rPr>
            </w:pPr>
            <w:r>
              <w:rPr>
                <w:rFonts w:ascii="Times New Roman" w:hAnsi="Times New Roman" w:eastAsia="等线" w:cs="Times New Roman"/>
                <w:color w:val="000000"/>
                <w:sz w:val="20"/>
                <w:szCs w:val="20"/>
                <w:lang w:eastAsia="zh-CN"/>
              </w:rPr>
              <w:t>Belardinelli 2001</w:t>
            </w:r>
          </w:p>
        </w:tc>
        <w:tc>
          <w:tcPr>
            <w:tcW w:w="919" w:type="dxa"/>
            <w:vAlign w:val="center"/>
          </w:tcPr>
          <w:p w14:paraId="55C038B1">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Y</w:t>
            </w:r>
          </w:p>
        </w:tc>
        <w:tc>
          <w:tcPr>
            <w:tcW w:w="919" w:type="dxa"/>
            <w:vAlign w:val="center"/>
          </w:tcPr>
          <w:p w14:paraId="4A4BC76D">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582E745E">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0</w:t>
            </w:r>
          </w:p>
        </w:tc>
        <w:tc>
          <w:tcPr>
            <w:tcW w:w="919" w:type="dxa"/>
            <w:vAlign w:val="center"/>
          </w:tcPr>
          <w:p w14:paraId="093316D7">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07FFDDAC">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0</w:t>
            </w:r>
          </w:p>
        </w:tc>
        <w:tc>
          <w:tcPr>
            <w:tcW w:w="920" w:type="dxa"/>
            <w:vAlign w:val="center"/>
          </w:tcPr>
          <w:p w14:paraId="7DE7BF5C">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0</w:t>
            </w:r>
          </w:p>
        </w:tc>
        <w:tc>
          <w:tcPr>
            <w:tcW w:w="919" w:type="dxa"/>
            <w:vAlign w:val="center"/>
          </w:tcPr>
          <w:p w14:paraId="3EA52F3F">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6212636B">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767CF069">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321FE59B">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0CB82FB9">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20" w:type="dxa"/>
            <w:shd w:val="clear" w:color="auto" w:fill="A8D08D" w:themeFill="accent6" w:themeFillTint="99"/>
            <w:vAlign w:val="center"/>
          </w:tcPr>
          <w:p w14:paraId="110B7978">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7</w:t>
            </w:r>
          </w:p>
        </w:tc>
      </w:tr>
      <w:tr w14:paraId="73CE18E9">
        <w:tc>
          <w:tcPr>
            <w:tcW w:w="2977" w:type="dxa"/>
            <w:vAlign w:val="bottom"/>
          </w:tcPr>
          <w:p w14:paraId="22DCAB5A">
            <w:pPr>
              <w:contextualSpacing/>
              <w:rPr>
                <w:rFonts w:ascii="Times New Roman" w:hAnsi="Times New Roman" w:eastAsia="等线" w:cs="Times New Roman"/>
                <w:color w:val="000000"/>
                <w:sz w:val="20"/>
                <w:szCs w:val="20"/>
              </w:rPr>
            </w:pPr>
            <w:r>
              <w:rPr>
                <w:rFonts w:ascii="Times New Roman" w:hAnsi="Times New Roman" w:eastAsia="等线" w:cs="Times New Roman"/>
                <w:color w:val="000000"/>
                <w:sz w:val="20"/>
                <w:szCs w:val="20"/>
                <w:lang w:eastAsia="zh-CN"/>
              </w:rPr>
              <w:t>Kristiansen  2022</w:t>
            </w:r>
          </w:p>
        </w:tc>
        <w:tc>
          <w:tcPr>
            <w:tcW w:w="919" w:type="dxa"/>
            <w:vAlign w:val="center"/>
          </w:tcPr>
          <w:p w14:paraId="06A67132">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Y</w:t>
            </w:r>
          </w:p>
        </w:tc>
        <w:tc>
          <w:tcPr>
            <w:tcW w:w="919" w:type="dxa"/>
            <w:vAlign w:val="center"/>
          </w:tcPr>
          <w:p w14:paraId="3A513054">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57B7E3F3">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44B0CE86">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color w:val="000000"/>
                <w:sz w:val="20"/>
                <w:szCs w:val="20"/>
              </w:rPr>
              <w:t>0</w:t>
            </w:r>
          </w:p>
        </w:tc>
        <w:tc>
          <w:tcPr>
            <w:tcW w:w="919" w:type="dxa"/>
            <w:vAlign w:val="center"/>
          </w:tcPr>
          <w:p w14:paraId="4DEFBE13">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color w:val="000000"/>
                <w:sz w:val="20"/>
                <w:szCs w:val="20"/>
              </w:rPr>
              <w:t>0</w:t>
            </w:r>
          </w:p>
        </w:tc>
        <w:tc>
          <w:tcPr>
            <w:tcW w:w="920" w:type="dxa"/>
            <w:vAlign w:val="center"/>
          </w:tcPr>
          <w:p w14:paraId="015BBF1D">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color w:val="000000"/>
                <w:sz w:val="20"/>
                <w:szCs w:val="20"/>
              </w:rPr>
              <w:t>0</w:t>
            </w:r>
          </w:p>
        </w:tc>
        <w:tc>
          <w:tcPr>
            <w:tcW w:w="919" w:type="dxa"/>
            <w:vAlign w:val="center"/>
          </w:tcPr>
          <w:p w14:paraId="37BF77B4">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color w:val="000000"/>
                <w:sz w:val="20"/>
                <w:szCs w:val="20"/>
              </w:rPr>
              <w:t>0</w:t>
            </w:r>
          </w:p>
        </w:tc>
        <w:tc>
          <w:tcPr>
            <w:tcW w:w="919" w:type="dxa"/>
            <w:vAlign w:val="center"/>
          </w:tcPr>
          <w:p w14:paraId="476008C3">
            <w:pPr>
              <w:spacing w:line="360" w:lineRule="exact"/>
              <w:contextualSpacing/>
              <w:jc w:val="center"/>
              <w:rPr>
                <w:rFonts w:ascii="Times New Roman" w:hAnsi="Times New Roman" w:eastAsia="宋体" w:cs="Times New Roman"/>
                <w:sz w:val="20"/>
                <w:szCs w:val="20"/>
              </w:rPr>
            </w:pPr>
            <w:r>
              <w:rPr>
                <w:rFonts w:ascii="Times New Roman" w:hAnsi="Times New Roman" w:eastAsia="等线" w:cs="Times New Roman"/>
                <w:color w:val="000000"/>
                <w:sz w:val="20"/>
                <w:szCs w:val="20"/>
              </w:rPr>
              <w:t>0</w:t>
            </w:r>
          </w:p>
        </w:tc>
        <w:tc>
          <w:tcPr>
            <w:tcW w:w="919" w:type="dxa"/>
            <w:vAlign w:val="center"/>
          </w:tcPr>
          <w:p w14:paraId="4A3CF403">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1F69E265">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3C1F0539">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20" w:type="dxa"/>
            <w:shd w:val="clear" w:color="auto" w:fill="FFD965" w:themeFill="accent4" w:themeFillTint="99"/>
            <w:vAlign w:val="center"/>
          </w:tcPr>
          <w:p w14:paraId="0D182EF5">
            <w:pPr>
              <w:shd w:val="clear" w:color="auto" w:fill="FFD965" w:themeFill="accent4" w:themeFillTint="99"/>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5</w:t>
            </w:r>
          </w:p>
        </w:tc>
      </w:tr>
      <w:tr w14:paraId="241CE2FB">
        <w:tc>
          <w:tcPr>
            <w:tcW w:w="2977" w:type="dxa"/>
            <w:vAlign w:val="bottom"/>
          </w:tcPr>
          <w:p w14:paraId="449E8D6B">
            <w:pPr>
              <w:contextualSpacing/>
              <w:rPr>
                <w:rFonts w:ascii="Times New Roman" w:hAnsi="Times New Roman" w:eastAsia="等线" w:cs="Times New Roman"/>
                <w:color w:val="000000"/>
                <w:sz w:val="20"/>
                <w:szCs w:val="20"/>
              </w:rPr>
            </w:pPr>
            <w:r>
              <w:rPr>
                <w:rFonts w:ascii="Times New Roman" w:hAnsi="Times New Roman" w:eastAsia="等线" w:cs="Times New Roman"/>
                <w:color w:val="000000"/>
                <w:sz w:val="20"/>
                <w:szCs w:val="20"/>
                <w:lang w:eastAsia="zh-CN"/>
              </w:rPr>
              <w:t>Deka 2022</w:t>
            </w:r>
          </w:p>
        </w:tc>
        <w:tc>
          <w:tcPr>
            <w:tcW w:w="919" w:type="dxa"/>
            <w:vAlign w:val="center"/>
          </w:tcPr>
          <w:p w14:paraId="11A41592">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Y</w:t>
            </w:r>
          </w:p>
        </w:tc>
        <w:tc>
          <w:tcPr>
            <w:tcW w:w="919" w:type="dxa"/>
            <w:vAlign w:val="center"/>
          </w:tcPr>
          <w:p w14:paraId="5EDC3164">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405FC1BD">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34984587">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50B02C07">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0</w:t>
            </w:r>
          </w:p>
        </w:tc>
        <w:tc>
          <w:tcPr>
            <w:tcW w:w="920" w:type="dxa"/>
            <w:vAlign w:val="center"/>
          </w:tcPr>
          <w:p w14:paraId="1195D62C">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0</w:t>
            </w:r>
          </w:p>
        </w:tc>
        <w:tc>
          <w:tcPr>
            <w:tcW w:w="919" w:type="dxa"/>
            <w:vAlign w:val="center"/>
          </w:tcPr>
          <w:p w14:paraId="3C46105B">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66EE39A4">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5C262676">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0</w:t>
            </w:r>
          </w:p>
        </w:tc>
        <w:tc>
          <w:tcPr>
            <w:tcW w:w="919" w:type="dxa"/>
            <w:vAlign w:val="center"/>
          </w:tcPr>
          <w:p w14:paraId="3E9E6D8F">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5EDDE7FB">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20" w:type="dxa"/>
            <w:shd w:val="clear" w:color="auto" w:fill="A8D08D" w:themeFill="accent6" w:themeFillTint="99"/>
            <w:vAlign w:val="center"/>
          </w:tcPr>
          <w:p w14:paraId="02196AA5">
            <w:pPr>
              <w:shd w:val="clear" w:color="auto" w:fill="A8D08D" w:themeFill="accent6" w:themeFillTint="99"/>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7</w:t>
            </w:r>
          </w:p>
        </w:tc>
      </w:tr>
      <w:tr w14:paraId="14B875E0">
        <w:tc>
          <w:tcPr>
            <w:tcW w:w="2977" w:type="dxa"/>
            <w:vAlign w:val="bottom"/>
          </w:tcPr>
          <w:p w14:paraId="033C8304">
            <w:pPr>
              <w:contextualSpacing/>
              <w:rPr>
                <w:rFonts w:ascii="Times New Roman" w:hAnsi="Times New Roman" w:eastAsia="等线" w:cs="Times New Roman"/>
                <w:color w:val="000000"/>
                <w:sz w:val="20"/>
                <w:szCs w:val="20"/>
              </w:rPr>
            </w:pPr>
            <w:r>
              <w:rPr>
                <w:rFonts w:ascii="Times New Roman" w:hAnsi="Times New Roman" w:eastAsia="等线" w:cs="Times New Roman"/>
                <w:color w:val="000000"/>
                <w:sz w:val="20"/>
                <w:szCs w:val="20"/>
                <w:lang w:eastAsia="zh-CN"/>
              </w:rPr>
              <w:t>Avila 2018</w:t>
            </w:r>
          </w:p>
        </w:tc>
        <w:tc>
          <w:tcPr>
            <w:tcW w:w="919" w:type="dxa"/>
            <w:vAlign w:val="center"/>
          </w:tcPr>
          <w:p w14:paraId="437AF40A">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Y</w:t>
            </w:r>
          </w:p>
        </w:tc>
        <w:tc>
          <w:tcPr>
            <w:tcW w:w="919" w:type="dxa"/>
            <w:vAlign w:val="center"/>
          </w:tcPr>
          <w:p w14:paraId="5EF0F754">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5D4D3E3C">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0</w:t>
            </w:r>
          </w:p>
        </w:tc>
        <w:tc>
          <w:tcPr>
            <w:tcW w:w="919" w:type="dxa"/>
            <w:vAlign w:val="center"/>
          </w:tcPr>
          <w:p w14:paraId="77597323">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3DA302C5">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0</w:t>
            </w:r>
          </w:p>
        </w:tc>
        <w:tc>
          <w:tcPr>
            <w:tcW w:w="920" w:type="dxa"/>
            <w:vAlign w:val="center"/>
          </w:tcPr>
          <w:p w14:paraId="31AE1F8D">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0</w:t>
            </w:r>
          </w:p>
        </w:tc>
        <w:tc>
          <w:tcPr>
            <w:tcW w:w="919" w:type="dxa"/>
            <w:vAlign w:val="center"/>
          </w:tcPr>
          <w:p w14:paraId="7FFD31D8">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0</w:t>
            </w:r>
          </w:p>
        </w:tc>
        <w:tc>
          <w:tcPr>
            <w:tcW w:w="919" w:type="dxa"/>
            <w:vAlign w:val="center"/>
          </w:tcPr>
          <w:p w14:paraId="2F6E3291">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3196AB56">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7C37C0BB">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01E9B282">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20" w:type="dxa"/>
            <w:shd w:val="clear" w:color="auto" w:fill="A8D08D" w:themeFill="accent6" w:themeFillTint="99"/>
            <w:vAlign w:val="center"/>
          </w:tcPr>
          <w:p w14:paraId="7D71E057">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6</w:t>
            </w:r>
          </w:p>
        </w:tc>
      </w:tr>
      <w:tr w14:paraId="35111E9A">
        <w:tc>
          <w:tcPr>
            <w:tcW w:w="2977" w:type="dxa"/>
            <w:vAlign w:val="bottom"/>
          </w:tcPr>
          <w:p w14:paraId="038EDE22">
            <w:pPr>
              <w:contextualSpacing/>
              <w:rPr>
                <w:rFonts w:ascii="Times New Roman" w:hAnsi="Times New Roman" w:eastAsia="等线" w:cs="Times New Roman"/>
                <w:color w:val="000000"/>
                <w:sz w:val="20"/>
                <w:szCs w:val="20"/>
              </w:rPr>
            </w:pPr>
            <w:r>
              <w:rPr>
                <w:rFonts w:ascii="Times New Roman" w:hAnsi="Times New Roman" w:eastAsia="等线" w:cs="Times New Roman"/>
                <w:color w:val="000000"/>
                <w:sz w:val="20"/>
                <w:szCs w:val="20"/>
                <w:lang w:eastAsia="zh-CN"/>
              </w:rPr>
              <w:t>Salvetti  2008</w:t>
            </w:r>
          </w:p>
        </w:tc>
        <w:tc>
          <w:tcPr>
            <w:tcW w:w="919" w:type="dxa"/>
            <w:vAlign w:val="center"/>
          </w:tcPr>
          <w:p w14:paraId="1AEC63F8">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Y</w:t>
            </w:r>
          </w:p>
        </w:tc>
        <w:tc>
          <w:tcPr>
            <w:tcW w:w="919" w:type="dxa"/>
            <w:vAlign w:val="center"/>
          </w:tcPr>
          <w:p w14:paraId="79C3DB9C">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69CCEA8D">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754F1F3A">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776DE582">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20" w:type="dxa"/>
            <w:vAlign w:val="center"/>
          </w:tcPr>
          <w:p w14:paraId="4E0AACBA">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0A914932">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02B1ACAE">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753A3473">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54FB042F">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3CDC58EA">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20" w:type="dxa"/>
            <w:shd w:val="clear" w:color="auto" w:fill="A8D08D" w:themeFill="accent6" w:themeFillTint="99"/>
            <w:vAlign w:val="center"/>
          </w:tcPr>
          <w:p w14:paraId="6C4BDAAD">
            <w:pPr>
              <w:shd w:val="clear" w:color="auto" w:fill="A8D08D" w:themeFill="accent6" w:themeFillTint="99"/>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7</w:t>
            </w:r>
          </w:p>
        </w:tc>
      </w:tr>
      <w:tr w14:paraId="34C6A926">
        <w:tc>
          <w:tcPr>
            <w:tcW w:w="2977" w:type="dxa"/>
            <w:vAlign w:val="bottom"/>
          </w:tcPr>
          <w:p w14:paraId="6CCFC83E">
            <w:pPr>
              <w:contextualSpacing/>
              <w:rPr>
                <w:rFonts w:ascii="Times New Roman" w:hAnsi="Times New Roman" w:eastAsia="等线" w:cs="Times New Roman"/>
                <w:color w:val="000000"/>
                <w:sz w:val="20"/>
                <w:szCs w:val="20"/>
              </w:rPr>
            </w:pPr>
            <w:r>
              <w:rPr>
                <w:rFonts w:ascii="Times New Roman" w:hAnsi="Times New Roman" w:eastAsia="等线" w:cs="Times New Roman"/>
                <w:color w:val="000000"/>
                <w:sz w:val="20"/>
                <w:szCs w:val="20"/>
                <w:lang w:eastAsia="zh-CN"/>
              </w:rPr>
              <w:t>Tong Y  2024</w:t>
            </w:r>
          </w:p>
        </w:tc>
        <w:tc>
          <w:tcPr>
            <w:tcW w:w="919" w:type="dxa"/>
            <w:vAlign w:val="center"/>
          </w:tcPr>
          <w:p w14:paraId="7A41EB9B">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Y</w:t>
            </w:r>
          </w:p>
        </w:tc>
        <w:tc>
          <w:tcPr>
            <w:tcW w:w="919" w:type="dxa"/>
            <w:vAlign w:val="center"/>
          </w:tcPr>
          <w:p w14:paraId="4DF88787">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52742760">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4D1765D7">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15AACC63">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20" w:type="dxa"/>
            <w:vAlign w:val="center"/>
          </w:tcPr>
          <w:p w14:paraId="546FBF4A">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5E0A651B">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4FD593E0">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4F96D4C3">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686D1541">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3BD54557">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20" w:type="dxa"/>
            <w:shd w:val="clear" w:color="auto" w:fill="A8D08D" w:themeFill="accent6" w:themeFillTint="99"/>
            <w:vAlign w:val="center"/>
          </w:tcPr>
          <w:p w14:paraId="7FD1F591">
            <w:pPr>
              <w:shd w:val="clear" w:color="auto" w:fill="A8D08D" w:themeFill="accent6" w:themeFillTint="99"/>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6</w:t>
            </w:r>
          </w:p>
        </w:tc>
      </w:tr>
      <w:tr w14:paraId="59EC49F6">
        <w:tc>
          <w:tcPr>
            <w:tcW w:w="2977" w:type="dxa"/>
            <w:vAlign w:val="bottom"/>
          </w:tcPr>
          <w:p w14:paraId="4453D8D1">
            <w:pPr>
              <w:contextualSpacing/>
              <w:rPr>
                <w:rFonts w:ascii="Times New Roman" w:hAnsi="Times New Roman" w:eastAsia="等线" w:cs="Times New Roman"/>
                <w:color w:val="000000"/>
                <w:sz w:val="20"/>
                <w:szCs w:val="20"/>
              </w:rPr>
            </w:pPr>
            <w:r>
              <w:rPr>
                <w:rFonts w:ascii="Times New Roman" w:hAnsi="Times New Roman" w:eastAsia="等线" w:cs="Times New Roman"/>
                <w:color w:val="000000"/>
                <w:sz w:val="20"/>
                <w:szCs w:val="20"/>
                <w:lang w:eastAsia="zh-CN"/>
              </w:rPr>
              <w:t>Che Q  2024</w:t>
            </w:r>
          </w:p>
        </w:tc>
        <w:tc>
          <w:tcPr>
            <w:tcW w:w="919" w:type="dxa"/>
            <w:vAlign w:val="center"/>
          </w:tcPr>
          <w:p w14:paraId="5FB1A4BD">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Y</w:t>
            </w:r>
          </w:p>
        </w:tc>
        <w:tc>
          <w:tcPr>
            <w:tcW w:w="919" w:type="dxa"/>
            <w:vAlign w:val="center"/>
          </w:tcPr>
          <w:p w14:paraId="3D09C632">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3B053658">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5202A110">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49E9CD83">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20" w:type="dxa"/>
            <w:vAlign w:val="center"/>
          </w:tcPr>
          <w:p w14:paraId="297DE73E">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5E1D0865">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1AD7E07D">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66CBCE0F">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33AD0D8F">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10EE074F">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20" w:type="dxa"/>
            <w:shd w:val="clear" w:color="auto" w:fill="FFD965" w:themeFill="accent4" w:themeFillTint="99"/>
            <w:vAlign w:val="center"/>
          </w:tcPr>
          <w:p w14:paraId="169B2BCE">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5</w:t>
            </w:r>
          </w:p>
        </w:tc>
      </w:tr>
      <w:tr w14:paraId="2242FA75">
        <w:tc>
          <w:tcPr>
            <w:tcW w:w="2977" w:type="dxa"/>
            <w:vAlign w:val="bottom"/>
          </w:tcPr>
          <w:p w14:paraId="58DE512F">
            <w:pPr>
              <w:contextualSpacing/>
              <w:rPr>
                <w:rFonts w:ascii="Times New Roman" w:hAnsi="Times New Roman" w:eastAsia="等线" w:cs="Times New Roman"/>
                <w:color w:val="000000"/>
                <w:sz w:val="20"/>
                <w:szCs w:val="20"/>
              </w:rPr>
            </w:pPr>
            <w:r>
              <w:rPr>
                <w:rFonts w:ascii="Times New Roman" w:hAnsi="Times New Roman" w:eastAsia="等线" w:cs="Times New Roman"/>
                <w:color w:val="000000"/>
                <w:sz w:val="20"/>
                <w:szCs w:val="20"/>
                <w:lang w:eastAsia="zh-CN"/>
              </w:rPr>
              <w:t>Ge S   2024</w:t>
            </w:r>
          </w:p>
        </w:tc>
        <w:tc>
          <w:tcPr>
            <w:tcW w:w="919" w:type="dxa"/>
            <w:vAlign w:val="center"/>
          </w:tcPr>
          <w:p w14:paraId="63DD6AB6">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Y</w:t>
            </w:r>
          </w:p>
        </w:tc>
        <w:tc>
          <w:tcPr>
            <w:tcW w:w="919" w:type="dxa"/>
            <w:vAlign w:val="center"/>
          </w:tcPr>
          <w:p w14:paraId="4053C4E0">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68B48968">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71085849">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682FCBDF">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20" w:type="dxa"/>
            <w:vAlign w:val="center"/>
          </w:tcPr>
          <w:p w14:paraId="0CAD24D3">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696A5AF6">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303084EE">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50687813">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52D35408">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104B9CA9">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20" w:type="dxa"/>
            <w:shd w:val="clear" w:color="auto" w:fill="FFD965" w:themeFill="accent4" w:themeFillTint="99"/>
            <w:vAlign w:val="center"/>
          </w:tcPr>
          <w:p w14:paraId="3FC5CC7F">
            <w:pPr>
              <w:shd w:val="clear" w:color="auto" w:fill="FFD965" w:themeFill="accent4" w:themeFillTint="99"/>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5</w:t>
            </w:r>
          </w:p>
        </w:tc>
      </w:tr>
      <w:tr w14:paraId="5E9B4712">
        <w:tc>
          <w:tcPr>
            <w:tcW w:w="2977" w:type="dxa"/>
            <w:vAlign w:val="bottom"/>
          </w:tcPr>
          <w:p w14:paraId="7E8F1791">
            <w:pPr>
              <w:contextualSpacing/>
              <w:rPr>
                <w:rFonts w:ascii="Times New Roman" w:hAnsi="Times New Roman" w:eastAsia="等线" w:cs="Times New Roman"/>
                <w:color w:val="000000"/>
                <w:sz w:val="20"/>
                <w:szCs w:val="20"/>
              </w:rPr>
            </w:pPr>
            <w:r>
              <w:rPr>
                <w:rFonts w:ascii="Times New Roman" w:hAnsi="Times New Roman" w:eastAsia="等线" w:cs="Times New Roman"/>
                <w:color w:val="000000"/>
                <w:sz w:val="20"/>
                <w:szCs w:val="20"/>
                <w:lang w:eastAsia="zh-CN"/>
              </w:rPr>
              <w:t>Mao L  2021</w:t>
            </w:r>
          </w:p>
        </w:tc>
        <w:tc>
          <w:tcPr>
            <w:tcW w:w="919" w:type="dxa"/>
            <w:vAlign w:val="center"/>
          </w:tcPr>
          <w:p w14:paraId="5288174D">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Y</w:t>
            </w:r>
          </w:p>
        </w:tc>
        <w:tc>
          <w:tcPr>
            <w:tcW w:w="919" w:type="dxa"/>
            <w:vAlign w:val="center"/>
          </w:tcPr>
          <w:p w14:paraId="49F2C81A">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01F37334">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739738A0">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0B644ED0">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20" w:type="dxa"/>
            <w:vAlign w:val="center"/>
          </w:tcPr>
          <w:p w14:paraId="22302F59">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2D951C23">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4C652409">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5F244562">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0D86B1D2">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03608A61">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20" w:type="dxa"/>
            <w:shd w:val="clear" w:color="auto" w:fill="FFD965" w:themeFill="accent4" w:themeFillTint="99"/>
            <w:vAlign w:val="center"/>
          </w:tcPr>
          <w:p w14:paraId="29A94A7C">
            <w:pPr>
              <w:shd w:val="clear" w:color="auto" w:fill="FFD965" w:themeFill="accent4" w:themeFillTint="99"/>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5</w:t>
            </w:r>
          </w:p>
        </w:tc>
      </w:tr>
      <w:tr w14:paraId="61F42ED6">
        <w:tc>
          <w:tcPr>
            <w:tcW w:w="2977" w:type="dxa"/>
            <w:vAlign w:val="bottom"/>
          </w:tcPr>
          <w:p w14:paraId="06025715">
            <w:pPr>
              <w:contextualSpacing/>
              <w:rPr>
                <w:rFonts w:ascii="Times New Roman" w:hAnsi="Times New Roman" w:eastAsia="等线" w:cs="Times New Roman"/>
                <w:color w:val="000000"/>
                <w:sz w:val="20"/>
                <w:szCs w:val="20"/>
              </w:rPr>
            </w:pPr>
            <w:r>
              <w:rPr>
                <w:rFonts w:ascii="Times New Roman" w:hAnsi="Times New Roman" w:eastAsia="等线" w:cs="Times New Roman"/>
                <w:color w:val="000000"/>
                <w:sz w:val="20"/>
                <w:szCs w:val="20"/>
                <w:lang w:eastAsia="zh-CN"/>
              </w:rPr>
              <w:t>Yang L  2020</w:t>
            </w:r>
          </w:p>
        </w:tc>
        <w:tc>
          <w:tcPr>
            <w:tcW w:w="919" w:type="dxa"/>
            <w:vAlign w:val="center"/>
          </w:tcPr>
          <w:p w14:paraId="22D3766E">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Y</w:t>
            </w:r>
          </w:p>
        </w:tc>
        <w:tc>
          <w:tcPr>
            <w:tcW w:w="919" w:type="dxa"/>
            <w:vAlign w:val="center"/>
          </w:tcPr>
          <w:p w14:paraId="25731D79">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4C3E77AF">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13824E6B">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09070A2F">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20" w:type="dxa"/>
            <w:vAlign w:val="center"/>
          </w:tcPr>
          <w:p w14:paraId="6E1E6019">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1E5993AC">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6D82F93C">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54A06523">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2854D0C0">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58D911D7">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20" w:type="dxa"/>
            <w:shd w:val="clear" w:color="auto" w:fill="FFD965" w:themeFill="accent4" w:themeFillTint="99"/>
            <w:vAlign w:val="center"/>
          </w:tcPr>
          <w:p w14:paraId="1A8E58DF">
            <w:pPr>
              <w:shd w:val="clear" w:color="auto" w:fill="FFD965" w:themeFill="accent4" w:themeFillTint="99"/>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5</w:t>
            </w:r>
          </w:p>
        </w:tc>
      </w:tr>
      <w:tr w14:paraId="566C40A7">
        <w:tc>
          <w:tcPr>
            <w:tcW w:w="2977" w:type="dxa"/>
            <w:vAlign w:val="bottom"/>
          </w:tcPr>
          <w:p w14:paraId="6FB5C10C">
            <w:pPr>
              <w:contextualSpacing/>
              <w:rPr>
                <w:rFonts w:ascii="Times New Roman" w:hAnsi="Times New Roman" w:eastAsia="等线" w:cs="Times New Roman"/>
                <w:color w:val="000000"/>
                <w:sz w:val="20"/>
                <w:szCs w:val="20"/>
              </w:rPr>
            </w:pPr>
            <w:r>
              <w:rPr>
                <w:rFonts w:ascii="Times New Roman" w:hAnsi="Times New Roman" w:eastAsia="等线" w:cs="Times New Roman"/>
                <w:color w:val="000000"/>
                <w:sz w:val="20"/>
                <w:szCs w:val="20"/>
                <w:lang w:eastAsia="zh-CN"/>
              </w:rPr>
              <w:t>Wu Y  2019</w:t>
            </w:r>
          </w:p>
        </w:tc>
        <w:tc>
          <w:tcPr>
            <w:tcW w:w="919" w:type="dxa"/>
            <w:vAlign w:val="center"/>
          </w:tcPr>
          <w:p w14:paraId="2ABBEC7C">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Y</w:t>
            </w:r>
          </w:p>
        </w:tc>
        <w:tc>
          <w:tcPr>
            <w:tcW w:w="919" w:type="dxa"/>
            <w:vAlign w:val="center"/>
          </w:tcPr>
          <w:p w14:paraId="066C2618">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7DFE2069">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192E571B">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21D05D22">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20" w:type="dxa"/>
            <w:vAlign w:val="center"/>
          </w:tcPr>
          <w:p w14:paraId="5191AF47">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5CFE0D09">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1946EEBC">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51415B51">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0</w:t>
            </w:r>
          </w:p>
        </w:tc>
        <w:tc>
          <w:tcPr>
            <w:tcW w:w="919" w:type="dxa"/>
            <w:vAlign w:val="center"/>
          </w:tcPr>
          <w:p w14:paraId="53591508">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19" w:type="dxa"/>
            <w:vAlign w:val="center"/>
          </w:tcPr>
          <w:p w14:paraId="1B88AF3F">
            <w:pPr>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1</w:t>
            </w:r>
          </w:p>
        </w:tc>
        <w:tc>
          <w:tcPr>
            <w:tcW w:w="920" w:type="dxa"/>
            <w:shd w:val="clear" w:color="auto" w:fill="FFD965" w:themeFill="accent4" w:themeFillTint="99"/>
            <w:vAlign w:val="center"/>
          </w:tcPr>
          <w:p w14:paraId="65B7C778">
            <w:pPr>
              <w:shd w:val="clear" w:color="auto" w:fill="FFD965" w:themeFill="accent4" w:themeFillTint="99"/>
              <w:spacing w:line="360" w:lineRule="exact"/>
              <w:contextualSpacing/>
              <w:jc w:val="center"/>
              <w:rPr>
                <w:rFonts w:ascii="Times New Roman" w:hAnsi="Times New Roman" w:eastAsia="等线" w:cs="Times New Roman"/>
                <w:color w:val="000000"/>
                <w:sz w:val="20"/>
                <w:szCs w:val="20"/>
                <w:lang w:eastAsia="zh-CN"/>
              </w:rPr>
            </w:pPr>
            <w:r>
              <w:rPr>
                <w:rFonts w:hint="eastAsia" w:ascii="Times New Roman" w:hAnsi="Times New Roman" w:eastAsia="等线" w:cs="Times New Roman"/>
                <w:color w:val="000000"/>
                <w:sz w:val="20"/>
                <w:szCs w:val="20"/>
                <w:lang w:eastAsia="zh-CN"/>
              </w:rPr>
              <w:t>5</w:t>
            </w:r>
          </w:p>
        </w:tc>
      </w:tr>
      <w:tr w14:paraId="4D68E8E4">
        <w:tc>
          <w:tcPr>
            <w:tcW w:w="2977" w:type="dxa"/>
            <w:vAlign w:val="bottom"/>
          </w:tcPr>
          <w:p w14:paraId="11F91C64">
            <w:pPr>
              <w:contextualSpacing/>
              <w:rPr>
                <w:rFonts w:ascii="Times New Roman" w:hAnsi="Times New Roman" w:eastAsia="等线" w:cs="Times New Roman"/>
                <w:color w:val="000000"/>
                <w:sz w:val="20"/>
                <w:szCs w:val="20"/>
              </w:rPr>
            </w:pPr>
            <w:r>
              <w:rPr>
                <w:rFonts w:ascii="Times New Roman" w:hAnsi="Times New Roman" w:eastAsia="等线" w:cs="Times New Roman"/>
                <w:color w:val="000000"/>
                <w:sz w:val="20"/>
                <w:szCs w:val="20"/>
                <w:lang w:eastAsia="zh-CN"/>
              </w:rPr>
              <w:t>Gonçalves  2025</w:t>
            </w:r>
          </w:p>
        </w:tc>
        <w:tc>
          <w:tcPr>
            <w:tcW w:w="919" w:type="dxa"/>
            <w:vAlign w:val="center"/>
          </w:tcPr>
          <w:p w14:paraId="1CC2D404">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Y</w:t>
            </w:r>
          </w:p>
        </w:tc>
        <w:tc>
          <w:tcPr>
            <w:tcW w:w="919" w:type="dxa"/>
            <w:vAlign w:val="center"/>
          </w:tcPr>
          <w:p w14:paraId="794C4CF4">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7F3132FC">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0</w:t>
            </w:r>
          </w:p>
        </w:tc>
        <w:tc>
          <w:tcPr>
            <w:tcW w:w="919" w:type="dxa"/>
            <w:vAlign w:val="center"/>
          </w:tcPr>
          <w:p w14:paraId="1D7DE19D">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01450574">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0</w:t>
            </w:r>
          </w:p>
        </w:tc>
        <w:tc>
          <w:tcPr>
            <w:tcW w:w="920" w:type="dxa"/>
            <w:vAlign w:val="center"/>
          </w:tcPr>
          <w:p w14:paraId="4FEED635">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0</w:t>
            </w:r>
          </w:p>
        </w:tc>
        <w:tc>
          <w:tcPr>
            <w:tcW w:w="919" w:type="dxa"/>
            <w:vAlign w:val="center"/>
          </w:tcPr>
          <w:p w14:paraId="189C8966">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484FBA56">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35AC5C7F">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30653327">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19" w:type="dxa"/>
            <w:vAlign w:val="center"/>
          </w:tcPr>
          <w:p w14:paraId="35682FCB">
            <w:pPr>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1</w:t>
            </w:r>
          </w:p>
        </w:tc>
        <w:tc>
          <w:tcPr>
            <w:tcW w:w="920" w:type="dxa"/>
            <w:shd w:val="clear" w:color="auto" w:fill="A8D08D" w:themeFill="accent6" w:themeFillTint="99"/>
            <w:vAlign w:val="center"/>
          </w:tcPr>
          <w:p w14:paraId="78FE434D">
            <w:pPr>
              <w:shd w:val="clear" w:color="auto" w:fill="A8D08D" w:themeFill="accent6" w:themeFillTint="99"/>
              <w:spacing w:line="360" w:lineRule="exact"/>
              <w:contextualSpacing/>
              <w:jc w:val="center"/>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7</w:t>
            </w:r>
          </w:p>
        </w:tc>
      </w:tr>
    </w:tbl>
    <w:p w14:paraId="4CBB5FD9">
      <w:pPr>
        <w:spacing w:before="120" w:beforeLines="50" w:after="120" w:afterLines="50"/>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b/>
          <w:bCs/>
          <w:i/>
          <w:iCs/>
          <w:color w:val="000000" w:themeColor="text1"/>
          <w:sz w:val="20"/>
          <w:szCs w:val="20"/>
          <w14:textFill>
            <w14:solidFill>
              <w14:schemeClr w14:val="tx1"/>
            </w14:solidFill>
          </w14:textFill>
        </w:rPr>
        <w:t>N</w:t>
      </w:r>
      <w:r>
        <w:rPr>
          <w:rFonts w:hint="eastAsia" w:ascii="Times New Roman" w:hAnsi="Times New Roman" w:cs="Times New Roman"/>
          <w:b/>
          <w:bCs/>
          <w:i/>
          <w:iCs/>
          <w:color w:val="000000" w:themeColor="text1"/>
          <w:sz w:val="20"/>
          <w:szCs w:val="20"/>
          <w14:textFill>
            <w14:solidFill>
              <w14:schemeClr w14:val="tx1"/>
            </w14:solidFill>
          </w14:textFill>
        </w:rPr>
        <w:t>ote</w:t>
      </w:r>
      <w:r>
        <w:rPr>
          <w:rFonts w:ascii="Times New Roman" w:hAnsi="Times New Roman" w:cs="Times New Roman"/>
          <w:b/>
          <w:bCs/>
          <w:i/>
          <w:iCs/>
          <w:color w:val="000000" w:themeColor="text1"/>
          <w:sz w:val="20"/>
          <w:szCs w:val="20"/>
          <w14:textFill>
            <w14:solidFill>
              <w14:schemeClr w14:val="tx1"/>
            </w14:solidFill>
          </w14:textFill>
        </w:rPr>
        <w:t>:</w:t>
      </w:r>
      <w:r>
        <w:rPr>
          <w:rFonts w:ascii="Times New Roman" w:hAnsi="Times New Roman" w:cs="Times New Roman"/>
          <w:i/>
          <w:iCs/>
          <w:color w:val="000000" w:themeColor="text1"/>
          <w:sz w:val="20"/>
          <w:szCs w:val="20"/>
          <w14:textFill>
            <w14:solidFill>
              <w14:schemeClr w14:val="tx1"/>
            </w14:solidFill>
          </w14:textFill>
        </w:rPr>
        <w:t xml:space="preserve"> </w:t>
      </w:r>
      <w:r>
        <w:rPr>
          <w:rFonts w:hint="eastAsia" w:ascii="Times New Roman" w:hAnsi="Times New Roman" w:cs="Times New Roman"/>
          <w:color w:val="000000" w:themeColor="text1"/>
          <w:sz w:val="20"/>
          <w:szCs w:val="20"/>
          <w14:textFill>
            <w14:solidFill>
              <w14:schemeClr w14:val="tx1"/>
            </w14:solidFill>
          </w14:textFill>
        </w:rPr>
        <w:t>s</w:t>
      </w:r>
      <w:r>
        <w:rPr>
          <w:rFonts w:ascii="Times New Roman" w:hAnsi="Times New Roman" w:cs="Times New Roman"/>
          <w:color w:val="000000" w:themeColor="text1"/>
          <w:sz w:val="20"/>
          <w:szCs w:val="20"/>
          <w14:textFill>
            <w14:solidFill>
              <w14:schemeClr w14:val="tx1"/>
            </w14:solidFill>
          </w14:textFill>
        </w:rPr>
        <w:t xml:space="preserve">tudies scoring ≥6 are considered </w:t>
      </w:r>
      <w:r>
        <w:rPr>
          <w:rFonts w:ascii="Times New Roman" w:hAnsi="Times New Roman" w:cs="Times New Roman"/>
          <w:b/>
          <w:bCs/>
          <w:color w:val="000000" w:themeColor="text1"/>
          <w:sz w:val="20"/>
          <w:szCs w:val="20"/>
          <w14:textFill>
            <w14:solidFill>
              <w14:schemeClr w14:val="tx1"/>
            </w14:solidFill>
          </w14:textFill>
        </w:rPr>
        <w:t>high quality</w:t>
      </w:r>
      <w:r>
        <w:rPr>
          <w:rFonts w:ascii="Times New Roman" w:hAnsi="Times New Roman" w:cs="Times New Roman"/>
          <w:color w:val="000000" w:themeColor="text1"/>
          <w:sz w:val="20"/>
          <w:szCs w:val="20"/>
          <w14:textFill>
            <w14:solidFill>
              <w14:schemeClr w14:val="tx1"/>
            </w14:solidFill>
          </w14:textFill>
        </w:rPr>
        <w:t xml:space="preserve">, those scoring 4-5 are considered </w:t>
      </w:r>
      <w:r>
        <w:rPr>
          <w:rFonts w:ascii="Times New Roman" w:hAnsi="Times New Roman" w:cs="Times New Roman"/>
          <w:b/>
          <w:bCs/>
          <w:color w:val="000000" w:themeColor="text1"/>
          <w:sz w:val="20"/>
          <w:szCs w:val="20"/>
          <w14:textFill>
            <w14:solidFill>
              <w14:schemeClr w14:val="tx1"/>
            </w14:solidFill>
          </w14:textFill>
        </w:rPr>
        <w:t>moderate quality</w:t>
      </w:r>
      <w:r>
        <w:rPr>
          <w:rFonts w:ascii="Times New Roman" w:hAnsi="Times New Roman" w:cs="Times New Roman"/>
          <w:color w:val="000000" w:themeColor="text1"/>
          <w:sz w:val="20"/>
          <w:szCs w:val="20"/>
          <w14:textFill>
            <w14:solidFill>
              <w14:schemeClr w14:val="tx1"/>
            </w14:solidFill>
          </w14:textFill>
        </w:rPr>
        <w:t xml:space="preserve">, and those scoring ≤3 are considered </w:t>
      </w:r>
      <w:r>
        <w:rPr>
          <w:rFonts w:ascii="Times New Roman" w:hAnsi="Times New Roman" w:cs="Times New Roman"/>
          <w:b/>
          <w:bCs/>
          <w:color w:val="000000" w:themeColor="text1"/>
          <w:sz w:val="20"/>
          <w:szCs w:val="20"/>
          <w14:textFill>
            <w14:solidFill>
              <w14:schemeClr w14:val="tx1"/>
            </w14:solidFill>
          </w14:textFill>
        </w:rPr>
        <w:t>low quality</w:t>
      </w:r>
      <w:r>
        <w:rPr>
          <w:rFonts w:ascii="Times New Roman" w:hAnsi="Times New Roman" w:cs="Times New Roman"/>
          <w:color w:val="000000" w:themeColor="text1"/>
          <w:sz w:val="20"/>
          <w:szCs w:val="20"/>
          <w14:textFill>
            <w14:solidFill>
              <w14:schemeClr w14:val="tx1"/>
            </w14:solidFill>
          </w14:textFill>
        </w:rPr>
        <w:t>.</w:t>
      </w:r>
    </w:p>
    <w:p w14:paraId="4B58ECAF">
      <w:pPr>
        <w:spacing w:before="120" w:beforeLines="50" w:after="120" w:afterLines="50"/>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1. eligibility criteria were specified (</w:t>
      </w:r>
      <w:r>
        <w:rPr>
          <w:rFonts w:hint="eastAsia" w:ascii="Times New Roman" w:hAnsi="Times New Roman" w:cs="Times New Roman"/>
          <w:color w:val="000000" w:themeColor="text1"/>
          <w:sz w:val="20"/>
          <w:szCs w:val="20"/>
          <w14:textFill>
            <w14:solidFill>
              <w14:schemeClr w14:val="tx1"/>
            </w14:solidFill>
          </w14:textFill>
        </w:rPr>
        <w:t>n</w:t>
      </w:r>
      <w:r>
        <w:rPr>
          <w:rFonts w:ascii="Times New Roman" w:hAnsi="Times New Roman" w:cs="Times New Roman"/>
          <w:color w:val="000000" w:themeColor="text1"/>
          <w:sz w:val="20"/>
          <w:szCs w:val="20"/>
          <w14:textFill>
            <w14:solidFill>
              <w14:schemeClr w14:val="tx1"/>
            </w14:solidFill>
          </w14:textFill>
        </w:rPr>
        <w:t>ot included in the total score)</w:t>
      </w:r>
    </w:p>
    <w:p w14:paraId="2D7CE226">
      <w:pPr>
        <w:spacing w:before="120" w:beforeLines="50" w:after="120" w:afterLines="50"/>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2. subjects were randomly allocated to groups (in a crossover study, subjects were randomly allocated an order in which treatments were received)</w:t>
      </w:r>
    </w:p>
    <w:p w14:paraId="2AFC86DA">
      <w:pPr>
        <w:spacing w:before="120" w:beforeLines="50" w:after="120" w:afterLines="50"/>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3. allocation was concealed</w:t>
      </w:r>
    </w:p>
    <w:p w14:paraId="34CE11C4">
      <w:pPr>
        <w:spacing w:before="120" w:beforeLines="50" w:after="120" w:afterLines="50"/>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4. the groups were similar at baseline regarding the most important prognostic indicators</w:t>
      </w:r>
    </w:p>
    <w:p w14:paraId="608C6B5C">
      <w:pPr>
        <w:spacing w:before="120" w:beforeLines="50" w:after="120" w:afterLines="50"/>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5. there was blinding of all subjects</w:t>
      </w:r>
    </w:p>
    <w:p w14:paraId="05FF9C7D">
      <w:pPr>
        <w:spacing w:before="120" w:beforeLines="50" w:after="120" w:afterLines="50"/>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6. there was blinding of all therapists who administered the therapy</w:t>
      </w:r>
    </w:p>
    <w:p w14:paraId="3A2328C0">
      <w:pPr>
        <w:spacing w:before="120" w:beforeLines="50" w:after="120" w:afterLines="50"/>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7. there was blinding of all assessors who measured at least one key outcome</w:t>
      </w:r>
    </w:p>
    <w:p w14:paraId="71DF1035">
      <w:pPr>
        <w:spacing w:before="120" w:beforeLines="50" w:after="120" w:afterLines="50"/>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8. measures of at least one key outcome were obtained from more than 85% of the subjects initially allocated to groups</w:t>
      </w:r>
    </w:p>
    <w:p w14:paraId="157DC5E1">
      <w:pPr>
        <w:spacing w:before="120" w:beforeLines="50" w:after="120" w:afterLines="50"/>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9. all subjects for whom outcome measures were available received the treatment or control condition as allocated or, where this was not the case, data for at least one key outcome was analysed by “intention to treat”</w:t>
      </w:r>
    </w:p>
    <w:p w14:paraId="151D0FB3">
      <w:pPr>
        <w:spacing w:before="120" w:beforeLines="50" w:after="120" w:afterLines="50"/>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10. the results of between-group statistical comparisons are reported for at least one key outcome</w:t>
      </w:r>
    </w:p>
    <w:p w14:paraId="16EFFA08">
      <w:pPr>
        <w:spacing w:before="120" w:beforeLines="50" w:after="120" w:afterLines="50"/>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11. the study provides both point measures and measures of variability for at least one key outcome</w:t>
      </w:r>
    </w:p>
    <w:p w14:paraId="0F57BAA2">
      <w:pPr>
        <w:spacing w:before="120" w:beforeLines="50" w:after="120" w:afterLines="50"/>
        <w:rPr>
          <w:rFonts w:ascii="Times New Roman" w:hAnsi="Times New Roman" w:cs="Times New Roman"/>
          <w:color w:val="000000" w:themeColor="text1"/>
          <w:sz w:val="20"/>
          <w:szCs w:val="20"/>
          <w14:textFill>
            <w14:solidFill>
              <w14:schemeClr w14:val="tx1"/>
            </w14:solidFill>
          </w14:textFill>
        </w:rPr>
        <w:sectPr>
          <w:pgSz w:w="15840" w:h="12240" w:orient="landscape"/>
          <w:pgMar w:top="792" w:right="648" w:bottom="792" w:left="648" w:header="708" w:footer="708" w:gutter="0"/>
          <w:cols w:space="708" w:num="1"/>
          <w:docGrid w:linePitch="360" w:charSpace="0"/>
        </w:sectPr>
      </w:pPr>
    </w:p>
    <w:p w14:paraId="408FDD40">
      <w:pPr>
        <w:rPr>
          <w:rFonts w:hint="eastAsia" w:ascii="Times New Roman Bold" w:hAnsi="Times New Roman Bold" w:cs="Times New Roman Bold"/>
          <w:b/>
          <w:bCs/>
          <w:color w:val="376092"/>
          <w:sz w:val="28"/>
          <w:szCs w:val="28"/>
        </w:rPr>
      </w:pPr>
      <w:r>
        <w:rPr>
          <w:rFonts w:hint="eastAsia" w:ascii="Times New Roman Bold" w:hAnsi="Times New Roman Bold" w:cs="Times New Roman Bold"/>
          <w:b/>
          <w:bCs/>
          <w:color w:val="376092"/>
          <w:sz w:val="28"/>
          <w:szCs w:val="28"/>
        </w:rPr>
        <w:t>Table S3. GRADE evidence profile and summary of findings for critical outcomes</w:t>
      </w:r>
    </w:p>
    <w:p w14:paraId="7C5A6237">
      <w:r>
        <w:rPr>
          <w:b/>
          <w:sz w:val="18"/>
        </w:rPr>
        <w:t>Panel A. Summary of findings</w:t>
      </w:r>
    </w:p>
    <w:tbl>
      <w:tblPr>
        <w:tblStyle w:val="5"/>
        <w:tblW w:w="13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00"/>
        <w:gridCol w:w="2100"/>
        <w:gridCol w:w="998"/>
        <w:gridCol w:w="2202"/>
        <w:gridCol w:w="900"/>
        <w:gridCol w:w="4300"/>
      </w:tblGrid>
      <w:tr w14:paraId="416BE242">
        <w:trPr>
          <w:jc w:val="center"/>
        </w:trPr>
        <w:tc>
          <w:tcPr>
            <w:tcW w:w="2500" w:type="dxa"/>
            <w:shd w:val="clear" w:color="auto" w:fill="EDEDED"/>
            <w:tcMar>
              <w:top w:w="70" w:type="dxa"/>
              <w:left w:w="70" w:type="dxa"/>
              <w:bottom w:w="70" w:type="dxa"/>
              <w:right w:w="70" w:type="dxa"/>
            </w:tcMar>
            <w:vAlign w:val="top"/>
          </w:tcPr>
          <w:p w14:paraId="029BB0A9">
            <w:pPr>
              <w:spacing w:after="0" w:line="240" w:lineRule="auto"/>
            </w:pPr>
            <w:r>
              <w:rPr>
                <w:b/>
                <w:sz w:val="17"/>
              </w:rPr>
              <w:t>Outcome</w:t>
            </w:r>
          </w:p>
        </w:tc>
        <w:tc>
          <w:tcPr>
            <w:tcW w:w="2100" w:type="dxa"/>
            <w:shd w:val="clear" w:color="auto" w:fill="EDEDED"/>
            <w:tcMar>
              <w:top w:w="70" w:type="dxa"/>
              <w:left w:w="70" w:type="dxa"/>
              <w:bottom w:w="70" w:type="dxa"/>
              <w:right w:w="70" w:type="dxa"/>
            </w:tcMar>
            <w:vAlign w:val="top"/>
          </w:tcPr>
          <w:p w14:paraId="582D396B">
            <w:pPr>
              <w:spacing w:after="0" w:line="240" w:lineRule="auto"/>
            </w:pPr>
            <w:r>
              <w:rPr>
                <w:b/>
                <w:sz w:val="17"/>
              </w:rPr>
              <w:t>Evidence base</w:t>
            </w:r>
          </w:p>
        </w:tc>
        <w:tc>
          <w:tcPr>
            <w:tcW w:w="998" w:type="dxa"/>
            <w:shd w:val="clear" w:color="auto" w:fill="EDEDED"/>
            <w:tcMar>
              <w:top w:w="70" w:type="dxa"/>
              <w:left w:w="70" w:type="dxa"/>
              <w:bottom w:w="70" w:type="dxa"/>
              <w:right w:w="70" w:type="dxa"/>
            </w:tcMar>
            <w:vAlign w:val="top"/>
          </w:tcPr>
          <w:p w14:paraId="7F665B27">
            <w:pPr>
              <w:spacing w:after="0" w:line="240" w:lineRule="auto"/>
            </w:pPr>
            <w:r>
              <w:rPr>
                <w:b/>
                <w:sz w:val="17"/>
              </w:rPr>
              <w:t>Participants</w:t>
            </w:r>
          </w:p>
        </w:tc>
        <w:tc>
          <w:tcPr>
            <w:tcW w:w="2202" w:type="dxa"/>
            <w:shd w:val="clear" w:color="auto" w:fill="EDEDED"/>
            <w:tcMar>
              <w:top w:w="70" w:type="dxa"/>
              <w:left w:w="70" w:type="dxa"/>
              <w:bottom w:w="70" w:type="dxa"/>
              <w:right w:w="70" w:type="dxa"/>
            </w:tcMar>
            <w:vAlign w:val="top"/>
          </w:tcPr>
          <w:p w14:paraId="1975F176">
            <w:pPr>
              <w:spacing w:after="0" w:line="240" w:lineRule="auto"/>
            </w:pPr>
            <w:r>
              <w:rPr>
                <w:b/>
                <w:sz w:val="17"/>
              </w:rPr>
              <w:t>Effect estimate, Hedges’ g (95% CI)</w:t>
            </w:r>
          </w:p>
        </w:tc>
        <w:tc>
          <w:tcPr>
            <w:tcW w:w="900" w:type="dxa"/>
            <w:shd w:val="clear" w:color="auto" w:fill="EDEDED"/>
            <w:tcMar>
              <w:top w:w="70" w:type="dxa"/>
              <w:left w:w="70" w:type="dxa"/>
              <w:bottom w:w="70" w:type="dxa"/>
              <w:right w:w="70" w:type="dxa"/>
            </w:tcMar>
            <w:vAlign w:val="top"/>
          </w:tcPr>
          <w:p w14:paraId="2FA870EC">
            <w:pPr>
              <w:spacing w:after="0" w:line="240" w:lineRule="auto"/>
            </w:pPr>
            <w:r>
              <w:rPr>
                <w:b/>
                <w:sz w:val="17"/>
              </w:rPr>
              <w:t>Certainty</w:t>
            </w:r>
          </w:p>
        </w:tc>
        <w:tc>
          <w:tcPr>
            <w:tcW w:w="4300" w:type="dxa"/>
            <w:shd w:val="clear" w:color="auto" w:fill="EDEDED"/>
            <w:tcMar>
              <w:top w:w="70" w:type="dxa"/>
              <w:left w:w="70" w:type="dxa"/>
              <w:bottom w:w="70" w:type="dxa"/>
              <w:right w:w="70" w:type="dxa"/>
            </w:tcMar>
            <w:vAlign w:val="top"/>
          </w:tcPr>
          <w:p w14:paraId="49B5EDDC">
            <w:pPr>
              <w:spacing w:after="0" w:line="240" w:lineRule="auto"/>
            </w:pPr>
            <w:r>
              <w:rPr>
                <w:b/>
                <w:sz w:val="17"/>
              </w:rPr>
              <w:t>Interpretation</w:t>
            </w:r>
          </w:p>
        </w:tc>
      </w:tr>
      <w:tr w14:paraId="555A879A">
        <w:trPr>
          <w:jc w:val="center"/>
        </w:trPr>
        <w:tc>
          <w:tcPr>
            <w:tcW w:w="2500" w:type="dxa"/>
            <w:tcMar>
              <w:top w:w="70" w:type="dxa"/>
              <w:left w:w="70" w:type="dxa"/>
              <w:bottom w:w="70" w:type="dxa"/>
              <w:right w:w="70" w:type="dxa"/>
            </w:tcMar>
            <w:vAlign w:val="top"/>
          </w:tcPr>
          <w:p w14:paraId="580EE12C">
            <w:pPr>
              <w:spacing w:after="0" w:line="240" w:lineRule="auto"/>
            </w:pPr>
            <w:r>
              <w:rPr>
                <w:b w:val="0"/>
                <w:sz w:val="17"/>
              </w:rPr>
              <w:t>Overall HR-QoL</w:t>
            </w:r>
          </w:p>
        </w:tc>
        <w:tc>
          <w:tcPr>
            <w:tcW w:w="2100" w:type="dxa"/>
            <w:tcMar>
              <w:top w:w="70" w:type="dxa"/>
              <w:left w:w="70" w:type="dxa"/>
              <w:bottom w:w="70" w:type="dxa"/>
              <w:right w:w="70" w:type="dxa"/>
            </w:tcMar>
            <w:vAlign w:val="top"/>
          </w:tcPr>
          <w:p w14:paraId="4C515074">
            <w:pPr>
              <w:spacing w:after="0" w:line="240" w:lineRule="auto"/>
            </w:pPr>
            <w:r>
              <w:rPr>
                <w:b w:val="0"/>
                <w:sz w:val="17"/>
              </w:rPr>
              <w:t>15 reports / 16 comparisons / 87 effect sizes</w:t>
            </w:r>
          </w:p>
        </w:tc>
        <w:tc>
          <w:tcPr>
            <w:tcW w:w="998" w:type="dxa"/>
            <w:tcMar>
              <w:top w:w="70" w:type="dxa"/>
              <w:left w:w="70" w:type="dxa"/>
              <w:bottom w:w="70" w:type="dxa"/>
              <w:right w:w="70" w:type="dxa"/>
            </w:tcMar>
            <w:vAlign w:val="top"/>
          </w:tcPr>
          <w:p w14:paraId="1C1CDA65">
            <w:pPr>
              <w:spacing w:after="0" w:line="240" w:lineRule="auto"/>
            </w:pPr>
            <w:r>
              <w:rPr>
                <w:b w:val="0"/>
                <w:sz w:val="17"/>
              </w:rPr>
              <w:t>N = 1353</w:t>
            </w:r>
          </w:p>
        </w:tc>
        <w:tc>
          <w:tcPr>
            <w:tcW w:w="2202" w:type="dxa"/>
            <w:tcMar>
              <w:top w:w="70" w:type="dxa"/>
              <w:left w:w="70" w:type="dxa"/>
              <w:bottom w:w="70" w:type="dxa"/>
              <w:right w:w="70" w:type="dxa"/>
            </w:tcMar>
            <w:vAlign w:val="top"/>
          </w:tcPr>
          <w:p w14:paraId="0FD46341">
            <w:pPr>
              <w:spacing w:after="0" w:line="240" w:lineRule="auto"/>
            </w:pPr>
            <w:r>
              <w:rPr>
                <w:b w:val="0"/>
                <w:sz w:val="17"/>
              </w:rPr>
              <w:t>0.89 (0.46 to 1.33); p &lt; 0.001</w:t>
            </w:r>
          </w:p>
        </w:tc>
        <w:tc>
          <w:tcPr>
            <w:tcW w:w="900" w:type="dxa"/>
            <w:tcMar>
              <w:top w:w="70" w:type="dxa"/>
              <w:left w:w="70" w:type="dxa"/>
              <w:bottom w:w="70" w:type="dxa"/>
              <w:right w:w="70" w:type="dxa"/>
            </w:tcMar>
            <w:vAlign w:val="top"/>
          </w:tcPr>
          <w:p w14:paraId="166125B0">
            <w:pPr>
              <w:spacing w:after="0" w:line="240" w:lineRule="auto"/>
            </w:pPr>
            <w:r>
              <w:rPr>
                <w:b w:val="0"/>
                <w:sz w:val="17"/>
              </w:rPr>
              <w:t>Low</w:t>
            </w:r>
          </w:p>
        </w:tc>
        <w:tc>
          <w:tcPr>
            <w:tcW w:w="4300" w:type="dxa"/>
            <w:tcMar>
              <w:top w:w="70" w:type="dxa"/>
              <w:left w:w="70" w:type="dxa"/>
              <w:bottom w:w="70" w:type="dxa"/>
              <w:right w:w="70" w:type="dxa"/>
            </w:tcMar>
            <w:vAlign w:val="top"/>
          </w:tcPr>
          <w:p w14:paraId="644C0087">
            <w:pPr>
              <w:spacing w:after="0" w:line="240" w:lineRule="auto"/>
            </w:pPr>
            <w:r>
              <w:rPr>
                <w:b w:val="0"/>
                <w:sz w:val="17"/>
              </w:rPr>
              <w:t>ExCR may improve HR-QoL, but certainty was limited by risk of bias and inconsistency.</w:t>
            </w:r>
          </w:p>
        </w:tc>
      </w:tr>
      <w:tr w14:paraId="27597FFA">
        <w:trPr>
          <w:jc w:val="center"/>
        </w:trPr>
        <w:tc>
          <w:tcPr>
            <w:tcW w:w="2500" w:type="dxa"/>
            <w:tcMar>
              <w:top w:w="70" w:type="dxa"/>
              <w:left w:w="70" w:type="dxa"/>
              <w:bottom w:w="70" w:type="dxa"/>
              <w:right w:w="70" w:type="dxa"/>
            </w:tcMar>
            <w:vAlign w:val="top"/>
          </w:tcPr>
          <w:p w14:paraId="1BF8EA56">
            <w:pPr>
              <w:spacing w:after="0" w:line="240" w:lineRule="auto"/>
            </w:pPr>
            <w:r>
              <w:rPr>
                <w:b w:val="0"/>
                <w:sz w:val="17"/>
              </w:rPr>
              <w:t>HR-QoL after combined aerobic + resistance training</w:t>
            </w:r>
          </w:p>
        </w:tc>
        <w:tc>
          <w:tcPr>
            <w:tcW w:w="2100" w:type="dxa"/>
            <w:tcMar>
              <w:top w:w="70" w:type="dxa"/>
              <w:left w:w="70" w:type="dxa"/>
              <w:bottom w:w="70" w:type="dxa"/>
              <w:right w:w="70" w:type="dxa"/>
            </w:tcMar>
            <w:vAlign w:val="top"/>
          </w:tcPr>
          <w:p w14:paraId="6BEAB8B0">
            <w:pPr>
              <w:spacing w:after="0" w:line="240" w:lineRule="auto"/>
            </w:pPr>
            <w:r>
              <w:rPr>
                <w:b w:val="0"/>
                <w:sz w:val="17"/>
              </w:rPr>
              <w:t>7 reports / 7 comparisons / 31 effect sizes</w:t>
            </w:r>
          </w:p>
        </w:tc>
        <w:tc>
          <w:tcPr>
            <w:tcW w:w="998" w:type="dxa"/>
            <w:tcMar>
              <w:top w:w="70" w:type="dxa"/>
              <w:left w:w="70" w:type="dxa"/>
              <w:bottom w:w="70" w:type="dxa"/>
              <w:right w:w="70" w:type="dxa"/>
            </w:tcMar>
            <w:vAlign w:val="top"/>
          </w:tcPr>
          <w:p w14:paraId="260702F1">
            <w:pPr>
              <w:spacing w:after="0" w:line="240" w:lineRule="auto"/>
            </w:pPr>
            <w:r>
              <w:rPr>
                <w:b w:val="0"/>
                <w:sz w:val="17"/>
              </w:rPr>
              <w:t>N = 639</w:t>
            </w:r>
          </w:p>
        </w:tc>
        <w:tc>
          <w:tcPr>
            <w:tcW w:w="2202" w:type="dxa"/>
            <w:tcMar>
              <w:top w:w="70" w:type="dxa"/>
              <w:left w:w="70" w:type="dxa"/>
              <w:bottom w:w="70" w:type="dxa"/>
              <w:right w:w="70" w:type="dxa"/>
            </w:tcMar>
            <w:vAlign w:val="top"/>
          </w:tcPr>
          <w:p w14:paraId="365C2FEB">
            <w:pPr>
              <w:spacing w:after="0" w:line="240" w:lineRule="auto"/>
            </w:pPr>
            <w:r>
              <w:rPr>
                <w:b w:val="0"/>
                <w:sz w:val="17"/>
              </w:rPr>
              <w:t>1.17 (0.52 to 1.82); p = 0.0006</w:t>
            </w:r>
          </w:p>
        </w:tc>
        <w:tc>
          <w:tcPr>
            <w:tcW w:w="900" w:type="dxa"/>
            <w:tcMar>
              <w:top w:w="70" w:type="dxa"/>
              <w:left w:w="70" w:type="dxa"/>
              <w:bottom w:w="70" w:type="dxa"/>
              <w:right w:w="70" w:type="dxa"/>
            </w:tcMar>
            <w:vAlign w:val="top"/>
          </w:tcPr>
          <w:p w14:paraId="34D53B34">
            <w:pPr>
              <w:spacing w:after="0" w:line="240" w:lineRule="auto"/>
            </w:pPr>
            <w:r>
              <w:rPr>
                <w:b w:val="0"/>
                <w:sz w:val="17"/>
              </w:rPr>
              <w:t>Low</w:t>
            </w:r>
          </w:p>
        </w:tc>
        <w:tc>
          <w:tcPr>
            <w:tcW w:w="4300" w:type="dxa"/>
            <w:tcMar>
              <w:top w:w="70" w:type="dxa"/>
              <w:left w:w="70" w:type="dxa"/>
              <w:bottom w:w="70" w:type="dxa"/>
              <w:right w:w="70" w:type="dxa"/>
            </w:tcMar>
            <w:vAlign w:val="top"/>
          </w:tcPr>
          <w:p w14:paraId="1AFE0302">
            <w:pPr>
              <w:spacing w:after="0" w:line="240" w:lineRule="auto"/>
            </w:pPr>
            <w:r>
              <w:rPr>
                <w:b w:val="0"/>
                <w:sz w:val="17"/>
              </w:rPr>
              <w:t>Combined training showed the largest point estimate, but the certainty was low.</w:t>
            </w:r>
          </w:p>
        </w:tc>
      </w:tr>
      <w:tr w14:paraId="29AD2DBD">
        <w:trPr>
          <w:jc w:val="center"/>
        </w:trPr>
        <w:tc>
          <w:tcPr>
            <w:tcW w:w="2500" w:type="dxa"/>
            <w:tcMar>
              <w:top w:w="70" w:type="dxa"/>
              <w:left w:w="70" w:type="dxa"/>
              <w:bottom w:w="70" w:type="dxa"/>
              <w:right w:w="70" w:type="dxa"/>
            </w:tcMar>
            <w:vAlign w:val="top"/>
          </w:tcPr>
          <w:p w14:paraId="41C20883">
            <w:pPr>
              <w:spacing w:after="0" w:line="240" w:lineRule="auto"/>
            </w:pPr>
            <w:r>
              <w:rPr>
                <w:b w:val="0"/>
                <w:sz w:val="17"/>
              </w:rPr>
              <w:t>HR-QoL after HIIT</w:t>
            </w:r>
          </w:p>
        </w:tc>
        <w:tc>
          <w:tcPr>
            <w:tcW w:w="2100" w:type="dxa"/>
            <w:tcMar>
              <w:top w:w="70" w:type="dxa"/>
              <w:left w:w="70" w:type="dxa"/>
              <w:bottom w:w="70" w:type="dxa"/>
              <w:right w:w="70" w:type="dxa"/>
            </w:tcMar>
            <w:vAlign w:val="top"/>
          </w:tcPr>
          <w:p w14:paraId="64B8235B">
            <w:pPr>
              <w:spacing w:after="0" w:line="240" w:lineRule="auto"/>
            </w:pPr>
            <w:r>
              <w:rPr>
                <w:b w:val="0"/>
                <w:sz w:val="17"/>
              </w:rPr>
              <w:t>2 reports / 2 comparisons / 10 effect sizes</w:t>
            </w:r>
          </w:p>
        </w:tc>
        <w:tc>
          <w:tcPr>
            <w:tcW w:w="998" w:type="dxa"/>
            <w:tcMar>
              <w:top w:w="70" w:type="dxa"/>
              <w:left w:w="70" w:type="dxa"/>
              <w:bottom w:w="70" w:type="dxa"/>
              <w:right w:w="70" w:type="dxa"/>
            </w:tcMar>
            <w:vAlign w:val="top"/>
          </w:tcPr>
          <w:p w14:paraId="779046B9">
            <w:pPr>
              <w:spacing w:after="0" w:line="240" w:lineRule="auto"/>
            </w:pPr>
            <w:r>
              <w:rPr>
                <w:b w:val="0"/>
                <w:sz w:val="17"/>
              </w:rPr>
              <w:t>N = 181</w:t>
            </w:r>
          </w:p>
        </w:tc>
        <w:tc>
          <w:tcPr>
            <w:tcW w:w="2202" w:type="dxa"/>
            <w:tcMar>
              <w:top w:w="70" w:type="dxa"/>
              <w:left w:w="70" w:type="dxa"/>
              <w:bottom w:w="70" w:type="dxa"/>
              <w:right w:w="70" w:type="dxa"/>
            </w:tcMar>
            <w:vAlign w:val="top"/>
          </w:tcPr>
          <w:p w14:paraId="0537719E">
            <w:pPr>
              <w:spacing w:after="0" w:line="240" w:lineRule="auto"/>
            </w:pPr>
            <w:r>
              <w:rPr>
                <w:b w:val="0"/>
                <w:sz w:val="17"/>
              </w:rPr>
              <w:t>0.91 (0.26 to 1.56); p = 0.0068</w:t>
            </w:r>
          </w:p>
        </w:tc>
        <w:tc>
          <w:tcPr>
            <w:tcW w:w="900" w:type="dxa"/>
            <w:tcMar>
              <w:top w:w="70" w:type="dxa"/>
              <w:left w:w="70" w:type="dxa"/>
              <w:bottom w:w="70" w:type="dxa"/>
              <w:right w:w="70" w:type="dxa"/>
            </w:tcMar>
            <w:vAlign w:val="top"/>
          </w:tcPr>
          <w:p w14:paraId="5727BB2F">
            <w:pPr>
              <w:spacing w:after="0" w:line="240" w:lineRule="auto"/>
            </w:pPr>
            <w:r>
              <w:rPr>
                <w:b w:val="0"/>
                <w:sz w:val="17"/>
              </w:rPr>
              <w:t>Very low</w:t>
            </w:r>
          </w:p>
        </w:tc>
        <w:tc>
          <w:tcPr>
            <w:tcW w:w="4300" w:type="dxa"/>
            <w:tcMar>
              <w:top w:w="70" w:type="dxa"/>
              <w:left w:w="70" w:type="dxa"/>
              <w:bottom w:w="70" w:type="dxa"/>
              <w:right w:w="70" w:type="dxa"/>
            </w:tcMar>
            <w:vAlign w:val="top"/>
          </w:tcPr>
          <w:p w14:paraId="41CEFFDF">
            <w:pPr>
              <w:spacing w:after="0" w:line="240" w:lineRule="auto"/>
            </w:pPr>
            <w:r>
              <w:rPr>
                <w:b w:val="0"/>
                <w:sz w:val="17"/>
              </w:rPr>
              <w:t>HIIT showed a positive effect estimate, but evidence was very uncertain because of limited studies and wide confidence intervals.</w:t>
            </w:r>
          </w:p>
        </w:tc>
      </w:tr>
      <w:tr w14:paraId="30A139F5">
        <w:trPr>
          <w:jc w:val="center"/>
        </w:trPr>
        <w:tc>
          <w:tcPr>
            <w:tcW w:w="2500" w:type="dxa"/>
            <w:tcMar>
              <w:top w:w="70" w:type="dxa"/>
              <w:left w:w="70" w:type="dxa"/>
              <w:bottom w:w="70" w:type="dxa"/>
              <w:right w:w="70" w:type="dxa"/>
            </w:tcMar>
            <w:vAlign w:val="top"/>
          </w:tcPr>
          <w:p w14:paraId="07D5A1FF">
            <w:pPr>
              <w:spacing w:after="0" w:line="240" w:lineRule="auto"/>
            </w:pPr>
            <w:r>
              <w:rPr>
                <w:b w:val="0"/>
                <w:sz w:val="17"/>
              </w:rPr>
              <w:t>HR-QoL after MICT</w:t>
            </w:r>
          </w:p>
        </w:tc>
        <w:tc>
          <w:tcPr>
            <w:tcW w:w="2100" w:type="dxa"/>
            <w:tcMar>
              <w:top w:w="70" w:type="dxa"/>
              <w:left w:w="70" w:type="dxa"/>
              <w:bottom w:w="70" w:type="dxa"/>
              <w:right w:w="70" w:type="dxa"/>
            </w:tcMar>
            <w:vAlign w:val="top"/>
          </w:tcPr>
          <w:p w14:paraId="0D7AF477">
            <w:pPr>
              <w:spacing w:after="0" w:line="240" w:lineRule="auto"/>
            </w:pPr>
            <w:r>
              <w:rPr>
                <w:b w:val="0"/>
                <w:sz w:val="17"/>
              </w:rPr>
              <w:t>7 reports / 7 comparisons / 46 effect sizes</w:t>
            </w:r>
          </w:p>
        </w:tc>
        <w:tc>
          <w:tcPr>
            <w:tcW w:w="998" w:type="dxa"/>
            <w:tcMar>
              <w:top w:w="70" w:type="dxa"/>
              <w:left w:w="70" w:type="dxa"/>
              <w:bottom w:w="70" w:type="dxa"/>
              <w:right w:w="70" w:type="dxa"/>
            </w:tcMar>
            <w:vAlign w:val="top"/>
          </w:tcPr>
          <w:p w14:paraId="268602DE">
            <w:pPr>
              <w:spacing w:after="0" w:line="240" w:lineRule="auto"/>
            </w:pPr>
            <w:r>
              <w:rPr>
                <w:b w:val="0"/>
                <w:sz w:val="17"/>
              </w:rPr>
              <w:t>N = 534</w:t>
            </w:r>
          </w:p>
        </w:tc>
        <w:tc>
          <w:tcPr>
            <w:tcW w:w="2202" w:type="dxa"/>
            <w:tcMar>
              <w:top w:w="70" w:type="dxa"/>
              <w:left w:w="70" w:type="dxa"/>
              <w:bottom w:w="70" w:type="dxa"/>
              <w:right w:w="70" w:type="dxa"/>
            </w:tcMar>
            <w:vAlign w:val="top"/>
          </w:tcPr>
          <w:p w14:paraId="266D0941">
            <w:pPr>
              <w:spacing w:after="0" w:line="240" w:lineRule="auto"/>
            </w:pPr>
            <w:r>
              <w:rPr>
                <w:b w:val="0"/>
                <w:sz w:val="17"/>
              </w:rPr>
              <w:t>0.60 (0.00 to 1.19); p = 0.0480</w:t>
            </w:r>
          </w:p>
        </w:tc>
        <w:tc>
          <w:tcPr>
            <w:tcW w:w="900" w:type="dxa"/>
            <w:tcMar>
              <w:top w:w="70" w:type="dxa"/>
              <w:left w:w="70" w:type="dxa"/>
              <w:bottom w:w="70" w:type="dxa"/>
              <w:right w:w="70" w:type="dxa"/>
            </w:tcMar>
            <w:vAlign w:val="top"/>
          </w:tcPr>
          <w:p w14:paraId="747EDE9B">
            <w:pPr>
              <w:spacing w:after="0" w:line="240" w:lineRule="auto"/>
            </w:pPr>
            <w:r>
              <w:rPr>
                <w:b w:val="0"/>
                <w:sz w:val="17"/>
              </w:rPr>
              <w:t>Very low</w:t>
            </w:r>
          </w:p>
        </w:tc>
        <w:tc>
          <w:tcPr>
            <w:tcW w:w="4300" w:type="dxa"/>
            <w:tcMar>
              <w:top w:w="70" w:type="dxa"/>
              <w:left w:w="70" w:type="dxa"/>
              <w:bottom w:w="70" w:type="dxa"/>
              <w:right w:w="70" w:type="dxa"/>
            </w:tcMar>
            <w:vAlign w:val="top"/>
          </w:tcPr>
          <w:p w14:paraId="1982AA5E">
            <w:pPr>
              <w:spacing w:after="0" w:line="240" w:lineRule="auto"/>
            </w:pPr>
            <w:r>
              <w:rPr>
                <w:b w:val="0"/>
                <w:sz w:val="17"/>
              </w:rPr>
              <w:t>MICT showed a possible benefit, but evidence was very uncertain because the confidence interval touched the null effect.</w:t>
            </w:r>
          </w:p>
        </w:tc>
      </w:tr>
      <w:tr w14:paraId="00740BD5">
        <w:trPr>
          <w:jc w:val="center"/>
        </w:trPr>
        <w:tc>
          <w:tcPr>
            <w:tcW w:w="2500" w:type="dxa"/>
            <w:tcMar>
              <w:top w:w="70" w:type="dxa"/>
              <w:left w:w="70" w:type="dxa"/>
              <w:bottom w:w="70" w:type="dxa"/>
              <w:right w:w="70" w:type="dxa"/>
            </w:tcMar>
            <w:vAlign w:val="top"/>
          </w:tcPr>
          <w:p w14:paraId="2A193A5C">
            <w:pPr>
              <w:spacing w:after="0" w:line="240" w:lineRule="auto"/>
            </w:pPr>
            <w:r>
              <w:rPr>
                <w:b w:val="0"/>
                <w:sz w:val="17"/>
              </w:rPr>
              <w:t>HR-QoL in post-ACS stable phase</w:t>
            </w:r>
          </w:p>
        </w:tc>
        <w:tc>
          <w:tcPr>
            <w:tcW w:w="2100" w:type="dxa"/>
            <w:tcMar>
              <w:top w:w="70" w:type="dxa"/>
              <w:left w:w="70" w:type="dxa"/>
              <w:bottom w:w="70" w:type="dxa"/>
              <w:right w:w="70" w:type="dxa"/>
            </w:tcMar>
            <w:vAlign w:val="top"/>
          </w:tcPr>
          <w:p w14:paraId="6FB109CE">
            <w:pPr>
              <w:spacing w:after="0" w:line="240" w:lineRule="auto"/>
            </w:pPr>
            <w:r>
              <w:rPr>
                <w:b w:val="0"/>
                <w:sz w:val="17"/>
              </w:rPr>
              <w:t>7 reports / 8 comparisons / 41 effect sizes</w:t>
            </w:r>
          </w:p>
        </w:tc>
        <w:tc>
          <w:tcPr>
            <w:tcW w:w="998" w:type="dxa"/>
            <w:tcMar>
              <w:top w:w="70" w:type="dxa"/>
              <w:left w:w="70" w:type="dxa"/>
              <w:bottom w:w="70" w:type="dxa"/>
              <w:right w:w="70" w:type="dxa"/>
            </w:tcMar>
            <w:vAlign w:val="top"/>
          </w:tcPr>
          <w:p w14:paraId="0CA4EDB2">
            <w:pPr>
              <w:spacing w:after="0" w:line="240" w:lineRule="auto"/>
            </w:pPr>
            <w:r>
              <w:rPr>
                <w:b w:val="0"/>
                <w:sz w:val="17"/>
              </w:rPr>
              <w:t>N = 502</w:t>
            </w:r>
          </w:p>
        </w:tc>
        <w:tc>
          <w:tcPr>
            <w:tcW w:w="2202" w:type="dxa"/>
            <w:tcMar>
              <w:top w:w="70" w:type="dxa"/>
              <w:left w:w="70" w:type="dxa"/>
              <w:bottom w:w="70" w:type="dxa"/>
              <w:right w:w="70" w:type="dxa"/>
            </w:tcMar>
            <w:vAlign w:val="top"/>
          </w:tcPr>
          <w:p w14:paraId="064F3251">
            <w:pPr>
              <w:spacing w:after="0" w:line="240" w:lineRule="auto"/>
            </w:pPr>
            <w:r>
              <w:rPr>
                <w:b w:val="0"/>
                <w:sz w:val="17"/>
              </w:rPr>
              <w:t>0.87 (0.51 to 1.22); p &lt; 0.001</w:t>
            </w:r>
          </w:p>
        </w:tc>
        <w:tc>
          <w:tcPr>
            <w:tcW w:w="900" w:type="dxa"/>
            <w:tcMar>
              <w:top w:w="70" w:type="dxa"/>
              <w:left w:w="70" w:type="dxa"/>
              <w:bottom w:w="70" w:type="dxa"/>
              <w:right w:w="70" w:type="dxa"/>
            </w:tcMar>
            <w:vAlign w:val="top"/>
          </w:tcPr>
          <w:p w14:paraId="0F54180B">
            <w:pPr>
              <w:spacing w:after="0" w:line="240" w:lineRule="auto"/>
            </w:pPr>
            <w:r>
              <w:rPr>
                <w:b w:val="0"/>
                <w:sz w:val="17"/>
              </w:rPr>
              <w:t>Low</w:t>
            </w:r>
          </w:p>
        </w:tc>
        <w:tc>
          <w:tcPr>
            <w:tcW w:w="4300" w:type="dxa"/>
            <w:tcMar>
              <w:top w:w="70" w:type="dxa"/>
              <w:left w:w="70" w:type="dxa"/>
              <w:bottom w:w="70" w:type="dxa"/>
              <w:right w:w="70" w:type="dxa"/>
            </w:tcMar>
            <w:vAlign w:val="top"/>
          </w:tcPr>
          <w:p w14:paraId="409557DC">
            <w:pPr>
              <w:spacing w:after="0" w:line="240" w:lineRule="auto"/>
            </w:pPr>
            <w:r>
              <w:rPr>
                <w:b w:val="0"/>
                <w:sz w:val="17"/>
              </w:rPr>
              <w:t>Post-ACS stable-phase participants showed a larger point estimate, but certainty was low.</w:t>
            </w:r>
          </w:p>
        </w:tc>
      </w:tr>
      <w:tr w14:paraId="45E001A3">
        <w:trPr>
          <w:jc w:val="center"/>
        </w:trPr>
        <w:tc>
          <w:tcPr>
            <w:tcW w:w="2500" w:type="dxa"/>
            <w:tcMar>
              <w:top w:w="70" w:type="dxa"/>
              <w:left w:w="70" w:type="dxa"/>
              <w:bottom w:w="70" w:type="dxa"/>
              <w:right w:w="70" w:type="dxa"/>
            </w:tcMar>
            <w:vAlign w:val="top"/>
          </w:tcPr>
          <w:p w14:paraId="29FDA80B">
            <w:pPr>
              <w:spacing w:after="0" w:line="240" w:lineRule="auto"/>
            </w:pPr>
            <w:r>
              <w:rPr>
                <w:b w:val="0"/>
                <w:sz w:val="17"/>
              </w:rPr>
              <w:t>HR-QoL in chronic coronary syndrome / CCS</w:t>
            </w:r>
          </w:p>
        </w:tc>
        <w:tc>
          <w:tcPr>
            <w:tcW w:w="2100" w:type="dxa"/>
            <w:tcMar>
              <w:top w:w="70" w:type="dxa"/>
              <w:left w:w="70" w:type="dxa"/>
              <w:bottom w:w="70" w:type="dxa"/>
              <w:right w:w="70" w:type="dxa"/>
            </w:tcMar>
            <w:vAlign w:val="top"/>
          </w:tcPr>
          <w:p w14:paraId="0C3D679C">
            <w:pPr>
              <w:spacing w:after="0" w:line="240" w:lineRule="auto"/>
            </w:pPr>
            <w:r>
              <w:rPr>
                <w:b w:val="0"/>
                <w:sz w:val="17"/>
              </w:rPr>
              <w:t>7 reports / 7 comparisons / 44 effect sizes</w:t>
            </w:r>
          </w:p>
        </w:tc>
        <w:tc>
          <w:tcPr>
            <w:tcW w:w="998" w:type="dxa"/>
            <w:tcMar>
              <w:top w:w="70" w:type="dxa"/>
              <w:left w:w="70" w:type="dxa"/>
              <w:bottom w:w="70" w:type="dxa"/>
              <w:right w:w="70" w:type="dxa"/>
            </w:tcMar>
            <w:vAlign w:val="top"/>
          </w:tcPr>
          <w:p w14:paraId="0D10A501">
            <w:pPr>
              <w:spacing w:after="0" w:line="240" w:lineRule="auto"/>
            </w:pPr>
            <w:r>
              <w:rPr>
                <w:b w:val="0"/>
                <w:sz w:val="17"/>
              </w:rPr>
              <w:t>N = 812</w:t>
            </w:r>
          </w:p>
        </w:tc>
        <w:tc>
          <w:tcPr>
            <w:tcW w:w="2202" w:type="dxa"/>
            <w:tcMar>
              <w:top w:w="70" w:type="dxa"/>
              <w:left w:w="70" w:type="dxa"/>
              <w:bottom w:w="70" w:type="dxa"/>
              <w:right w:w="70" w:type="dxa"/>
            </w:tcMar>
            <w:vAlign w:val="top"/>
          </w:tcPr>
          <w:p w14:paraId="4B0DA8A6">
            <w:pPr>
              <w:spacing w:after="0" w:line="240" w:lineRule="auto"/>
            </w:pPr>
            <w:r>
              <w:rPr>
                <w:b w:val="0"/>
                <w:sz w:val="17"/>
              </w:rPr>
              <w:t>0.57 (0.24 to 0.90); p = 0.0008</w:t>
            </w:r>
          </w:p>
        </w:tc>
        <w:tc>
          <w:tcPr>
            <w:tcW w:w="900" w:type="dxa"/>
            <w:tcMar>
              <w:top w:w="70" w:type="dxa"/>
              <w:left w:w="70" w:type="dxa"/>
              <w:bottom w:w="70" w:type="dxa"/>
              <w:right w:w="70" w:type="dxa"/>
            </w:tcMar>
            <w:vAlign w:val="top"/>
          </w:tcPr>
          <w:p w14:paraId="150F7BCA">
            <w:pPr>
              <w:spacing w:after="0" w:line="240" w:lineRule="auto"/>
            </w:pPr>
            <w:r>
              <w:rPr>
                <w:b w:val="0"/>
                <w:sz w:val="17"/>
              </w:rPr>
              <w:t>Low</w:t>
            </w:r>
          </w:p>
        </w:tc>
        <w:tc>
          <w:tcPr>
            <w:tcW w:w="4300" w:type="dxa"/>
            <w:tcMar>
              <w:top w:w="70" w:type="dxa"/>
              <w:left w:w="70" w:type="dxa"/>
              <w:bottom w:w="70" w:type="dxa"/>
              <w:right w:w="70" w:type="dxa"/>
            </w:tcMar>
            <w:vAlign w:val="top"/>
          </w:tcPr>
          <w:p w14:paraId="5883F92D">
            <w:pPr>
              <w:spacing w:after="0" w:line="240" w:lineRule="auto"/>
            </w:pPr>
            <w:r>
              <w:rPr>
                <w:b w:val="0"/>
                <w:sz w:val="17"/>
              </w:rPr>
              <w:t>CCS participants showed a smaller but positive point estimate; certainty was low.</w:t>
            </w:r>
          </w:p>
        </w:tc>
      </w:tr>
    </w:tbl>
    <w:p w14:paraId="72A19692">
      <w:pPr>
        <w:spacing w:after="80"/>
      </w:pPr>
    </w:p>
    <w:p w14:paraId="3E6A8A26">
      <w:pPr>
        <w:rPr>
          <w:rFonts w:hint="eastAsia" w:ascii="Times New Roman Bold" w:hAnsi="Times New Roman Bold" w:cs="Times New Roman Bold"/>
          <w:b/>
          <w:bCs/>
          <w:color w:val="376092"/>
          <w:sz w:val="28"/>
          <w:szCs w:val="28"/>
        </w:rPr>
      </w:pPr>
      <w:r>
        <w:rPr>
          <w:b/>
          <w:sz w:val="18"/>
        </w:rPr>
        <w:t>Panel B. GRADE domain judgments</w:t>
      </w:r>
    </w:p>
    <w:tbl>
      <w:tblPr>
        <w:tblStyle w:val="5"/>
        <w:tblW w:w="11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0"/>
        <w:gridCol w:w="1250"/>
        <w:gridCol w:w="1250"/>
        <w:gridCol w:w="1250"/>
        <w:gridCol w:w="1250"/>
        <w:gridCol w:w="2900"/>
        <w:gridCol w:w="1100"/>
      </w:tblGrid>
      <w:tr w14:paraId="4F67CAB0">
        <w:trPr>
          <w:jc w:val="center"/>
        </w:trPr>
        <w:tc>
          <w:tcPr>
            <w:tcW w:w="2700" w:type="dxa"/>
            <w:shd w:val="clear" w:color="auto" w:fill="EDEDED"/>
            <w:tcMar>
              <w:top w:w="70" w:type="dxa"/>
              <w:left w:w="70" w:type="dxa"/>
              <w:bottom w:w="70" w:type="dxa"/>
              <w:right w:w="70" w:type="dxa"/>
            </w:tcMar>
            <w:vAlign w:val="top"/>
          </w:tcPr>
          <w:p w14:paraId="5CDF1A98">
            <w:pPr>
              <w:spacing w:after="0" w:line="240" w:lineRule="auto"/>
            </w:pPr>
            <w:r>
              <w:rPr>
                <w:b/>
                <w:sz w:val="17"/>
              </w:rPr>
              <w:t>Outcome</w:t>
            </w:r>
          </w:p>
        </w:tc>
        <w:tc>
          <w:tcPr>
            <w:tcW w:w="1250" w:type="dxa"/>
            <w:shd w:val="clear" w:color="auto" w:fill="EDEDED"/>
            <w:tcMar>
              <w:top w:w="70" w:type="dxa"/>
              <w:left w:w="70" w:type="dxa"/>
              <w:bottom w:w="70" w:type="dxa"/>
              <w:right w:w="70" w:type="dxa"/>
            </w:tcMar>
            <w:vAlign w:val="top"/>
          </w:tcPr>
          <w:p w14:paraId="1215F6E9">
            <w:pPr>
              <w:spacing w:after="0" w:line="240" w:lineRule="auto"/>
            </w:pPr>
            <w:r>
              <w:rPr>
                <w:b/>
                <w:sz w:val="17"/>
              </w:rPr>
              <w:t>Risk of bias</w:t>
            </w:r>
          </w:p>
        </w:tc>
        <w:tc>
          <w:tcPr>
            <w:tcW w:w="1250" w:type="dxa"/>
            <w:shd w:val="clear" w:color="auto" w:fill="EDEDED"/>
            <w:tcMar>
              <w:top w:w="70" w:type="dxa"/>
              <w:left w:w="70" w:type="dxa"/>
              <w:bottom w:w="70" w:type="dxa"/>
              <w:right w:w="70" w:type="dxa"/>
            </w:tcMar>
            <w:vAlign w:val="top"/>
          </w:tcPr>
          <w:p w14:paraId="242D9191">
            <w:pPr>
              <w:spacing w:after="0" w:line="240" w:lineRule="auto"/>
            </w:pPr>
            <w:r>
              <w:rPr>
                <w:b/>
                <w:sz w:val="17"/>
              </w:rPr>
              <w:t>Inconsistency</w:t>
            </w:r>
          </w:p>
        </w:tc>
        <w:tc>
          <w:tcPr>
            <w:tcW w:w="1250" w:type="dxa"/>
            <w:shd w:val="clear" w:color="auto" w:fill="EDEDED"/>
            <w:tcMar>
              <w:top w:w="70" w:type="dxa"/>
              <w:left w:w="70" w:type="dxa"/>
              <w:bottom w:w="70" w:type="dxa"/>
              <w:right w:w="70" w:type="dxa"/>
            </w:tcMar>
            <w:vAlign w:val="top"/>
          </w:tcPr>
          <w:p w14:paraId="06AD1816">
            <w:pPr>
              <w:spacing w:after="0" w:line="240" w:lineRule="auto"/>
            </w:pPr>
            <w:r>
              <w:rPr>
                <w:b/>
                <w:sz w:val="17"/>
              </w:rPr>
              <w:t>Indirectness</w:t>
            </w:r>
          </w:p>
        </w:tc>
        <w:tc>
          <w:tcPr>
            <w:tcW w:w="1250" w:type="dxa"/>
            <w:shd w:val="clear" w:color="auto" w:fill="EDEDED"/>
            <w:tcMar>
              <w:top w:w="70" w:type="dxa"/>
              <w:left w:w="70" w:type="dxa"/>
              <w:bottom w:w="70" w:type="dxa"/>
              <w:right w:w="70" w:type="dxa"/>
            </w:tcMar>
            <w:vAlign w:val="top"/>
          </w:tcPr>
          <w:p w14:paraId="4803BAD7">
            <w:pPr>
              <w:spacing w:after="0" w:line="240" w:lineRule="auto"/>
            </w:pPr>
            <w:r>
              <w:rPr>
                <w:b/>
                <w:sz w:val="17"/>
              </w:rPr>
              <w:t>Imprecision</w:t>
            </w:r>
          </w:p>
        </w:tc>
        <w:tc>
          <w:tcPr>
            <w:tcW w:w="2900" w:type="dxa"/>
            <w:shd w:val="clear" w:color="auto" w:fill="EDEDED"/>
            <w:tcMar>
              <w:top w:w="70" w:type="dxa"/>
              <w:left w:w="70" w:type="dxa"/>
              <w:bottom w:w="70" w:type="dxa"/>
              <w:right w:w="70" w:type="dxa"/>
            </w:tcMar>
            <w:vAlign w:val="top"/>
          </w:tcPr>
          <w:p w14:paraId="6CB57ABC">
            <w:pPr>
              <w:spacing w:after="0" w:line="240" w:lineRule="auto"/>
            </w:pPr>
            <w:r>
              <w:rPr>
                <w:b/>
                <w:sz w:val="17"/>
              </w:rPr>
              <w:t>Publication bias</w:t>
            </w:r>
          </w:p>
        </w:tc>
        <w:tc>
          <w:tcPr>
            <w:tcW w:w="1100" w:type="dxa"/>
            <w:shd w:val="clear" w:color="auto" w:fill="EDEDED"/>
            <w:tcMar>
              <w:top w:w="70" w:type="dxa"/>
              <w:left w:w="70" w:type="dxa"/>
              <w:bottom w:w="70" w:type="dxa"/>
              <w:right w:w="70" w:type="dxa"/>
            </w:tcMar>
            <w:vAlign w:val="top"/>
          </w:tcPr>
          <w:p w14:paraId="5A11AB9C">
            <w:pPr>
              <w:spacing w:after="0" w:line="240" w:lineRule="auto"/>
            </w:pPr>
            <w:r>
              <w:rPr>
                <w:b/>
                <w:sz w:val="17"/>
              </w:rPr>
              <w:t>Final certainty</w:t>
            </w:r>
          </w:p>
        </w:tc>
      </w:tr>
      <w:tr w14:paraId="62DEE767">
        <w:trPr>
          <w:jc w:val="center"/>
        </w:trPr>
        <w:tc>
          <w:tcPr>
            <w:tcW w:w="2700" w:type="dxa"/>
            <w:tcMar>
              <w:top w:w="70" w:type="dxa"/>
              <w:left w:w="70" w:type="dxa"/>
              <w:bottom w:w="70" w:type="dxa"/>
              <w:right w:w="70" w:type="dxa"/>
            </w:tcMar>
            <w:vAlign w:val="top"/>
          </w:tcPr>
          <w:p w14:paraId="38D1F6B7">
            <w:pPr>
              <w:spacing w:after="0" w:line="240" w:lineRule="auto"/>
            </w:pPr>
            <w:r>
              <w:rPr>
                <w:b w:val="0"/>
                <w:sz w:val="17"/>
              </w:rPr>
              <w:t>Overall HR-QoL</w:t>
            </w:r>
          </w:p>
        </w:tc>
        <w:tc>
          <w:tcPr>
            <w:tcW w:w="1250" w:type="dxa"/>
            <w:tcMar>
              <w:top w:w="70" w:type="dxa"/>
              <w:left w:w="70" w:type="dxa"/>
              <w:bottom w:w="70" w:type="dxa"/>
              <w:right w:w="70" w:type="dxa"/>
            </w:tcMar>
            <w:vAlign w:val="top"/>
          </w:tcPr>
          <w:p w14:paraId="550E4AE0">
            <w:pPr>
              <w:spacing w:after="0" w:line="240" w:lineRule="auto"/>
            </w:pPr>
            <w:r>
              <w:rPr>
                <w:b w:val="0"/>
                <w:sz w:val="17"/>
              </w:rPr>
              <w:t>Serious</w:t>
            </w:r>
          </w:p>
        </w:tc>
        <w:tc>
          <w:tcPr>
            <w:tcW w:w="1250" w:type="dxa"/>
            <w:tcMar>
              <w:top w:w="70" w:type="dxa"/>
              <w:left w:w="70" w:type="dxa"/>
              <w:bottom w:w="70" w:type="dxa"/>
              <w:right w:w="70" w:type="dxa"/>
            </w:tcMar>
            <w:vAlign w:val="top"/>
          </w:tcPr>
          <w:p w14:paraId="3AB4105F">
            <w:pPr>
              <w:spacing w:after="0" w:line="240" w:lineRule="auto"/>
            </w:pPr>
            <w:r>
              <w:rPr>
                <w:b w:val="0"/>
                <w:sz w:val="17"/>
              </w:rPr>
              <w:t>Serious</w:t>
            </w:r>
          </w:p>
        </w:tc>
        <w:tc>
          <w:tcPr>
            <w:tcW w:w="1250" w:type="dxa"/>
            <w:tcMar>
              <w:top w:w="70" w:type="dxa"/>
              <w:left w:w="70" w:type="dxa"/>
              <w:bottom w:w="70" w:type="dxa"/>
              <w:right w:w="70" w:type="dxa"/>
            </w:tcMar>
            <w:vAlign w:val="top"/>
          </w:tcPr>
          <w:p w14:paraId="348CBACD">
            <w:pPr>
              <w:spacing w:after="0" w:line="240" w:lineRule="auto"/>
            </w:pPr>
            <w:r>
              <w:rPr>
                <w:b w:val="0"/>
                <w:sz w:val="17"/>
              </w:rPr>
              <w:t>Not serious</w:t>
            </w:r>
          </w:p>
        </w:tc>
        <w:tc>
          <w:tcPr>
            <w:tcW w:w="1250" w:type="dxa"/>
            <w:tcMar>
              <w:top w:w="70" w:type="dxa"/>
              <w:left w:w="70" w:type="dxa"/>
              <w:bottom w:w="70" w:type="dxa"/>
              <w:right w:w="70" w:type="dxa"/>
            </w:tcMar>
            <w:vAlign w:val="top"/>
          </w:tcPr>
          <w:p w14:paraId="7E2445EB">
            <w:pPr>
              <w:spacing w:after="0" w:line="240" w:lineRule="auto"/>
            </w:pPr>
            <w:r>
              <w:rPr>
                <w:b w:val="0"/>
                <w:sz w:val="17"/>
              </w:rPr>
              <w:t>Not serious</w:t>
            </w:r>
          </w:p>
        </w:tc>
        <w:tc>
          <w:tcPr>
            <w:tcW w:w="2900" w:type="dxa"/>
            <w:tcMar>
              <w:top w:w="70" w:type="dxa"/>
              <w:left w:w="70" w:type="dxa"/>
              <w:bottom w:w="70" w:type="dxa"/>
              <w:right w:w="70" w:type="dxa"/>
            </w:tcMar>
            <w:vAlign w:val="top"/>
          </w:tcPr>
          <w:p w14:paraId="4096FA2B">
            <w:pPr>
              <w:spacing w:after="0" w:line="240" w:lineRule="auto"/>
            </w:pPr>
            <w:r>
              <w:rPr>
                <w:b w:val="0"/>
                <w:sz w:val="17"/>
              </w:rPr>
              <w:t>Concern noted; not formally downgraded</w:t>
            </w:r>
          </w:p>
        </w:tc>
        <w:tc>
          <w:tcPr>
            <w:tcW w:w="1100" w:type="dxa"/>
            <w:tcMar>
              <w:top w:w="70" w:type="dxa"/>
              <w:left w:w="70" w:type="dxa"/>
              <w:bottom w:w="70" w:type="dxa"/>
              <w:right w:w="70" w:type="dxa"/>
            </w:tcMar>
            <w:vAlign w:val="top"/>
          </w:tcPr>
          <w:p w14:paraId="3C8C6536">
            <w:pPr>
              <w:spacing w:after="0" w:line="240" w:lineRule="auto"/>
            </w:pPr>
            <w:r>
              <w:rPr>
                <w:b w:val="0"/>
                <w:sz w:val="17"/>
              </w:rPr>
              <w:t>Low</w:t>
            </w:r>
          </w:p>
        </w:tc>
      </w:tr>
      <w:tr w14:paraId="6B7157F8">
        <w:trPr>
          <w:jc w:val="center"/>
        </w:trPr>
        <w:tc>
          <w:tcPr>
            <w:tcW w:w="2700" w:type="dxa"/>
            <w:tcMar>
              <w:top w:w="70" w:type="dxa"/>
              <w:left w:w="70" w:type="dxa"/>
              <w:bottom w:w="70" w:type="dxa"/>
              <w:right w:w="70" w:type="dxa"/>
            </w:tcMar>
            <w:vAlign w:val="top"/>
          </w:tcPr>
          <w:p w14:paraId="7FF8AF14">
            <w:pPr>
              <w:spacing w:after="0" w:line="240" w:lineRule="auto"/>
            </w:pPr>
            <w:r>
              <w:rPr>
                <w:b w:val="0"/>
                <w:sz w:val="17"/>
              </w:rPr>
              <w:t>HR-QoL after combined aerobic + resistance training</w:t>
            </w:r>
          </w:p>
        </w:tc>
        <w:tc>
          <w:tcPr>
            <w:tcW w:w="1250" w:type="dxa"/>
            <w:tcMar>
              <w:top w:w="70" w:type="dxa"/>
              <w:left w:w="70" w:type="dxa"/>
              <w:bottom w:w="70" w:type="dxa"/>
              <w:right w:w="70" w:type="dxa"/>
            </w:tcMar>
            <w:vAlign w:val="top"/>
          </w:tcPr>
          <w:p w14:paraId="3486C363">
            <w:pPr>
              <w:spacing w:after="0" w:line="240" w:lineRule="auto"/>
            </w:pPr>
            <w:r>
              <w:rPr>
                <w:b w:val="0"/>
                <w:sz w:val="17"/>
              </w:rPr>
              <w:t>Serious</w:t>
            </w:r>
          </w:p>
        </w:tc>
        <w:tc>
          <w:tcPr>
            <w:tcW w:w="1250" w:type="dxa"/>
            <w:tcMar>
              <w:top w:w="70" w:type="dxa"/>
              <w:left w:w="70" w:type="dxa"/>
              <w:bottom w:w="70" w:type="dxa"/>
              <w:right w:w="70" w:type="dxa"/>
            </w:tcMar>
            <w:vAlign w:val="top"/>
          </w:tcPr>
          <w:p w14:paraId="51DA9E8D">
            <w:pPr>
              <w:spacing w:after="0" w:line="240" w:lineRule="auto"/>
            </w:pPr>
            <w:r>
              <w:rPr>
                <w:b w:val="0"/>
                <w:sz w:val="17"/>
              </w:rPr>
              <w:t>Serious</w:t>
            </w:r>
          </w:p>
        </w:tc>
        <w:tc>
          <w:tcPr>
            <w:tcW w:w="1250" w:type="dxa"/>
            <w:tcMar>
              <w:top w:w="70" w:type="dxa"/>
              <w:left w:w="70" w:type="dxa"/>
              <w:bottom w:w="70" w:type="dxa"/>
              <w:right w:w="70" w:type="dxa"/>
            </w:tcMar>
            <w:vAlign w:val="top"/>
          </w:tcPr>
          <w:p w14:paraId="31CCD6CD">
            <w:pPr>
              <w:spacing w:after="0" w:line="240" w:lineRule="auto"/>
            </w:pPr>
            <w:r>
              <w:rPr>
                <w:b w:val="0"/>
                <w:sz w:val="17"/>
              </w:rPr>
              <w:t>Not serious</w:t>
            </w:r>
          </w:p>
        </w:tc>
        <w:tc>
          <w:tcPr>
            <w:tcW w:w="1250" w:type="dxa"/>
            <w:tcMar>
              <w:top w:w="70" w:type="dxa"/>
              <w:left w:w="70" w:type="dxa"/>
              <w:bottom w:w="70" w:type="dxa"/>
              <w:right w:w="70" w:type="dxa"/>
            </w:tcMar>
            <w:vAlign w:val="top"/>
          </w:tcPr>
          <w:p w14:paraId="3C6A3C2F">
            <w:pPr>
              <w:spacing w:after="0" w:line="240" w:lineRule="auto"/>
            </w:pPr>
            <w:r>
              <w:rPr>
                <w:b w:val="0"/>
                <w:sz w:val="17"/>
              </w:rPr>
              <w:t>Not serious</w:t>
            </w:r>
          </w:p>
        </w:tc>
        <w:tc>
          <w:tcPr>
            <w:tcW w:w="2900" w:type="dxa"/>
            <w:tcMar>
              <w:top w:w="70" w:type="dxa"/>
              <w:left w:w="70" w:type="dxa"/>
              <w:bottom w:w="70" w:type="dxa"/>
              <w:right w:w="70" w:type="dxa"/>
            </w:tcMar>
            <w:vAlign w:val="top"/>
          </w:tcPr>
          <w:p w14:paraId="4C9C4D80">
            <w:pPr>
              <w:spacing w:after="0" w:line="240" w:lineRule="auto"/>
            </w:pPr>
            <w:r>
              <w:rPr>
                <w:b w:val="0"/>
                <w:sz w:val="17"/>
              </w:rPr>
              <w:t>Concern noted; not formally downgraded</w:t>
            </w:r>
          </w:p>
        </w:tc>
        <w:tc>
          <w:tcPr>
            <w:tcW w:w="1100" w:type="dxa"/>
            <w:tcMar>
              <w:top w:w="70" w:type="dxa"/>
              <w:left w:w="70" w:type="dxa"/>
              <w:bottom w:w="70" w:type="dxa"/>
              <w:right w:w="70" w:type="dxa"/>
            </w:tcMar>
            <w:vAlign w:val="top"/>
          </w:tcPr>
          <w:p w14:paraId="78E91DBA">
            <w:pPr>
              <w:spacing w:after="0" w:line="240" w:lineRule="auto"/>
            </w:pPr>
            <w:r>
              <w:rPr>
                <w:b w:val="0"/>
                <w:sz w:val="17"/>
              </w:rPr>
              <w:t>Low</w:t>
            </w:r>
          </w:p>
        </w:tc>
      </w:tr>
      <w:tr w14:paraId="1EA46E50">
        <w:trPr>
          <w:jc w:val="center"/>
        </w:trPr>
        <w:tc>
          <w:tcPr>
            <w:tcW w:w="2700" w:type="dxa"/>
            <w:tcMar>
              <w:top w:w="70" w:type="dxa"/>
              <w:left w:w="70" w:type="dxa"/>
              <w:bottom w:w="70" w:type="dxa"/>
              <w:right w:w="70" w:type="dxa"/>
            </w:tcMar>
            <w:vAlign w:val="top"/>
          </w:tcPr>
          <w:p w14:paraId="5FE005FB">
            <w:pPr>
              <w:spacing w:after="0" w:line="240" w:lineRule="auto"/>
            </w:pPr>
            <w:r>
              <w:rPr>
                <w:b w:val="0"/>
                <w:sz w:val="17"/>
              </w:rPr>
              <w:t>HR-QoL after HIIT</w:t>
            </w:r>
          </w:p>
        </w:tc>
        <w:tc>
          <w:tcPr>
            <w:tcW w:w="1250" w:type="dxa"/>
            <w:tcMar>
              <w:top w:w="70" w:type="dxa"/>
              <w:left w:w="70" w:type="dxa"/>
              <w:bottom w:w="70" w:type="dxa"/>
              <w:right w:w="70" w:type="dxa"/>
            </w:tcMar>
            <w:vAlign w:val="top"/>
          </w:tcPr>
          <w:p w14:paraId="736A9933">
            <w:pPr>
              <w:spacing w:after="0" w:line="240" w:lineRule="auto"/>
            </w:pPr>
            <w:r>
              <w:rPr>
                <w:b w:val="0"/>
                <w:sz w:val="17"/>
              </w:rPr>
              <w:t>Serious</w:t>
            </w:r>
          </w:p>
        </w:tc>
        <w:tc>
          <w:tcPr>
            <w:tcW w:w="1250" w:type="dxa"/>
            <w:tcMar>
              <w:top w:w="70" w:type="dxa"/>
              <w:left w:w="70" w:type="dxa"/>
              <w:bottom w:w="70" w:type="dxa"/>
              <w:right w:w="70" w:type="dxa"/>
            </w:tcMar>
            <w:vAlign w:val="top"/>
          </w:tcPr>
          <w:p w14:paraId="7ED7BD22">
            <w:pPr>
              <w:spacing w:after="0" w:line="240" w:lineRule="auto"/>
            </w:pPr>
            <w:r>
              <w:rPr>
                <w:b w:val="0"/>
                <w:sz w:val="17"/>
              </w:rPr>
              <w:t>Serious</w:t>
            </w:r>
          </w:p>
        </w:tc>
        <w:tc>
          <w:tcPr>
            <w:tcW w:w="1250" w:type="dxa"/>
            <w:tcMar>
              <w:top w:w="70" w:type="dxa"/>
              <w:left w:w="70" w:type="dxa"/>
              <w:bottom w:w="70" w:type="dxa"/>
              <w:right w:w="70" w:type="dxa"/>
            </w:tcMar>
            <w:vAlign w:val="top"/>
          </w:tcPr>
          <w:p w14:paraId="1D4AF722">
            <w:pPr>
              <w:spacing w:after="0" w:line="240" w:lineRule="auto"/>
            </w:pPr>
            <w:r>
              <w:rPr>
                <w:b w:val="0"/>
                <w:sz w:val="17"/>
              </w:rPr>
              <w:t>Not serious</w:t>
            </w:r>
          </w:p>
        </w:tc>
        <w:tc>
          <w:tcPr>
            <w:tcW w:w="1250" w:type="dxa"/>
            <w:tcMar>
              <w:top w:w="70" w:type="dxa"/>
              <w:left w:w="70" w:type="dxa"/>
              <w:bottom w:w="70" w:type="dxa"/>
              <w:right w:w="70" w:type="dxa"/>
            </w:tcMar>
            <w:vAlign w:val="top"/>
          </w:tcPr>
          <w:p w14:paraId="168E976F">
            <w:pPr>
              <w:spacing w:after="0" w:line="240" w:lineRule="auto"/>
            </w:pPr>
            <w:r>
              <w:rPr>
                <w:b w:val="0"/>
                <w:sz w:val="17"/>
              </w:rPr>
              <w:t>Serious</w:t>
            </w:r>
          </w:p>
        </w:tc>
        <w:tc>
          <w:tcPr>
            <w:tcW w:w="2900" w:type="dxa"/>
            <w:tcMar>
              <w:top w:w="70" w:type="dxa"/>
              <w:left w:w="70" w:type="dxa"/>
              <w:bottom w:w="70" w:type="dxa"/>
              <w:right w:w="70" w:type="dxa"/>
            </w:tcMar>
            <w:vAlign w:val="top"/>
          </w:tcPr>
          <w:p w14:paraId="2E98EEFE">
            <w:pPr>
              <w:spacing w:after="0" w:line="240" w:lineRule="auto"/>
            </w:pPr>
            <w:r>
              <w:rPr>
                <w:b w:val="0"/>
                <w:sz w:val="17"/>
              </w:rPr>
              <w:t>Not formally assessed because of few studies</w:t>
            </w:r>
          </w:p>
        </w:tc>
        <w:tc>
          <w:tcPr>
            <w:tcW w:w="1100" w:type="dxa"/>
            <w:tcMar>
              <w:top w:w="70" w:type="dxa"/>
              <w:left w:w="70" w:type="dxa"/>
              <w:bottom w:w="70" w:type="dxa"/>
              <w:right w:w="70" w:type="dxa"/>
            </w:tcMar>
            <w:vAlign w:val="top"/>
          </w:tcPr>
          <w:p w14:paraId="2B1B0FBF">
            <w:pPr>
              <w:spacing w:after="0" w:line="240" w:lineRule="auto"/>
            </w:pPr>
            <w:r>
              <w:rPr>
                <w:b w:val="0"/>
                <w:sz w:val="17"/>
              </w:rPr>
              <w:t>Very low</w:t>
            </w:r>
          </w:p>
        </w:tc>
      </w:tr>
      <w:tr w14:paraId="78FDC346">
        <w:trPr>
          <w:jc w:val="center"/>
        </w:trPr>
        <w:tc>
          <w:tcPr>
            <w:tcW w:w="2700" w:type="dxa"/>
            <w:tcMar>
              <w:top w:w="70" w:type="dxa"/>
              <w:left w:w="70" w:type="dxa"/>
              <w:bottom w:w="70" w:type="dxa"/>
              <w:right w:w="70" w:type="dxa"/>
            </w:tcMar>
            <w:vAlign w:val="top"/>
          </w:tcPr>
          <w:p w14:paraId="6F33BA9C">
            <w:pPr>
              <w:spacing w:after="0" w:line="240" w:lineRule="auto"/>
            </w:pPr>
            <w:r>
              <w:rPr>
                <w:b w:val="0"/>
                <w:sz w:val="17"/>
              </w:rPr>
              <w:t>HR-QoL after MICT</w:t>
            </w:r>
          </w:p>
        </w:tc>
        <w:tc>
          <w:tcPr>
            <w:tcW w:w="1250" w:type="dxa"/>
            <w:tcMar>
              <w:top w:w="70" w:type="dxa"/>
              <w:left w:w="70" w:type="dxa"/>
              <w:bottom w:w="70" w:type="dxa"/>
              <w:right w:w="70" w:type="dxa"/>
            </w:tcMar>
            <w:vAlign w:val="top"/>
          </w:tcPr>
          <w:p w14:paraId="46F4EF5F">
            <w:pPr>
              <w:spacing w:after="0" w:line="240" w:lineRule="auto"/>
            </w:pPr>
            <w:r>
              <w:rPr>
                <w:b w:val="0"/>
                <w:sz w:val="17"/>
              </w:rPr>
              <w:t>Serious</w:t>
            </w:r>
          </w:p>
        </w:tc>
        <w:tc>
          <w:tcPr>
            <w:tcW w:w="1250" w:type="dxa"/>
            <w:tcMar>
              <w:top w:w="70" w:type="dxa"/>
              <w:left w:w="70" w:type="dxa"/>
              <w:bottom w:w="70" w:type="dxa"/>
              <w:right w:w="70" w:type="dxa"/>
            </w:tcMar>
            <w:vAlign w:val="top"/>
          </w:tcPr>
          <w:p w14:paraId="68DAEEB3">
            <w:pPr>
              <w:spacing w:after="0" w:line="240" w:lineRule="auto"/>
            </w:pPr>
            <w:r>
              <w:rPr>
                <w:b w:val="0"/>
                <w:sz w:val="17"/>
              </w:rPr>
              <w:t>Serious</w:t>
            </w:r>
          </w:p>
        </w:tc>
        <w:tc>
          <w:tcPr>
            <w:tcW w:w="1250" w:type="dxa"/>
            <w:tcMar>
              <w:top w:w="70" w:type="dxa"/>
              <w:left w:w="70" w:type="dxa"/>
              <w:bottom w:w="70" w:type="dxa"/>
              <w:right w:w="70" w:type="dxa"/>
            </w:tcMar>
            <w:vAlign w:val="top"/>
          </w:tcPr>
          <w:p w14:paraId="42DAE0E7">
            <w:pPr>
              <w:spacing w:after="0" w:line="240" w:lineRule="auto"/>
            </w:pPr>
            <w:r>
              <w:rPr>
                <w:b w:val="0"/>
                <w:sz w:val="17"/>
              </w:rPr>
              <w:t>Not serious</w:t>
            </w:r>
          </w:p>
        </w:tc>
        <w:tc>
          <w:tcPr>
            <w:tcW w:w="1250" w:type="dxa"/>
            <w:tcMar>
              <w:top w:w="70" w:type="dxa"/>
              <w:left w:w="70" w:type="dxa"/>
              <w:bottom w:w="70" w:type="dxa"/>
              <w:right w:w="70" w:type="dxa"/>
            </w:tcMar>
            <w:vAlign w:val="top"/>
          </w:tcPr>
          <w:p w14:paraId="6E94CC10">
            <w:pPr>
              <w:spacing w:after="0" w:line="240" w:lineRule="auto"/>
            </w:pPr>
            <w:r>
              <w:rPr>
                <w:b w:val="0"/>
                <w:sz w:val="17"/>
              </w:rPr>
              <w:t>Serious</w:t>
            </w:r>
          </w:p>
        </w:tc>
        <w:tc>
          <w:tcPr>
            <w:tcW w:w="2900" w:type="dxa"/>
            <w:tcMar>
              <w:top w:w="70" w:type="dxa"/>
              <w:left w:w="70" w:type="dxa"/>
              <w:bottom w:w="70" w:type="dxa"/>
              <w:right w:w="70" w:type="dxa"/>
            </w:tcMar>
            <w:vAlign w:val="top"/>
          </w:tcPr>
          <w:p w14:paraId="2991753B">
            <w:pPr>
              <w:spacing w:after="0" w:line="240" w:lineRule="auto"/>
            </w:pPr>
            <w:r>
              <w:rPr>
                <w:b w:val="0"/>
                <w:sz w:val="17"/>
              </w:rPr>
              <w:t>Concern noted; not formally downgraded</w:t>
            </w:r>
          </w:p>
        </w:tc>
        <w:tc>
          <w:tcPr>
            <w:tcW w:w="1100" w:type="dxa"/>
            <w:tcMar>
              <w:top w:w="70" w:type="dxa"/>
              <w:left w:w="70" w:type="dxa"/>
              <w:bottom w:w="70" w:type="dxa"/>
              <w:right w:w="70" w:type="dxa"/>
            </w:tcMar>
            <w:vAlign w:val="top"/>
          </w:tcPr>
          <w:p w14:paraId="049FAD5E">
            <w:pPr>
              <w:spacing w:after="0" w:line="240" w:lineRule="auto"/>
            </w:pPr>
            <w:r>
              <w:rPr>
                <w:b w:val="0"/>
                <w:sz w:val="17"/>
              </w:rPr>
              <w:t>Very low</w:t>
            </w:r>
          </w:p>
        </w:tc>
      </w:tr>
      <w:tr w14:paraId="67B715B2">
        <w:trPr>
          <w:jc w:val="center"/>
        </w:trPr>
        <w:tc>
          <w:tcPr>
            <w:tcW w:w="2700" w:type="dxa"/>
            <w:tcMar>
              <w:top w:w="70" w:type="dxa"/>
              <w:left w:w="70" w:type="dxa"/>
              <w:bottom w:w="70" w:type="dxa"/>
              <w:right w:w="70" w:type="dxa"/>
            </w:tcMar>
            <w:vAlign w:val="top"/>
          </w:tcPr>
          <w:p w14:paraId="1C6E3707">
            <w:pPr>
              <w:spacing w:after="0" w:line="240" w:lineRule="auto"/>
            </w:pPr>
            <w:r>
              <w:rPr>
                <w:b w:val="0"/>
                <w:sz w:val="17"/>
              </w:rPr>
              <w:t>HR-QoL in post-ACS stable phase</w:t>
            </w:r>
          </w:p>
        </w:tc>
        <w:tc>
          <w:tcPr>
            <w:tcW w:w="1250" w:type="dxa"/>
            <w:tcMar>
              <w:top w:w="70" w:type="dxa"/>
              <w:left w:w="70" w:type="dxa"/>
              <w:bottom w:w="70" w:type="dxa"/>
              <w:right w:w="70" w:type="dxa"/>
            </w:tcMar>
            <w:vAlign w:val="top"/>
          </w:tcPr>
          <w:p w14:paraId="6FB034E2">
            <w:pPr>
              <w:spacing w:after="0" w:line="240" w:lineRule="auto"/>
            </w:pPr>
            <w:r>
              <w:rPr>
                <w:b w:val="0"/>
                <w:sz w:val="17"/>
              </w:rPr>
              <w:t>Serious</w:t>
            </w:r>
          </w:p>
        </w:tc>
        <w:tc>
          <w:tcPr>
            <w:tcW w:w="1250" w:type="dxa"/>
            <w:tcMar>
              <w:top w:w="70" w:type="dxa"/>
              <w:left w:w="70" w:type="dxa"/>
              <w:bottom w:w="70" w:type="dxa"/>
              <w:right w:w="70" w:type="dxa"/>
            </w:tcMar>
            <w:vAlign w:val="top"/>
          </w:tcPr>
          <w:p w14:paraId="261FA1B1">
            <w:pPr>
              <w:spacing w:after="0" w:line="240" w:lineRule="auto"/>
            </w:pPr>
            <w:r>
              <w:rPr>
                <w:b w:val="0"/>
                <w:sz w:val="17"/>
              </w:rPr>
              <w:t>Serious</w:t>
            </w:r>
          </w:p>
        </w:tc>
        <w:tc>
          <w:tcPr>
            <w:tcW w:w="1250" w:type="dxa"/>
            <w:tcMar>
              <w:top w:w="70" w:type="dxa"/>
              <w:left w:w="70" w:type="dxa"/>
              <w:bottom w:w="70" w:type="dxa"/>
              <w:right w:w="70" w:type="dxa"/>
            </w:tcMar>
            <w:vAlign w:val="top"/>
          </w:tcPr>
          <w:p w14:paraId="6B132483">
            <w:pPr>
              <w:spacing w:after="0" w:line="240" w:lineRule="auto"/>
            </w:pPr>
            <w:r>
              <w:rPr>
                <w:b w:val="0"/>
                <w:sz w:val="17"/>
              </w:rPr>
              <w:t>Not serious</w:t>
            </w:r>
          </w:p>
        </w:tc>
        <w:tc>
          <w:tcPr>
            <w:tcW w:w="1250" w:type="dxa"/>
            <w:tcMar>
              <w:top w:w="70" w:type="dxa"/>
              <w:left w:w="70" w:type="dxa"/>
              <w:bottom w:w="70" w:type="dxa"/>
              <w:right w:w="70" w:type="dxa"/>
            </w:tcMar>
            <w:vAlign w:val="top"/>
          </w:tcPr>
          <w:p w14:paraId="03026E47">
            <w:pPr>
              <w:spacing w:after="0" w:line="240" w:lineRule="auto"/>
            </w:pPr>
            <w:r>
              <w:rPr>
                <w:b w:val="0"/>
                <w:sz w:val="17"/>
              </w:rPr>
              <w:t>Not serious</w:t>
            </w:r>
          </w:p>
        </w:tc>
        <w:tc>
          <w:tcPr>
            <w:tcW w:w="2900" w:type="dxa"/>
            <w:tcMar>
              <w:top w:w="70" w:type="dxa"/>
              <w:left w:w="70" w:type="dxa"/>
              <w:bottom w:w="70" w:type="dxa"/>
              <w:right w:w="70" w:type="dxa"/>
            </w:tcMar>
            <w:vAlign w:val="top"/>
          </w:tcPr>
          <w:p w14:paraId="5D4922B4">
            <w:pPr>
              <w:spacing w:after="0" w:line="240" w:lineRule="auto"/>
            </w:pPr>
            <w:r>
              <w:rPr>
                <w:b w:val="0"/>
                <w:sz w:val="17"/>
              </w:rPr>
              <w:t>Concern noted; not formally downgraded</w:t>
            </w:r>
          </w:p>
        </w:tc>
        <w:tc>
          <w:tcPr>
            <w:tcW w:w="1100" w:type="dxa"/>
            <w:tcMar>
              <w:top w:w="70" w:type="dxa"/>
              <w:left w:w="70" w:type="dxa"/>
              <w:bottom w:w="70" w:type="dxa"/>
              <w:right w:w="70" w:type="dxa"/>
            </w:tcMar>
            <w:vAlign w:val="top"/>
          </w:tcPr>
          <w:p w14:paraId="72B8AA8C">
            <w:pPr>
              <w:spacing w:after="0" w:line="240" w:lineRule="auto"/>
            </w:pPr>
            <w:r>
              <w:rPr>
                <w:b w:val="0"/>
                <w:sz w:val="17"/>
              </w:rPr>
              <w:t>Low</w:t>
            </w:r>
          </w:p>
        </w:tc>
      </w:tr>
      <w:tr w14:paraId="408F7457">
        <w:trPr>
          <w:jc w:val="center"/>
        </w:trPr>
        <w:tc>
          <w:tcPr>
            <w:tcW w:w="2700" w:type="dxa"/>
            <w:tcMar>
              <w:top w:w="70" w:type="dxa"/>
              <w:left w:w="70" w:type="dxa"/>
              <w:bottom w:w="70" w:type="dxa"/>
              <w:right w:w="70" w:type="dxa"/>
            </w:tcMar>
            <w:vAlign w:val="top"/>
          </w:tcPr>
          <w:p w14:paraId="4CDF5794">
            <w:pPr>
              <w:spacing w:after="0" w:line="240" w:lineRule="auto"/>
            </w:pPr>
            <w:r>
              <w:rPr>
                <w:b w:val="0"/>
                <w:sz w:val="17"/>
              </w:rPr>
              <w:t>HR-QoL in chronic coronary syndrome / CCS</w:t>
            </w:r>
          </w:p>
        </w:tc>
        <w:tc>
          <w:tcPr>
            <w:tcW w:w="1250" w:type="dxa"/>
            <w:tcMar>
              <w:top w:w="70" w:type="dxa"/>
              <w:left w:w="70" w:type="dxa"/>
              <w:bottom w:w="70" w:type="dxa"/>
              <w:right w:w="70" w:type="dxa"/>
            </w:tcMar>
            <w:vAlign w:val="top"/>
          </w:tcPr>
          <w:p w14:paraId="5F5120EA">
            <w:pPr>
              <w:spacing w:after="0" w:line="240" w:lineRule="auto"/>
            </w:pPr>
            <w:r>
              <w:rPr>
                <w:b w:val="0"/>
                <w:sz w:val="17"/>
              </w:rPr>
              <w:t>Serious</w:t>
            </w:r>
          </w:p>
        </w:tc>
        <w:tc>
          <w:tcPr>
            <w:tcW w:w="1250" w:type="dxa"/>
            <w:tcMar>
              <w:top w:w="70" w:type="dxa"/>
              <w:left w:w="70" w:type="dxa"/>
              <w:bottom w:w="70" w:type="dxa"/>
              <w:right w:w="70" w:type="dxa"/>
            </w:tcMar>
            <w:vAlign w:val="top"/>
          </w:tcPr>
          <w:p w14:paraId="2F980C84">
            <w:pPr>
              <w:spacing w:after="0" w:line="240" w:lineRule="auto"/>
            </w:pPr>
            <w:r>
              <w:rPr>
                <w:b w:val="0"/>
                <w:sz w:val="17"/>
              </w:rPr>
              <w:t>Serious</w:t>
            </w:r>
          </w:p>
        </w:tc>
        <w:tc>
          <w:tcPr>
            <w:tcW w:w="1250" w:type="dxa"/>
            <w:tcMar>
              <w:top w:w="70" w:type="dxa"/>
              <w:left w:w="70" w:type="dxa"/>
              <w:bottom w:w="70" w:type="dxa"/>
              <w:right w:w="70" w:type="dxa"/>
            </w:tcMar>
            <w:vAlign w:val="top"/>
          </w:tcPr>
          <w:p w14:paraId="16985562">
            <w:pPr>
              <w:spacing w:after="0" w:line="240" w:lineRule="auto"/>
            </w:pPr>
            <w:r>
              <w:rPr>
                <w:b w:val="0"/>
                <w:sz w:val="17"/>
              </w:rPr>
              <w:t>Not serious</w:t>
            </w:r>
          </w:p>
        </w:tc>
        <w:tc>
          <w:tcPr>
            <w:tcW w:w="1250" w:type="dxa"/>
            <w:tcMar>
              <w:top w:w="70" w:type="dxa"/>
              <w:left w:w="70" w:type="dxa"/>
              <w:bottom w:w="70" w:type="dxa"/>
              <w:right w:w="70" w:type="dxa"/>
            </w:tcMar>
            <w:vAlign w:val="top"/>
          </w:tcPr>
          <w:p w14:paraId="5736DA83">
            <w:pPr>
              <w:spacing w:after="0" w:line="240" w:lineRule="auto"/>
            </w:pPr>
            <w:r>
              <w:rPr>
                <w:b w:val="0"/>
                <w:sz w:val="17"/>
              </w:rPr>
              <w:t>Not serious</w:t>
            </w:r>
          </w:p>
        </w:tc>
        <w:tc>
          <w:tcPr>
            <w:tcW w:w="2900" w:type="dxa"/>
            <w:tcMar>
              <w:top w:w="70" w:type="dxa"/>
              <w:left w:w="70" w:type="dxa"/>
              <w:bottom w:w="70" w:type="dxa"/>
              <w:right w:w="70" w:type="dxa"/>
            </w:tcMar>
            <w:vAlign w:val="top"/>
          </w:tcPr>
          <w:p w14:paraId="1B9F1073">
            <w:pPr>
              <w:spacing w:after="0" w:line="240" w:lineRule="auto"/>
            </w:pPr>
            <w:r>
              <w:rPr>
                <w:b w:val="0"/>
                <w:sz w:val="17"/>
              </w:rPr>
              <w:t>Concern noted; not formally downgraded</w:t>
            </w:r>
          </w:p>
        </w:tc>
        <w:tc>
          <w:tcPr>
            <w:tcW w:w="1100" w:type="dxa"/>
            <w:tcMar>
              <w:top w:w="70" w:type="dxa"/>
              <w:left w:w="70" w:type="dxa"/>
              <w:bottom w:w="70" w:type="dxa"/>
              <w:right w:w="70" w:type="dxa"/>
            </w:tcMar>
            <w:vAlign w:val="top"/>
          </w:tcPr>
          <w:p w14:paraId="632C912F">
            <w:pPr>
              <w:spacing w:after="0" w:line="240" w:lineRule="auto"/>
            </w:pPr>
            <w:r>
              <w:rPr>
                <w:b w:val="0"/>
                <w:sz w:val="17"/>
              </w:rPr>
              <w:t>Low</w:t>
            </w:r>
          </w:p>
        </w:tc>
      </w:tr>
    </w:tbl>
    <w:p w14:paraId="1375CE50">
      <w:pPr>
        <w:spacing w:before="120" w:beforeLines="50" w:after="120" w:afterLines="50"/>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Abbreviations: ACS, acute coronary syndrome; CCS, chronic coronary syndrome; CI, confidence interval; ExCR, exercise-based cardiac rehabilitation; HIIT, high-intensity interval training; HR-QoL, health-related quality of life; MICT, moderate-intensity continuous training.</w:t>
      </w:r>
    </w:p>
    <w:p w14:paraId="04D219E0">
      <w:pPr>
        <w:spacing w:before="120" w:beforeLines="50" w:after="120" w:afterLines="50"/>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GRADE certainty started at high because all included studies were randomized controlled trials. Evidence was downgraded for risk of bias, inconsistency, indirectness, imprecision, and publication bias where appropriate.</w:t>
      </w:r>
    </w:p>
    <w:p w14:paraId="68B6EBC3">
      <w:pPr>
        <w:spacing w:before="120" w:beforeLines="50" w:after="120" w:afterLines="50"/>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Risk of bias was rated as serious because most trials had some concerns or high risk of bias, and HR-QoL was self-reported in exercise interventions where participant blinding was not feasible.</w:t>
      </w:r>
    </w:p>
    <w:p w14:paraId="3E88597F">
      <w:pPr>
        <w:spacing w:before="120" w:beforeLines="50" w:after="120" w:afterLines="50"/>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Inconsistency was rated as serious because substantial heterogeneity was observed across effect sizes, and clinical and methodological heterogeneity remained likely within several subgroups.</w:t>
      </w:r>
    </w:p>
    <w:p w14:paraId="20A610F6">
      <w:pPr>
        <w:spacing w:before="120" w:beforeLines="50" w:after="120" w:afterLines="50"/>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Indirectness was not downgraded because the included trials directly matched the review question in terms of population, intervention, comparator, and validated HR-QoL outcomes.</w:t>
      </w:r>
    </w:p>
    <w:p w14:paraId="57F358F1">
      <w:pPr>
        <w:spacing w:before="120" w:beforeLines="50" w:after="120" w:afterLines="50"/>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Imprecision was judged using the null effect and a small-effect threshold of SMD = 0.20. HIIT was downgraded because of few studies and a wide confidence interval. MICT was downgraded because the confidence interval touched the null effect.</w:t>
      </w:r>
    </w:p>
    <w:p w14:paraId="764E2499">
      <w:pPr>
        <w:spacing w:before="120" w:beforeLines="50" w:after="120" w:afterLines="50"/>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Publication bias was noted as a concern because small-study effects could not be excluded by visual inspection of funnel plots. It was not formally downgraded unless sufficient evidence supported asymmetry.</w:t>
      </w:r>
    </w:p>
    <w:p w14:paraId="3C83DFF3">
      <w:pPr>
        <w:spacing w:before="120" w:beforeLines="50" w:after="120" w:afterLines="50"/>
        <w:rPr>
          <w:rFonts w:ascii="Times New Roman" w:hAnsi="Times New Roman" w:cs="Times New Roman"/>
          <w:color w:val="000000" w:themeColor="text1"/>
          <w:sz w:val="20"/>
          <w:szCs w:val="20"/>
          <w14:textFill>
            <w14:solidFill>
              <w14:schemeClr w14:val="tx1"/>
            </w14:solidFill>
          </w14:textFill>
        </w:rPr>
      </w:pPr>
    </w:p>
    <w:p w14:paraId="55406B17">
      <w:pPr>
        <w:spacing w:after="120" w:line="240" w:lineRule="auto"/>
        <w:rPr>
          <w:rFonts w:hint="eastAsia" w:ascii="Times New Roman Bold" w:hAnsi="Times New Roman Bold" w:cs="Times New Roman Bold"/>
          <w:b/>
          <w:bCs/>
          <w:color w:val="376092"/>
          <w:sz w:val="28"/>
          <w:szCs w:val="28"/>
          <w:lang w:val="en-GB" w:eastAsia="zh-CN"/>
        </w:rPr>
      </w:pPr>
      <w:r>
        <w:rPr>
          <w:rFonts w:hint="eastAsia" w:ascii="Times New Roman Bold" w:hAnsi="Times New Roman Bold" w:cs="Times New Roman Bold"/>
          <w:b/>
          <w:bCs/>
          <w:color w:val="376092"/>
          <w:sz w:val="28"/>
          <w:szCs w:val="28"/>
          <w:lang w:val="en-GB" w:eastAsia="zh-CN"/>
        </w:rPr>
        <w:t>Table S4. Sensitivity analysis excluding one Gonçalves comparison at a time</w:t>
      </w:r>
    </w:p>
    <w:tbl>
      <w:tblPr>
        <w:tblStyle w:val="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81"/>
        <w:gridCol w:w="2081"/>
        <w:gridCol w:w="2081"/>
        <w:gridCol w:w="2081"/>
        <w:gridCol w:w="2081"/>
        <w:gridCol w:w="2081"/>
        <w:gridCol w:w="2081"/>
      </w:tblGrid>
      <w:tr w14:paraId="1E1B82CD">
        <w:trPr>
          <w:tblHeader/>
          <w:jc w:val="center"/>
        </w:trPr>
        <w:tc>
          <w:tcPr>
            <w:tcW w:w="3969" w:type="dxa"/>
            <w:shd w:val="clear" w:color="auto" w:fill="CFCECE" w:themeFill="background2" w:themeFillShade="E5"/>
            <w:tcMar>
              <w:top w:w="90" w:type="dxa"/>
              <w:left w:w="90" w:type="dxa"/>
              <w:bottom w:w="90" w:type="dxa"/>
              <w:right w:w="90" w:type="dxa"/>
            </w:tcMar>
            <w:vAlign w:val="center"/>
          </w:tcPr>
          <w:p w14:paraId="39FF8AFE">
            <w:pPr>
              <w:spacing w:after="0" w:line="240" w:lineRule="auto"/>
              <w:jc w:val="center"/>
            </w:pPr>
            <w:r>
              <w:rPr>
                <w:rFonts w:ascii="Times New Roman" w:hAnsi="Times New Roman" w:eastAsia="Times New Roman"/>
                <w:b/>
                <w:sz w:val="17"/>
              </w:rPr>
              <w:t>Analysis</w:t>
            </w:r>
          </w:p>
        </w:tc>
        <w:tc>
          <w:tcPr>
            <w:tcW w:w="1134" w:type="dxa"/>
            <w:shd w:val="clear" w:color="auto" w:fill="CFCECE" w:themeFill="background2" w:themeFillShade="E5"/>
            <w:tcMar>
              <w:top w:w="90" w:type="dxa"/>
              <w:left w:w="90" w:type="dxa"/>
              <w:bottom w:w="90" w:type="dxa"/>
              <w:right w:w="90" w:type="dxa"/>
            </w:tcMar>
            <w:vAlign w:val="center"/>
          </w:tcPr>
          <w:p w14:paraId="3F2407DD">
            <w:pPr>
              <w:spacing w:after="0" w:line="240" w:lineRule="auto"/>
              <w:jc w:val="center"/>
            </w:pPr>
            <w:r>
              <w:rPr>
                <w:rFonts w:ascii="Times New Roman" w:hAnsi="Times New Roman" w:eastAsia="Times New Roman"/>
                <w:b/>
                <w:sz w:val="17"/>
              </w:rPr>
              <w:t>Reports</w:t>
            </w:r>
          </w:p>
        </w:tc>
        <w:tc>
          <w:tcPr>
            <w:tcW w:w="1361" w:type="dxa"/>
            <w:shd w:val="clear" w:color="auto" w:fill="CFCECE" w:themeFill="background2" w:themeFillShade="E5"/>
            <w:tcMar>
              <w:top w:w="90" w:type="dxa"/>
              <w:left w:w="90" w:type="dxa"/>
              <w:bottom w:w="90" w:type="dxa"/>
              <w:right w:w="90" w:type="dxa"/>
            </w:tcMar>
            <w:vAlign w:val="center"/>
          </w:tcPr>
          <w:p w14:paraId="2654EA91">
            <w:pPr>
              <w:spacing w:after="0" w:line="240" w:lineRule="auto"/>
              <w:jc w:val="center"/>
            </w:pPr>
            <w:r>
              <w:rPr>
                <w:rFonts w:ascii="Times New Roman" w:hAnsi="Times New Roman" w:eastAsia="Times New Roman"/>
                <w:b/>
                <w:sz w:val="17"/>
              </w:rPr>
              <w:t>Comparisons</w:t>
            </w:r>
          </w:p>
        </w:tc>
        <w:tc>
          <w:tcPr>
            <w:tcW w:w="1361" w:type="dxa"/>
            <w:shd w:val="clear" w:color="auto" w:fill="CFCECE" w:themeFill="background2" w:themeFillShade="E5"/>
            <w:tcMar>
              <w:top w:w="90" w:type="dxa"/>
              <w:left w:w="90" w:type="dxa"/>
              <w:bottom w:w="90" w:type="dxa"/>
              <w:right w:w="90" w:type="dxa"/>
            </w:tcMar>
            <w:vAlign w:val="center"/>
          </w:tcPr>
          <w:p w14:paraId="0E3C5AE1">
            <w:pPr>
              <w:spacing w:after="0" w:line="240" w:lineRule="auto"/>
              <w:jc w:val="center"/>
            </w:pPr>
            <w:r>
              <w:rPr>
                <w:rFonts w:ascii="Times New Roman" w:hAnsi="Times New Roman" w:eastAsia="Times New Roman"/>
                <w:b/>
                <w:sz w:val="17"/>
              </w:rPr>
              <w:t>Effect sizes</w:t>
            </w:r>
          </w:p>
        </w:tc>
        <w:tc>
          <w:tcPr>
            <w:tcW w:w="2324" w:type="dxa"/>
            <w:shd w:val="clear" w:color="auto" w:fill="CFCECE" w:themeFill="background2" w:themeFillShade="E5"/>
            <w:tcMar>
              <w:top w:w="90" w:type="dxa"/>
              <w:left w:w="90" w:type="dxa"/>
              <w:bottom w:w="90" w:type="dxa"/>
              <w:right w:w="90" w:type="dxa"/>
            </w:tcMar>
            <w:vAlign w:val="center"/>
          </w:tcPr>
          <w:p w14:paraId="5FAF45F2">
            <w:pPr>
              <w:spacing w:after="0" w:line="240" w:lineRule="auto"/>
              <w:jc w:val="center"/>
            </w:pPr>
            <w:r>
              <w:rPr>
                <w:rFonts w:ascii="Times New Roman" w:hAnsi="Times New Roman" w:eastAsia="Times New Roman"/>
                <w:b/>
                <w:sz w:val="17"/>
              </w:rPr>
              <w:t>Hedges’ g (95% CI)</w:t>
            </w:r>
          </w:p>
        </w:tc>
        <w:tc>
          <w:tcPr>
            <w:tcW w:w="1134" w:type="dxa"/>
            <w:shd w:val="clear" w:color="auto" w:fill="CFCECE" w:themeFill="background2" w:themeFillShade="E5"/>
            <w:tcMar>
              <w:top w:w="90" w:type="dxa"/>
              <w:left w:w="90" w:type="dxa"/>
              <w:bottom w:w="90" w:type="dxa"/>
              <w:right w:w="90" w:type="dxa"/>
            </w:tcMar>
            <w:vAlign w:val="center"/>
          </w:tcPr>
          <w:p w14:paraId="481F63CA">
            <w:pPr>
              <w:spacing w:after="0" w:line="240" w:lineRule="auto"/>
              <w:jc w:val="center"/>
            </w:pPr>
            <w:r>
              <w:rPr>
                <w:rFonts w:ascii="Times New Roman" w:hAnsi="Times New Roman" w:eastAsia="Times New Roman"/>
                <w:b/>
                <w:sz w:val="17"/>
              </w:rPr>
              <w:t>p-value</w:t>
            </w:r>
          </w:p>
        </w:tc>
        <w:tc>
          <w:tcPr>
            <w:tcW w:w="2551" w:type="dxa"/>
            <w:shd w:val="clear" w:color="auto" w:fill="CFCECE" w:themeFill="background2" w:themeFillShade="E5"/>
            <w:tcMar>
              <w:top w:w="90" w:type="dxa"/>
              <w:left w:w="90" w:type="dxa"/>
              <w:bottom w:w="90" w:type="dxa"/>
              <w:right w:w="90" w:type="dxa"/>
            </w:tcMar>
            <w:vAlign w:val="center"/>
          </w:tcPr>
          <w:p w14:paraId="7700DC32">
            <w:pPr>
              <w:spacing w:after="0" w:line="240" w:lineRule="auto"/>
              <w:jc w:val="center"/>
            </w:pPr>
            <w:r>
              <w:rPr>
                <w:rFonts w:ascii="Times New Roman" w:hAnsi="Times New Roman" w:eastAsia="Times New Roman"/>
                <w:b/>
                <w:sz w:val="17"/>
              </w:rPr>
              <w:t>95% prediction interval</w:t>
            </w:r>
          </w:p>
        </w:tc>
      </w:tr>
      <w:tr w14:paraId="0C6C1F17">
        <w:trPr>
          <w:jc w:val="center"/>
        </w:trPr>
        <w:tc>
          <w:tcPr>
            <w:tcW w:w="3969" w:type="dxa"/>
            <w:tcMar>
              <w:top w:w="90" w:type="dxa"/>
              <w:left w:w="90" w:type="dxa"/>
              <w:bottom w:w="90" w:type="dxa"/>
              <w:right w:w="90" w:type="dxa"/>
            </w:tcMar>
            <w:vAlign w:val="center"/>
          </w:tcPr>
          <w:p w14:paraId="0598E9A7">
            <w:pPr>
              <w:spacing w:after="0" w:line="240" w:lineRule="auto"/>
              <w:jc w:val="left"/>
            </w:pPr>
            <w:r>
              <w:rPr>
                <w:rFonts w:ascii="Times New Roman" w:hAnsi="Times New Roman" w:eastAsia="Times New Roman"/>
                <w:b w:val="0"/>
                <w:sz w:val="17"/>
              </w:rPr>
              <w:t>Excluding Gonçalves HIIT comparison</w:t>
            </w:r>
          </w:p>
        </w:tc>
        <w:tc>
          <w:tcPr>
            <w:tcW w:w="1134" w:type="dxa"/>
            <w:tcMar>
              <w:top w:w="90" w:type="dxa"/>
              <w:left w:w="90" w:type="dxa"/>
              <w:bottom w:w="90" w:type="dxa"/>
              <w:right w:w="90" w:type="dxa"/>
            </w:tcMar>
            <w:vAlign w:val="center"/>
          </w:tcPr>
          <w:p w14:paraId="7CA27812">
            <w:pPr>
              <w:spacing w:after="0" w:line="240" w:lineRule="auto"/>
              <w:jc w:val="center"/>
            </w:pPr>
            <w:r>
              <w:rPr>
                <w:rFonts w:ascii="Times New Roman" w:hAnsi="Times New Roman" w:eastAsia="Times New Roman"/>
                <w:b w:val="0"/>
                <w:sz w:val="17"/>
              </w:rPr>
              <w:t>15</w:t>
            </w:r>
          </w:p>
        </w:tc>
        <w:tc>
          <w:tcPr>
            <w:tcW w:w="1361" w:type="dxa"/>
            <w:tcMar>
              <w:top w:w="90" w:type="dxa"/>
              <w:left w:w="90" w:type="dxa"/>
              <w:bottom w:w="90" w:type="dxa"/>
              <w:right w:w="90" w:type="dxa"/>
            </w:tcMar>
            <w:vAlign w:val="center"/>
          </w:tcPr>
          <w:p w14:paraId="19F69201">
            <w:pPr>
              <w:spacing w:after="0" w:line="240" w:lineRule="auto"/>
              <w:jc w:val="center"/>
            </w:pPr>
            <w:r>
              <w:rPr>
                <w:rFonts w:ascii="Times New Roman" w:hAnsi="Times New Roman" w:eastAsia="Times New Roman"/>
                <w:b w:val="0"/>
                <w:sz w:val="17"/>
              </w:rPr>
              <w:t>15</w:t>
            </w:r>
          </w:p>
        </w:tc>
        <w:tc>
          <w:tcPr>
            <w:tcW w:w="1361" w:type="dxa"/>
            <w:tcMar>
              <w:top w:w="90" w:type="dxa"/>
              <w:left w:w="90" w:type="dxa"/>
              <w:bottom w:w="90" w:type="dxa"/>
              <w:right w:w="90" w:type="dxa"/>
            </w:tcMar>
            <w:vAlign w:val="center"/>
          </w:tcPr>
          <w:p w14:paraId="39960F6B">
            <w:pPr>
              <w:spacing w:after="0" w:line="240" w:lineRule="auto"/>
              <w:jc w:val="center"/>
            </w:pPr>
            <w:r>
              <w:rPr>
                <w:rFonts w:ascii="Times New Roman" w:hAnsi="Times New Roman" w:eastAsia="Times New Roman"/>
                <w:b w:val="0"/>
                <w:sz w:val="17"/>
              </w:rPr>
              <w:t>79</w:t>
            </w:r>
          </w:p>
        </w:tc>
        <w:tc>
          <w:tcPr>
            <w:tcW w:w="2324" w:type="dxa"/>
            <w:tcMar>
              <w:top w:w="90" w:type="dxa"/>
              <w:left w:w="90" w:type="dxa"/>
              <w:bottom w:w="90" w:type="dxa"/>
              <w:right w:w="90" w:type="dxa"/>
            </w:tcMar>
            <w:vAlign w:val="center"/>
          </w:tcPr>
          <w:p w14:paraId="3E8C8540">
            <w:pPr>
              <w:spacing w:after="0" w:line="240" w:lineRule="auto"/>
              <w:jc w:val="center"/>
            </w:pPr>
            <w:r>
              <w:rPr>
                <w:rFonts w:ascii="Times New Roman" w:hAnsi="Times New Roman" w:eastAsia="Times New Roman"/>
                <w:b w:val="0"/>
                <w:sz w:val="17"/>
              </w:rPr>
              <w:t>0.88 (0.45 to 1.31)</w:t>
            </w:r>
          </w:p>
        </w:tc>
        <w:tc>
          <w:tcPr>
            <w:tcW w:w="1134" w:type="dxa"/>
            <w:tcMar>
              <w:top w:w="90" w:type="dxa"/>
              <w:left w:w="90" w:type="dxa"/>
              <w:bottom w:w="90" w:type="dxa"/>
              <w:right w:w="90" w:type="dxa"/>
            </w:tcMar>
            <w:vAlign w:val="center"/>
          </w:tcPr>
          <w:p w14:paraId="727AA427">
            <w:pPr>
              <w:spacing w:after="0" w:line="240" w:lineRule="auto"/>
              <w:jc w:val="center"/>
            </w:pPr>
            <w:r>
              <w:rPr>
                <w:rFonts w:ascii="Times New Roman" w:hAnsi="Times New Roman" w:eastAsia="Times New Roman"/>
                <w:b w:val="0"/>
                <w:sz w:val="17"/>
              </w:rPr>
              <w:t>&lt;0.001</w:t>
            </w:r>
          </w:p>
        </w:tc>
        <w:tc>
          <w:tcPr>
            <w:tcW w:w="2551" w:type="dxa"/>
            <w:tcMar>
              <w:top w:w="90" w:type="dxa"/>
              <w:left w:w="90" w:type="dxa"/>
              <w:bottom w:w="90" w:type="dxa"/>
              <w:right w:w="90" w:type="dxa"/>
            </w:tcMar>
            <w:vAlign w:val="center"/>
          </w:tcPr>
          <w:p w14:paraId="1743FE8F">
            <w:pPr>
              <w:spacing w:after="0" w:line="240" w:lineRule="auto"/>
              <w:jc w:val="center"/>
            </w:pPr>
            <w:r>
              <w:rPr>
                <w:rFonts w:ascii="Times New Roman" w:hAnsi="Times New Roman" w:eastAsia="Times New Roman"/>
                <w:b w:val="0"/>
                <w:sz w:val="17"/>
              </w:rPr>
              <w:t>−0.88 to 2.64</w:t>
            </w:r>
          </w:p>
        </w:tc>
      </w:tr>
      <w:tr w14:paraId="2ED75291">
        <w:trPr>
          <w:jc w:val="center"/>
        </w:trPr>
        <w:tc>
          <w:tcPr>
            <w:tcW w:w="3969" w:type="dxa"/>
            <w:tcMar>
              <w:top w:w="90" w:type="dxa"/>
              <w:left w:w="90" w:type="dxa"/>
              <w:bottom w:w="90" w:type="dxa"/>
              <w:right w:w="90" w:type="dxa"/>
            </w:tcMar>
            <w:vAlign w:val="center"/>
          </w:tcPr>
          <w:p w14:paraId="48860EC8">
            <w:pPr>
              <w:spacing w:after="0" w:line="240" w:lineRule="auto"/>
              <w:jc w:val="left"/>
            </w:pPr>
            <w:r>
              <w:rPr>
                <w:rFonts w:ascii="Times New Roman" w:hAnsi="Times New Roman" w:eastAsia="Times New Roman"/>
                <w:b w:val="0"/>
                <w:sz w:val="17"/>
              </w:rPr>
              <w:t>Excluding Gonçalves MICT comparison</w:t>
            </w:r>
          </w:p>
        </w:tc>
        <w:tc>
          <w:tcPr>
            <w:tcW w:w="1134" w:type="dxa"/>
            <w:tcMar>
              <w:top w:w="90" w:type="dxa"/>
              <w:left w:w="90" w:type="dxa"/>
              <w:bottom w:w="90" w:type="dxa"/>
              <w:right w:w="90" w:type="dxa"/>
            </w:tcMar>
            <w:vAlign w:val="center"/>
          </w:tcPr>
          <w:p w14:paraId="4941B07C">
            <w:pPr>
              <w:spacing w:after="0" w:line="240" w:lineRule="auto"/>
              <w:jc w:val="center"/>
            </w:pPr>
            <w:r>
              <w:rPr>
                <w:rFonts w:ascii="Times New Roman" w:hAnsi="Times New Roman" w:eastAsia="Times New Roman"/>
                <w:b w:val="0"/>
                <w:sz w:val="17"/>
              </w:rPr>
              <w:t>15</w:t>
            </w:r>
          </w:p>
        </w:tc>
        <w:tc>
          <w:tcPr>
            <w:tcW w:w="1361" w:type="dxa"/>
            <w:tcMar>
              <w:top w:w="90" w:type="dxa"/>
              <w:left w:w="90" w:type="dxa"/>
              <w:bottom w:w="90" w:type="dxa"/>
              <w:right w:w="90" w:type="dxa"/>
            </w:tcMar>
            <w:vAlign w:val="center"/>
          </w:tcPr>
          <w:p w14:paraId="36678291">
            <w:pPr>
              <w:spacing w:after="0" w:line="240" w:lineRule="auto"/>
              <w:jc w:val="center"/>
            </w:pPr>
            <w:r>
              <w:rPr>
                <w:rFonts w:ascii="Times New Roman" w:hAnsi="Times New Roman" w:eastAsia="Times New Roman"/>
                <w:b w:val="0"/>
                <w:sz w:val="17"/>
              </w:rPr>
              <w:t>15</w:t>
            </w:r>
          </w:p>
        </w:tc>
        <w:tc>
          <w:tcPr>
            <w:tcW w:w="1361" w:type="dxa"/>
            <w:tcMar>
              <w:top w:w="90" w:type="dxa"/>
              <w:left w:w="90" w:type="dxa"/>
              <w:bottom w:w="90" w:type="dxa"/>
              <w:right w:w="90" w:type="dxa"/>
            </w:tcMar>
            <w:vAlign w:val="center"/>
          </w:tcPr>
          <w:p w14:paraId="70694901">
            <w:pPr>
              <w:spacing w:after="0" w:line="240" w:lineRule="auto"/>
              <w:jc w:val="center"/>
            </w:pPr>
            <w:r>
              <w:rPr>
                <w:rFonts w:ascii="Times New Roman" w:hAnsi="Times New Roman" w:eastAsia="Times New Roman"/>
                <w:b w:val="0"/>
                <w:sz w:val="17"/>
              </w:rPr>
              <w:t>79</w:t>
            </w:r>
          </w:p>
        </w:tc>
        <w:tc>
          <w:tcPr>
            <w:tcW w:w="2324" w:type="dxa"/>
            <w:tcMar>
              <w:top w:w="90" w:type="dxa"/>
              <w:left w:w="90" w:type="dxa"/>
              <w:bottom w:w="90" w:type="dxa"/>
              <w:right w:w="90" w:type="dxa"/>
            </w:tcMar>
            <w:vAlign w:val="center"/>
          </w:tcPr>
          <w:p w14:paraId="7A317D29">
            <w:pPr>
              <w:spacing w:after="0" w:line="240" w:lineRule="auto"/>
              <w:jc w:val="center"/>
            </w:pPr>
            <w:r>
              <w:rPr>
                <w:rFonts w:ascii="Times New Roman" w:hAnsi="Times New Roman" w:eastAsia="Times New Roman"/>
                <w:b w:val="0"/>
                <w:sz w:val="17"/>
              </w:rPr>
              <w:t>0.90 (0.46 to 1.35)</w:t>
            </w:r>
          </w:p>
        </w:tc>
        <w:tc>
          <w:tcPr>
            <w:tcW w:w="1134" w:type="dxa"/>
            <w:tcMar>
              <w:top w:w="90" w:type="dxa"/>
              <w:left w:w="90" w:type="dxa"/>
              <w:bottom w:w="90" w:type="dxa"/>
              <w:right w:w="90" w:type="dxa"/>
            </w:tcMar>
            <w:vAlign w:val="center"/>
          </w:tcPr>
          <w:p w14:paraId="0D21F12C">
            <w:pPr>
              <w:spacing w:after="0" w:line="240" w:lineRule="auto"/>
              <w:jc w:val="center"/>
            </w:pPr>
            <w:r>
              <w:rPr>
                <w:rFonts w:ascii="Times New Roman" w:hAnsi="Times New Roman" w:eastAsia="Times New Roman"/>
                <w:b w:val="0"/>
                <w:sz w:val="17"/>
              </w:rPr>
              <w:t>&lt;0.001</w:t>
            </w:r>
          </w:p>
        </w:tc>
        <w:tc>
          <w:tcPr>
            <w:tcW w:w="2551" w:type="dxa"/>
            <w:tcMar>
              <w:top w:w="90" w:type="dxa"/>
              <w:left w:w="90" w:type="dxa"/>
              <w:bottom w:w="90" w:type="dxa"/>
              <w:right w:w="90" w:type="dxa"/>
            </w:tcMar>
            <w:vAlign w:val="center"/>
          </w:tcPr>
          <w:p w14:paraId="0754A365">
            <w:pPr>
              <w:spacing w:after="0" w:line="240" w:lineRule="auto"/>
              <w:jc w:val="center"/>
            </w:pPr>
            <w:r>
              <w:rPr>
                <w:rFonts w:ascii="Times New Roman" w:hAnsi="Times New Roman" w:eastAsia="Times New Roman"/>
                <w:b w:val="0"/>
                <w:sz w:val="17"/>
              </w:rPr>
              <w:t>−0.90 to 2.71</w:t>
            </w:r>
          </w:p>
        </w:tc>
      </w:tr>
    </w:tbl>
    <w:p w14:paraId="680650FD">
      <w:pPr>
        <w:spacing w:after="0" w:line="480" w:lineRule="auto"/>
        <w:ind w:firstLine="400" w:firstLineChars="200"/>
        <w:jc w:val="both"/>
        <w:rPr>
          <w:rFonts w:ascii="宋体" w:hAnsi="宋体" w:eastAsia="宋体" w:cs="宋体"/>
          <w:kern w:val="0"/>
          <w:sz w:val="24"/>
          <w:szCs w:val="24"/>
          <w:lang w:val="en-US" w:eastAsia="zh-CN" w:bidi="ar"/>
        </w:rPr>
      </w:pPr>
      <w:r>
        <w:rPr>
          <w:rFonts w:hint="eastAsia" w:ascii="Times New Roman" w:hAnsi="Times New Roman"/>
          <w:sz w:val="20"/>
          <w:szCs w:val="20"/>
          <w:lang w:val="en-US" w:eastAsia="zh-CN"/>
        </w:rPr>
        <w:t>One included three-arm trial contributed two intervention-control comparisons: HIIT versus control and MICT versus control, using a shared control group. Because this design may introduce additional correlation between comparisons from the same report, we conducted sensitivity analyses by excluding one Gonçalves comparison at a time. The pooled estimates remained similar to the primary overall finding, suggesting that inclusion of both comparisons did not materially change the overall interpretation.</w:t>
      </w:r>
    </w:p>
    <w:p w14:paraId="6B1F0F82">
      <w:pPr>
        <w:spacing w:before="120" w:beforeLines="50" w:after="120" w:afterLines="50"/>
        <w:rPr>
          <w:rFonts w:ascii="Times New Roman" w:hAnsi="Times New Roman" w:cs="Times New Roman"/>
          <w:color w:val="000000" w:themeColor="text1"/>
          <w:sz w:val="20"/>
          <w:szCs w:val="20"/>
          <w14:textFill>
            <w14:solidFill>
              <w14:schemeClr w14:val="tx1"/>
            </w14:solidFill>
          </w14:textFill>
        </w:rPr>
      </w:pPr>
      <w:r>
        <w:rPr>
          <w:rFonts w:hint="eastAsia" w:ascii="Times New Roman" w:hAnsi="Times New Roman" w:cs="Times New Roman"/>
          <w:b/>
          <w:bCs/>
          <w:i/>
          <w:iCs/>
          <w:color w:val="000000" w:themeColor="text1"/>
          <w:sz w:val="20"/>
          <w:szCs w:val="20"/>
          <w:lang w:val="en-US" w:eastAsia="zh-CN"/>
          <w14:textFill>
            <w14:solidFill>
              <w14:schemeClr w14:val="tx1"/>
            </w14:solidFill>
          </w14:textFill>
        </w:rPr>
        <w:t>Note</w:t>
      </w:r>
      <w:r>
        <w:rPr>
          <w:rFonts w:ascii="宋体" w:hAnsi="宋体" w:eastAsia="宋体" w:cs="宋体"/>
          <w:kern w:val="0"/>
          <w:sz w:val="24"/>
          <w:szCs w:val="24"/>
          <w:lang w:val="en-US" w:eastAsia="zh-CN" w:bidi="ar"/>
        </w:rPr>
        <w:t>:</w:t>
      </w:r>
      <w:r>
        <w:rPr>
          <w:rFonts w:ascii="Times New Roman" w:hAnsi="Times New Roman" w:cs="Times New Roman"/>
          <w:color w:val="000000" w:themeColor="text1"/>
          <w:sz w:val="20"/>
          <w:szCs w:val="20"/>
          <w:lang w:val="en-US" w:eastAsia="zh-CN"/>
          <w14:textFill>
            <w14:solidFill>
              <w14:schemeClr w14:val="tx1"/>
            </w14:solidFill>
          </w14:textFill>
        </w:rPr>
        <w:t xml:space="preserve"> CI, confidence interval; HIIT, high-intensity interval training; MICT, moderate-intensity continuous training. These analyses were performed to examine the influence of the three-arm Gonçalves trial that included two intervention-control comparisons sharing the same control group.</w:t>
      </w:r>
    </w:p>
    <w:p w14:paraId="10CA113F">
      <w:pPr>
        <w:spacing w:before="120" w:beforeLines="50" w:after="120" w:afterLines="50"/>
        <w:rPr>
          <w:rFonts w:ascii="Times New Roman" w:hAnsi="Times New Roman" w:cs="Times New Roman"/>
          <w:color w:val="000000" w:themeColor="text1"/>
          <w:sz w:val="20"/>
          <w:szCs w:val="20"/>
          <w14:textFill>
            <w14:solidFill>
              <w14:schemeClr w14:val="tx1"/>
            </w14:solidFill>
          </w14:textFill>
        </w:rPr>
        <w:sectPr>
          <w:pgSz w:w="15840" w:h="12240" w:orient="landscape"/>
          <w:pgMar w:top="792" w:right="648" w:bottom="792" w:left="648" w:header="708" w:footer="708" w:gutter="0"/>
          <w:cols w:space="708" w:num="1"/>
          <w:docGrid w:linePitch="360" w:charSpace="0"/>
        </w:sectPr>
      </w:pPr>
    </w:p>
    <w:p w14:paraId="11635200">
      <w:pPr>
        <w:spacing w:after="40"/>
        <w:rPr>
          <w:sz w:val="17"/>
        </w:rPr>
      </w:pPr>
    </w:p>
    <w:p w14:paraId="339F9565">
      <w:pPr>
        <w:rPr>
          <w:rFonts w:ascii="Times New Roman Bold" w:hAnsi="Times New Roman Bold" w:cs="Times New Roman Bold"/>
          <w:b/>
          <w:bCs/>
          <w:color w:val="376092"/>
          <w:sz w:val="28"/>
          <w:szCs w:val="28"/>
          <w:lang w:val="en-GB" w:eastAsia="zh-CN"/>
        </w:rPr>
      </w:pPr>
      <w:r>
        <w:rPr>
          <w:rFonts w:hint="eastAsia" w:ascii="Times New Roman Bold" w:hAnsi="Times New Roman Bold" w:cs="Times New Roman Bold"/>
          <w:b/>
          <w:bCs/>
          <w:color w:val="376092"/>
          <w:sz w:val="28"/>
          <w:szCs w:val="28"/>
          <w:lang w:val="en-GB" w:eastAsia="zh-CN"/>
        </w:rPr>
        <w:t>Figure S1. Risk of bias assessment</w:t>
      </w:r>
    </w:p>
    <w:p w14:paraId="0C33148B">
      <w:pPr>
        <w:jc w:val="center"/>
        <w:rPr>
          <w:color w:val="000000" w:themeColor="text1"/>
          <w14:textFill>
            <w14:solidFill>
              <w14:schemeClr w14:val="tx1"/>
            </w14:solidFill>
          </w14:textFill>
        </w:rPr>
      </w:pPr>
      <w:r>
        <w:rPr>
          <w:rFonts w:hint="eastAsia" w:eastAsia="宋体"/>
          <w:sz w:val="15"/>
          <w:szCs w:val="15"/>
          <w:lang w:val="en-GB" w:eastAsia="zh-CN"/>
        </w:rPr>
        <w:drawing>
          <wp:inline distT="0" distB="0" distL="114300" distR="114300">
            <wp:extent cx="3616325" cy="4822190"/>
            <wp:effectExtent l="0" t="0" r="15875" b="3810"/>
            <wp:docPr id="4" name="图片 4" descr="ROB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ROB2-2"/>
                    <pic:cNvPicPr>
                      <a:picLocks noChangeAspect="1"/>
                    </pic:cNvPicPr>
                  </pic:nvPicPr>
                  <pic:blipFill>
                    <a:blip r:embed="rId6"/>
                    <a:stretch>
                      <a:fillRect/>
                    </a:stretch>
                  </pic:blipFill>
                  <pic:spPr>
                    <a:xfrm>
                      <a:off x="0" y="0"/>
                      <a:ext cx="3616325" cy="4822190"/>
                    </a:xfrm>
                    <a:prstGeom prst="rect">
                      <a:avLst/>
                    </a:prstGeom>
                  </pic:spPr>
                </pic:pic>
              </a:graphicData>
            </a:graphic>
          </wp:inline>
        </w:drawing>
      </w:r>
    </w:p>
    <w:p w14:paraId="1EA7CB99">
      <w:pPr>
        <w:rPr>
          <w:rFonts w:eastAsia="宋体"/>
          <w:sz w:val="15"/>
          <w:szCs w:val="15"/>
          <w:lang w:val="en-GB" w:eastAsia="zh-CN"/>
        </w:rPr>
      </w:pPr>
    </w:p>
    <w:p w14:paraId="263A81C7">
      <w:pPr>
        <w:rPr>
          <w:rFonts w:ascii="Times New Roman Bold" w:hAnsi="Times New Roman Bold" w:cs="Times New Roman Bold"/>
          <w:b/>
          <w:bCs/>
          <w:color w:val="376092"/>
          <w:sz w:val="28"/>
          <w:szCs w:val="28"/>
        </w:rPr>
      </w:pPr>
      <w:r>
        <w:rPr>
          <w:rFonts w:hint="eastAsia" w:eastAsia="宋体"/>
          <w:sz w:val="15"/>
          <w:szCs w:val="15"/>
          <w:lang w:val="en-GB" w:eastAsia="zh-CN"/>
        </w:rPr>
        <w:drawing>
          <wp:inline distT="0" distB="0" distL="114300" distR="114300">
            <wp:extent cx="5398770" cy="1626235"/>
            <wp:effectExtent l="0" t="0" r="11430" b="24765"/>
            <wp:docPr id="3" name="图片 3" descr="RO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ROB2"/>
                    <pic:cNvPicPr>
                      <a:picLocks noChangeAspect="1"/>
                    </pic:cNvPicPr>
                  </pic:nvPicPr>
                  <pic:blipFill>
                    <a:blip r:embed="rId7"/>
                    <a:stretch>
                      <a:fillRect/>
                    </a:stretch>
                  </pic:blipFill>
                  <pic:spPr>
                    <a:xfrm>
                      <a:off x="0" y="0"/>
                      <a:ext cx="5398770" cy="1626235"/>
                    </a:xfrm>
                    <a:prstGeom prst="rect">
                      <a:avLst/>
                    </a:prstGeom>
                  </pic:spPr>
                </pic:pic>
              </a:graphicData>
            </a:graphic>
          </wp:inline>
        </w:drawing>
      </w:r>
    </w:p>
    <w:p w14:paraId="2D9176ED">
      <w:pPr>
        <w:rPr>
          <w:rFonts w:ascii="Times New Roman Bold" w:hAnsi="Times New Roman Bold" w:cs="Times New Roman Bold"/>
          <w:b/>
          <w:bCs/>
          <w:color w:val="376092"/>
          <w:sz w:val="28"/>
          <w:szCs w:val="28"/>
        </w:rPr>
      </w:pPr>
    </w:p>
    <w:p w14:paraId="408C2E73">
      <w:pPr>
        <w:rPr>
          <w:rFonts w:ascii="Times New Roman Bold" w:hAnsi="Times New Roman Bold" w:cs="Times New Roman Bold"/>
          <w:b/>
          <w:bCs/>
          <w:color w:val="376092"/>
          <w:sz w:val="28"/>
          <w:szCs w:val="28"/>
        </w:rPr>
      </w:pPr>
    </w:p>
    <w:p w14:paraId="5CDECF23">
      <w:pPr>
        <w:rPr>
          <w:rFonts w:ascii="Times New Roman Bold" w:hAnsi="Times New Roman Bold" w:cs="Times New Roman Bold"/>
          <w:b/>
          <w:bCs/>
          <w:color w:val="376092"/>
          <w:sz w:val="28"/>
          <w:szCs w:val="28"/>
        </w:rPr>
      </w:pPr>
    </w:p>
    <w:p w14:paraId="54C03EF7">
      <w:pPr>
        <w:rPr>
          <w:rFonts w:hint="eastAsia" w:ascii="Times New Roman Bold" w:hAnsi="Times New Roman Bold" w:cs="Times New Roman Bold"/>
          <w:b/>
          <w:bCs/>
          <w:color w:val="376092"/>
          <w:sz w:val="28"/>
          <w:szCs w:val="28"/>
          <w:lang w:val="en-GB" w:eastAsia="zh-CN"/>
        </w:rPr>
      </w:pPr>
    </w:p>
    <w:p w14:paraId="1A391388">
      <w:pPr>
        <w:rPr>
          <w:rFonts w:hint="eastAsia" w:ascii="Times New Roman Bold" w:hAnsi="Times New Roman Bold" w:cs="Times New Roman Bold"/>
          <w:b/>
          <w:bCs/>
          <w:color w:val="376092"/>
          <w:sz w:val="28"/>
          <w:szCs w:val="28"/>
          <w:lang w:val="en-GB" w:eastAsia="zh-CN"/>
        </w:rPr>
      </w:pPr>
    </w:p>
    <w:p w14:paraId="62A5F7AD">
      <w:pPr>
        <w:rPr>
          <w:rFonts w:hint="eastAsia" w:ascii="Times New Roman Bold" w:hAnsi="Times New Roman Bold" w:cs="Times New Roman Bold"/>
          <w:b/>
          <w:bCs/>
          <w:color w:val="376092"/>
          <w:sz w:val="28"/>
          <w:szCs w:val="28"/>
          <w:lang w:val="en-GB" w:eastAsia="zh-CN"/>
        </w:rPr>
      </w:pPr>
    </w:p>
    <w:p w14:paraId="6ABD57FD">
      <w:pPr>
        <w:rPr>
          <w:rFonts w:ascii="Times New Roman Bold" w:hAnsi="Times New Roman Bold" w:cs="Times New Roman Bold"/>
          <w:b/>
          <w:bCs/>
          <w:color w:val="376092"/>
          <w:sz w:val="28"/>
          <w:szCs w:val="28"/>
          <w:lang w:val="en-GB" w:eastAsia="zh-CN"/>
        </w:rPr>
      </w:pPr>
      <w:r>
        <w:rPr>
          <w:rFonts w:hint="eastAsia" w:ascii="Times New Roman Bold" w:hAnsi="Times New Roman Bold" w:cs="Times New Roman Bold"/>
          <w:b/>
          <w:bCs/>
          <w:color w:val="376092"/>
          <w:sz w:val="28"/>
          <w:szCs w:val="28"/>
          <w:lang w:val="en-GB" w:eastAsia="zh-CN"/>
        </w:rPr>
        <w:t>Figure S2. Funnel plot for assessment of small-study effects</w:t>
      </w:r>
    </w:p>
    <w:p w14:paraId="7CE582C9">
      <w:pPr>
        <w:jc w:val="center"/>
        <w:rPr>
          <w:rFonts w:eastAsia="宋体"/>
          <w:lang w:val="en-GB" w:eastAsia="zh-CN"/>
        </w:rPr>
      </w:pPr>
      <w:r>
        <w:rPr>
          <w:rFonts w:hint="eastAsia" w:eastAsia="宋体"/>
          <w:lang w:val="en-GB" w:eastAsia="zh-CN"/>
        </w:rPr>
        <w:drawing>
          <wp:inline distT="0" distB="0" distL="114300" distR="114300">
            <wp:extent cx="3491230" cy="3354070"/>
            <wp:effectExtent l="0" t="0" r="0" b="0"/>
            <wp:docPr id="2" name="图片 2" descr="日落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日落图"/>
                    <pic:cNvPicPr>
                      <a:picLocks noChangeAspect="1"/>
                    </pic:cNvPicPr>
                  </pic:nvPicPr>
                  <pic:blipFill>
                    <a:blip r:embed="rId8"/>
                    <a:stretch>
                      <a:fillRect/>
                    </a:stretch>
                  </pic:blipFill>
                  <pic:spPr>
                    <a:xfrm>
                      <a:off x="0" y="0"/>
                      <a:ext cx="3496022" cy="3358770"/>
                    </a:xfrm>
                    <a:prstGeom prst="rect">
                      <a:avLst/>
                    </a:prstGeom>
                  </pic:spPr>
                </pic:pic>
              </a:graphicData>
            </a:graphic>
          </wp:inline>
        </w:drawing>
      </w:r>
    </w:p>
    <w:p w14:paraId="0BD75F38">
      <w:pPr>
        <w:rPr>
          <w:rFonts w:eastAsia="宋体"/>
          <w:lang w:val="en-GB" w:eastAsia="zh-CN"/>
        </w:rPr>
      </w:pPr>
    </w:p>
    <w:p w14:paraId="606CA71B">
      <w:pPr>
        <w:rPr>
          <w:rFonts w:ascii="Times New Roman Bold" w:hAnsi="Times New Roman Bold" w:cs="Times New Roman Bold"/>
          <w:b/>
          <w:bCs/>
          <w:color w:val="376092"/>
          <w:sz w:val="28"/>
          <w:szCs w:val="28"/>
        </w:rPr>
      </w:pPr>
      <w:r>
        <w:rPr>
          <w:rFonts w:hint="eastAsia" w:ascii="Times New Roman Bold" w:hAnsi="Times New Roman Bold" w:cs="Times New Roman Bold"/>
          <w:b/>
          <w:bCs/>
          <w:color w:val="376092"/>
          <w:sz w:val="28"/>
          <w:szCs w:val="28"/>
          <w:lang w:val="en-GB" w:eastAsia="zh-CN"/>
        </w:rPr>
        <w:t>Figure S3. Contour-enhanced funnel plot for assessment of publication bias</w:t>
      </w:r>
    </w:p>
    <w:p w14:paraId="4353A6C0">
      <w:pPr>
        <w:jc w:val="center"/>
        <w:rPr>
          <w:rFonts w:ascii="Times New Roman Bold" w:hAnsi="Times New Roman Bold" w:cs="Times New Roman Bold"/>
          <w:b/>
          <w:bCs/>
          <w:color w:val="376092"/>
          <w:sz w:val="28"/>
          <w:szCs w:val="28"/>
        </w:rPr>
      </w:pPr>
      <w:r>
        <w:rPr>
          <w:rFonts w:hint="eastAsia" w:eastAsia="宋体"/>
          <w:lang w:val="en-GB" w:eastAsia="zh-CN"/>
        </w:rPr>
        <w:drawing>
          <wp:inline distT="0" distB="0" distL="0" distR="0">
            <wp:extent cx="4246880" cy="3707765"/>
            <wp:effectExtent l="0" t="0" r="1270" b="6985"/>
            <wp:docPr id="1" name="图片 1" descr="漏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漏斗图"/>
                    <pic:cNvPicPr>
                      <a:picLocks noChangeAspect="1"/>
                    </pic:cNvPicPr>
                  </pic:nvPicPr>
                  <pic:blipFill>
                    <a:blip r:embed="rId9" cstate="print">
                      <a:extLst>
                        <a:ext uri="{28A0092B-C50C-407E-A947-70E740481C1C}">
                          <a14:useLocalDpi xmlns:a14="http://schemas.microsoft.com/office/drawing/2010/main" val="0"/>
                        </a:ext>
                      </a:extLst>
                    </a:blip>
                    <a:srcRect t="8230"/>
                    <a:stretch>
                      <a:fillRect/>
                    </a:stretch>
                  </pic:blipFill>
                  <pic:spPr>
                    <a:xfrm>
                      <a:off x="0" y="0"/>
                      <a:ext cx="4246880" cy="3707996"/>
                    </a:xfrm>
                    <a:prstGeom prst="rect">
                      <a:avLst/>
                    </a:prstGeom>
                    <a:ln>
                      <a:noFill/>
                    </a:ln>
                  </pic:spPr>
                </pic:pic>
              </a:graphicData>
            </a:graphic>
          </wp:inline>
        </w:drawing>
      </w:r>
    </w:p>
    <w:p w14:paraId="00644F08">
      <w:pPr>
        <w:rPr>
          <w:rFonts w:ascii="Times New Roman Bold" w:hAnsi="Times New Roman Bold" w:eastAsia="宋体" w:cs="Times New Roman Bold"/>
          <w:b/>
          <w:bCs/>
          <w:color w:val="376092"/>
          <w:sz w:val="28"/>
          <w:szCs w:val="28"/>
          <w:lang w:eastAsia="zh-CN"/>
        </w:rPr>
      </w:pPr>
    </w:p>
    <w:p w14:paraId="311EE5AB">
      <w:pPr>
        <w:rPr>
          <w:rFonts w:hint="eastAsia" w:ascii="Times New Roman Bold" w:hAnsi="Times New Roman Bold" w:eastAsia="宋体" w:cs="Times New Roman Bold"/>
          <w:b/>
          <w:bCs/>
          <w:color w:val="376092"/>
          <w:sz w:val="28"/>
          <w:szCs w:val="28"/>
          <w:lang w:eastAsia="zh-CN"/>
        </w:rPr>
      </w:pPr>
    </w:p>
    <w:p w14:paraId="29C5C975">
      <w:pPr>
        <w:rPr>
          <w:rFonts w:ascii="Times New Roman Bold" w:hAnsi="Times New Roman Bold" w:eastAsia="宋体" w:cs="Times New Roman Bold"/>
          <w:b/>
          <w:bCs/>
          <w:color w:val="376092"/>
          <w:sz w:val="28"/>
          <w:szCs w:val="28"/>
          <w:lang w:eastAsia="zh-CN"/>
        </w:rPr>
      </w:pPr>
      <w:r>
        <w:rPr>
          <w:rFonts w:hint="eastAsia" w:ascii="Times New Roman Bold" w:hAnsi="Times New Roman Bold" w:eastAsia="宋体" w:cs="Times New Roman Bold"/>
          <w:b/>
          <w:bCs/>
          <w:color w:val="376092"/>
          <w:sz w:val="28"/>
          <w:szCs w:val="28"/>
          <w:lang w:eastAsia="zh-CN"/>
        </w:rPr>
        <w:t>Figure S4. Meta-regression of mean age</w:t>
      </w:r>
    </w:p>
    <w:p w14:paraId="23CE5C41">
      <w:pPr>
        <w:jc w:val="center"/>
        <w:rPr>
          <w:rFonts w:ascii="Times New Roman Bold" w:hAnsi="Times New Roman Bold" w:eastAsia="宋体" w:cs="Times New Roman Bold"/>
          <w:b/>
          <w:bCs/>
          <w:color w:val="376092"/>
          <w:sz w:val="28"/>
          <w:szCs w:val="28"/>
          <w:lang w:eastAsia="zh-CN"/>
        </w:rPr>
      </w:pPr>
      <w:r>
        <w:rPr>
          <w:rFonts w:hint="eastAsia" w:ascii="Times New Roman Bold" w:hAnsi="Times New Roman Bold" w:eastAsia="宋体" w:cs="Times New Roman Bold"/>
          <w:b/>
          <w:bCs/>
          <w:color w:val="376092"/>
          <w:sz w:val="28"/>
          <w:szCs w:val="28"/>
          <w:lang w:eastAsia="zh-CN"/>
        </w:rPr>
        <w:drawing>
          <wp:inline distT="0" distB="0" distL="114300" distR="114300">
            <wp:extent cx="3550285" cy="3163570"/>
            <wp:effectExtent l="0" t="0" r="5715" b="11430"/>
            <wp:docPr id="8" name="图片 8" descr="3.15年龄回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3.15年龄回归"/>
                    <pic:cNvPicPr>
                      <a:picLocks noChangeAspect="1"/>
                    </pic:cNvPicPr>
                  </pic:nvPicPr>
                  <pic:blipFill>
                    <a:blip r:embed="rId10"/>
                    <a:stretch>
                      <a:fillRect/>
                    </a:stretch>
                  </pic:blipFill>
                  <pic:spPr>
                    <a:xfrm>
                      <a:off x="0" y="0"/>
                      <a:ext cx="3550285" cy="3163570"/>
                    </a:xfrm>
                    <a:prstGeom prst="rect">
                      <a:avLst/>
                    </a:prstGeom>
                  </pic:spPr>
                </pic:pic>
              </a:graphicData>
            </a:graphic>
          </wp:inline>
        </w:drawing>
      </w:r>
    </w:p>
    <w:p w14:paraId="3EB5FFC8">
      <w:pPr>
        <w:rPr>
          <w:rFonts w:ascii="Times New Roman" w:hAnsi="Times New Roman" w:cs="Times New Roman"/>
          <w:color w:val="000000" w:themeColor="text1"/>
          <w:sz w:val="20"/>
          <w:szCs w:val="20"/>
          <w:lang w:val="en-GB" w:eastAsia="zh-CN"/>
          <w14:textFill>
            <w14:solidFill>
              <w14:schemeClr w14:val="tx1"/>
            </w14:solidFill>
          </w14:textFill>
        </w:rPr>
      </w:pPr>
      <w:r>
        <w:rPr>
          <w:rFonts w:hint="eastAsia" w:ascii="Times New Roman" w:hAnsi="Times New Roman" w:cs="Times New Roman"/>
          <w:b/>
          <w:bCs/>
          <w:i/>
          <w:iCs/>
          <w:color w:val="000000" w:themeColor="text1"/>
          <w:sz w:val="20"/>
          <w:szCs w:val="20"/>
          <w:lang w:val="en-GB" w:eastAsia="zh-CN"/>
          <w14:textFill>
            <w14:solidFill>
              <w14:schemeClr w14:val="tx1"/>
            </w14:solidFill>
          </w14:textFill>
        </w:rPr>
        <w:t>Figure S4</w:t>
      </w:r>
      <w:r>
        <w:rPr>
          <w:rFonts w:hint="eastAsia" w:ascii="Times New Roman" w:hAnsi="Times New Roman" w:cs="Times New Roman"/>
          <w:color w:val="000000" w:themeColor="text1"/>
          <w:sz w:val="20"/>
          <w:szCs w:val="20"/>
          <w:lang w:val="en-GB" w:eastAsia="zh-CN"/>
          <w14:textFill>
            <w14:solidFill>
              <w14:schemeClr w14:val="tx1"/>
            </w14:solidFill>
          </w14:textFill>
        </w:rPr>
        <w:t>. Meta-regression of mean age on HR-QoL outcomes. Each point represents an individual effect size, and point size is proportional to the inverse variance weight.</w:t>
      </w:r>
    </w:p>
    <w:p w14:paraId="67227126">
      <w:pPr>
        <w:rPr>
          <w:rFonts w:ascii="Times New Roman Bold" w:hAnsi="Times New Roman Bold" w:eastAsia="宋体" w:cs="Times New Roman Bold"/>
          <w:b/>
          <w:bCs/>
          <w:color w:val="376092"/>
          <w:sz w:val="28"/>
          <w:szCs w:val="28"/>
          <w:lang w:eastAsia="zh-CN"/>
        </w:rPr>
      </w:pPr>
      <w:r>
        <w:rPr>
          <w:rFonts w:hint="eastAsia" w:ascii="Times New Roman Bold" w:hAnsi="Times New Roman Bold" w:eastAsia="宋体" w:cs="Times New Roman Bold"/>
          <w:b/>
          <w:bCs/>
          <w:color w:val="376092"/>
          <w:sz w:val="28"/>
          <w:szCs w:val="28"/>
          <w:lang w:eastAsia="zh-CN"/>
        </w:rPr>
        <w:t>Figure S5. Meta-regression of exercise dose (MET·min/week)</w:t>
      </w:r>
    </w:p>
    <w:p w14:paraId="2F5BA250">
      <w:pPr>
        <w:jc w:val="center"/>
        <w:rPr>
          <w:rFonts w:ascii="Times New Roman Bold" w:hAnsi="Times New Roman Bold" w:eastAsia="宋体" w:cs="Times New Roman Bold"/>
          <w:b/>
          <w:bCs/>
          <w:color w:val="376092"/>
          <w:sz w:val="28"/>
          <w:szCs w:val="28"/>
          <w:lang w:eastAsia="zh-CN"/>
        </w:rPr>
      </w:pPr>
      <w:r>
        <w:rPr>
          <w:rFonts w:hint="eastAsia" w:ascii="Times New Roman Bold" w:hAnsi="Times New Roman Bold" w:eastAsia="宋体" w:cs="Times New Roman Bold"/>
          <w:b/>
          <w:bCs/>
          <w:color w:val="376092"/>
          <w:sz w:val="28"/>
          <w:szCs w:val="28"/>
          <w:lang w:eastAsia="zh-CN"/>
        </w:rPr>
        <w:drawing>
          <wp:inline distT="0" distB="0" distL="114300" distR="114300">
            <wp:extent cx="3463290" cy="3157220"/>
            <wp:effectExtent l="0" t="0" r="16510" b="17780"/>
            <wp:docPr id="6" name="图片 6" descr="1.31met回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31met回归"/>
                    <pic:cNvPicPr>
                      <a:picLocks noChangeAspect="1"/>
                    </pic:cNvPicPr>
                  </pic:nvPicPr>
                  <pic:blipFill>
                    <a:blip r:embed="rId11"/>
                    <a:srcRect t="-353" b="353"/>
                    <a:stretch>
                      <a:fillRect/>
                    </a:stretch>
                  </pic:blipFill>
                  <pic:spPr>
                    <a:xfrm>
                      <a:off x="0" y="0"/>
                      <a:ext cx="3463290" cy="3157220"/>
                    </a:xfrm>
                    <a:prstGeom prst="rect">
                      <a:avLst/>
                    </a:prstGeom>
                  </pic:spPr>
                </pic:pic>
              </a:graphicData>
            </a:graphic>
          </wp:inline>
        </w:drawing>
      </w:r>
    </w:p>
    <w:p w14:paraId="52079352">
      <w:pPr>
        <w:rPr>
          <w:rFonts w:eastAsia="宋体"/>
          <w:sz w:val="15"/>
          <w:szCs w:val="15"/>
          <w:lang w:val="en-GB" w:eastAsia="zh-CN"/>
        </w:rPr>
      </w:pPr>
      <w:r>
        <w:rPr>
          <w:rFonts w:hint="eastAsia" w:ascii="Times New Roman" w:hAnsi="Times New Roman" w:cs="Times New Roman"/>
          <w:b/>
          <w:bCs/>
          <w:i/>
          <w:iCs/>
          <w:color w:val="000000" w:themeColor="text1"/>
          <w:sz w:val="20"/>
          <w:szCs w:val="20"/>
          <w:lang w:val="en-GB" w:eastAsia="zh-CN"/>
          <w14:textFill>
            <w14:solidFill>
              <w14:schemeClr w14:val="tx1"/>
            </w14:solidFill>
          </w14:textFill>
        </w:rPr>
        <w:t>Figure S5</w:t>
      </w:r>
      <w:r>
        <w:rPr>
          <w:rFonts w:hint="eastAsia" w:ascii="Times New Roman" w:hAnsi="Times New Roman" w:cs="Times New Roman"/>
          <w:color w:val="000000" w:themeColor="text1"/>
          <w:sz w:val="20"/>
          <w:szCs w:val="20"/>
          <w:lang w:val="en-GB" w:eastAsia="zh-CN"/>
          <w14:textFill>
            <w14:solidFill>
              <w14:schemeClr w14:val="tx1"/>
            </w14:solidFill>
          </w14:textFill>
        </w:rPr>
        <w:t>. Meta-regression of exercise dose (MET·min/week) on HR-QoL outcomes. Each point represents an individual effect size, and point size is proportional to the inverse variance weight.</w:t>
      </w:r>
    </w:p>
    <w:sectPr>
      <w:pgSz w:w="12240" w:h="15840"/>
      <w:pgMar w:top="648" w:right="792" w:bottom="648" w:left="792"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DengXian">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Times New Roman Bold">
    <w:panose1 w:val="02020503050405090304"/>
    <w:charset w:val="00"/>
    <w:family w:val="auto"/>
    <w:pitch w:val="default"/>
    <w:sig w:usb0="E0000AFF" w:usb1="00007843" w:usb2="00000001" w:usb3="00000000" w:csb0="400001BF" w:csb1="DFF70000"/>
  </w:font>
  <w:font w:name="华文中宋">
    <w:panose1 w:val="02010600040101010101"/>
    <w:charset w:val="86"/>
    <w:family w:val="auto"/>
    <w:pitch w:val="default"/>
    <w:sig w:usb0="00000287" w:usb1="080F0000" w:usb2="00000000" w:usb3="00000000" w:csb0="0004009F" w:csb1="DFD70000"/>
  </w:font>
  <w:font w:name="Times New Roman Regular">
    <w:panose1 w:val="02020503050405090304"/>
    <w:charset w:val="00"/>
    <w:family w:val="auto"/>
    <w:pitch w:val="default"/>
    <w:sig w:usb0="E0000AFF" w:usb1="00007843" w:usb2="00000001" w:usb3="00000000" w:csb0="400001BF" w:csb1="DFF70000"/>
  </w:font>
  <w:font w:name="等线">
    <w:altName w:val="汉仪中等线KW"/>
    <w:panose1 w:val="02010600030101010101"/>
    <w:charset w:val="86"/>
    <w:family w:val="auto"/>
    <w:pitch w:val="default"/>
    <w:sig w:usb0="00000000" w:usb1="00000000" w:usb2="00000016" w:usb3="00000000" w:csb0="0004000F" w:csb1="00000000"/>
  </w:font>
  <w:font w:name="Arial">
    <w:panose1 w:val="020B06040202020902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0"/>
  <w:bordersDoNotSurroundFooter w:val="0"/>
  <w:documentProtection w:enforcement="0"/>
  <w:defaultTabStop w:val="720"/>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361"/>
    <w:rsid w:val="001F1F91"/>
    <w:rsid w:val="00202F90"/>
    <w:rsid w:val="00446CA4"/>
    <w:rsid w:val="0071406B"/>
    <w:rsid w:val="00811A08"/>
    <w:rsid w:val="008F58B4"/>
    <w:rsid w:val="00A5336F"/>
    <w:rsid w:val="00A72314"/>
    <w:rsid w:val="00A92FC7"/>
    <w:rsid w:val="00B54A97"/>
    <w:rsid w:val="00BB1361"/>
    <w:rsid w:val="00F2285A"/>
    <w:rsid w:val="00FD161C"/>
    <w:rsid w:val="1FFFF6AA"/>
    <w:rsid w:val="576EEDF7"/>
    <w:rsid w:val="63EB21A1"/>
    <w:rsid w:val="6FBD8C77"/>
    <w:rsid w:val="77D3AA20"/>
    <w:rsid w:val="77FE886B"/>
    <w:rsid w:val="77FF1541"/>
    <w:rsid w:val="7D3EA8D9"/>
    <w:rsid w:val="7DBB24EB"/>
    <w:rsid w:val="7ED22062"/>
    <w:rsid w:val="7EFF5701"/>
    <w:rsid w:val="7F7E8AFA"/>
    <w:rsid w:val="7FFB3BF3"/>
    <w:rsid w:val="99F99209"/>
    <w:rsid w:val="D5F23B2C"/>
    <w:rsid w:val="DE2D9184"/>
    <w:rsid w:val="DFB36AE8"/>
    <w:rsid w:val="EDBDB8C5"/>
    <w:rsid w:val="F6FF27E8"/>
    <w:rsid w:val="F76D33EB"/>
    <w:rsid w:val="FB138E5E"/>
    <w:rsid w:val="FDBD9553"/>
    <w:rsid w:val="FDF79B22"/>
    <w:rsid w:val="FFEFDCF2"/>
    <w:rsid w:val="FFF76E79"/>
    <w:rsid w:val="FFFF2DA6"/>
    <w:rsid w:val="FFFF6793"/>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uiPriority w:val="99"/>
    <w:pPr>
      <w:tabs>
        <w:tab w:val="center" w:pos="4153"/>
        <w:tab w:val="right" w:pos="8306"/>
      </w:tabs>
      <w:snapToGrid w:val="0"/>
      <w:spacing w:line="240" w:lineRule="auto"/>
    </w:pPr>
    <w:rPr>
      <w:sz w:val="18"/>
      <w:szCs w:val="18"/>
    </w:rPr>
  </w:style>
  <w:style w:type="paragraph" w:styleId="3">
    <w:name w:val="header"/>
    <w:basedOn w:val="1"/>
    <w:link w:val="8"/>
    <w:unhideWhenUsed/>
    <w:uiPriority w:val="99"/>
    <w:pPr>
      <w:tabs>
        <w:tab w:val="center" w:pos="4153"/>
        <w:tab w:val="right" w:pos="8306"/>
      </w:tabs>
      <w:snapToGrid w:val="0"/>
      <w:spacing w:line="240" w:lineRule="auto"/>
      <w:jc w:val="center"/>
    </w:pPr>
    <w:rPr>
      <w:sz w:val="18"/>
      <w:szCs w:val="18"/>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left="720"/>
      <w:contextualSpacing/>
    </w:pPr>
  </w:style>
  <w:style w:type="character" w:customStyle="1" w:styleId="8">
    <w:name w:val="页眉 字符"/>
    <w:basedOn w:val="6"/>
    <w:link w:val="3"/>
    <w:uiPriority w:val="99"/>
    <w:rPr>
      <w:rFonts w:asciiTheme="minorHAnsi" w:hAnsiTheme="minorHAnsi" w:eastAsiaTheme="minorHAnsi" w:cstheme="minorBidi"/>
      <w:sz w:val="18"/>
      <w:szCs w:val="18"/>
      <w:lang w:eastAsia="en-US"/>
    </w:rPr>
  </w:style>
  <w:style w:type="character" w:customStyle="1" w:styleId="9">
    <w:name w:val="页脚 字符"/>
    <w:basedOn w:val="6"/>
    <w:link w:val="2"/>
    <w:uiPriority w:val="99"/>
    <w:rPr>
      <w:rFonts w:asciiTheme="minorHAnsi" w:hAnsiTheme="minorHAnsi" w:eastAsiaTheme="minorHAnsi" w:cstheme="minorBidi"/>
      <w:sz w:val="18"/>
      <w:szCs w:val="18"/>
      <w:lang w:eastAsia="en-US"/>
    </w:rPr>
  </w:style>
  <w:style w:type="paragraph" w:customStyle="1" w:styleId="10">
    <w:name w:val="Default"/>
    <w:basedOn w:val="1"/>
    <w:uiPriority w:val="0"/>
    <w:pPr>
      <w:autoSpaceDE w:val="0"/>
      <w:autoSpaceDN w:val="0"/>
      <w:adjustRightInd w:val="0"/>
      <w:jc w:val="left"/>
    </w:pPr>
    <w:rPr>
      <w:rFonts w:ascii="Calibri" w:hAnsi="Calibri" w:eastAsia="DengXian" w:cs="Times New Roman"/>
      <w:color w:val="000000"/>
      <w:kern w:val="0"/>
      <w:sz w:val="24"/>
    </w:rPr>
  </w:style>
  <w:style w:type="paragraph" w:customStyle="1" w:styleId="11">
    <w:name w:val="CM1"/>
    <w:basedOn w:val="10"/>
    <w:uiPriority w:val="0"/>
    <w:rPr>
      <w:color w:val="auto"/>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2590</Words>
  <Characters>13215</Characters>
  <Lines>641</Lines>
  <Paragraphs>513</Paragraphs>
  <TotalTime>4</TotalTime>
  <ScaleCrop>false</ScaleCrop>
  <LinksUpToDate>false</LinksUpToDate>
  <CharactersWithSpaces>15256</CharactersWithSpaces>
  <Application>WPS Office_12.1.26016.26016_F1E327BC-269C-435d-A152-05C5408002CA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2026-03-19T13:12:00Z</dcterms:created>
  <dc:creator>j.angel.toval@gmail.com</dc:creator>
  <cp:lastModifiedBy>Jiaming</cp:lastModifiedBy>
  <dcterms:modified xsi:type="dcterms:W3CDTF">2026-06-19T20:13:24Z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2052-12.1.26016.26016</vt:lpwstr>
  </property>
  <property fmtid="{D5CDD505-2E9C-101B-9397-08002B2CF9AE}" pid="3" name="ICV">
    <vt:lpwstr>7BE7AA724400FD3473ECC46986C42067_43</vt:lpwstr>
  </property>
</Properties>
</file>