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60"/>
      </w:pPr>
      <w:r>
        <w:rPr>
          <w:rFonts w:ascii="Calibri" w:hAnsi="Calibri"/>
          <w:b/>
          <w:i w:val="0"/>
          <w:color w:val="000000"/>
          <w:sz w:val="36"/>
        </w:rPr>
        <w:t>Supplementary Materials</w:t>
      </w:r>
    </w:p>
    <w:p>
      <w:r>
        <w:rPr>
          <w:rFonts w:ascii="Calibri" w:hAnsi="Calibri"/>
          <w:b w:val="0"/>
          <w:i w:val="0"/>
          <w:sz w:val="20"/>
        </w:rPr>
        <w:t xml:space="preserve">Study: Early persistent-pattern acute kidney injury and short- and long-term mortality in critically ill patients with acute myocardial infarction: a 72-hour landmark cohort study using MIMIC-IV v3.1</w:t>
      </w:r>
    </w:p>
    <w:p>
      <w:pPr>
        <w:pStyle w:val="Heading1"/>
      </w:pPr>
      <w:r>
        <w:t>Supplementary Tables</w:t>
      </w:r>
    </w:p>
    <w:p>
      <w:pPr>
        <w:spacing w:before="160" w:after="80"/>
      </w:pPr>
      <w:r>
        <w:rPr>
          <w:rFonts w:ascii="Calibri" w:hAnsi="Calibri"/>
          <w:b/>
          <w:i w:val="0"/>
          <w:sz w:val="21"/>
        </w:rPr>
        <w:t xml:space="preserve">Supplementary Table S1. AMI diagnosis-code provenance in eligible hospitalizations and qualification status.</w:t>
      </w:r>
    </w:p>
    <w:p>
      <w:pPr>
        <w:spacing w:before="160" w:after="80"/>
      </w:pPr>
      <w:r>
        <w:t>The provenance query collected AMI-prefixed diagnoses co-recorded in eligible source-cohort hospitalizations: 17 ICD-9 and 17 ICD-10 code labels. Eligibility excluded ICD-9 codes with fifth digit 2. Thus, 41012, 41072, 41082 and 41092 were co-recorded diagnoses, not independently qualifying codes. Code-level counts are not additive across codes. The remaining 13 ICD-9 and 17 ICD-10 labels meet the eligibility code rule.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5" w:type="dxa"/>
          <w:bottom w:w="65" w:type="dxa"/>
          <w:left w:w="65" w:type="dxa"/>
          <w:right w:w="65" w:type="dxa"/>
        </w:tblCellMar>
      </w:tblPr>
      <w:tblGrid>
        <w:gridCol w:w="936"/>
        <w:gridCol w:w="1080"/>
        <w:gridCol w:w="7200"/>
        <w:gridCol w:w="1584"/>
        <w:gridCol w:w="1584"/>
        <w:gridCol w:w="1728"/>
      </w:tblGrid>
      <w:tr>
        <w:trPr>
          <w:tblHeader/>
          <w:cantSplit/>
          <w:cantSplit/>
          <w:tblHeader/>
        </w:trPr>
        <w:tc>
          <w:tcPr>
            <w:tcW w:type="dxa" w:w="936"/>
            <w:vAlign w:val="center"/>
            <w:shd w:fill="EAEAEA"/>
          </w:tcPr>
          <w:p>
            <w:pPr>
              <w:spacing w:before="0" w:after="0" w:line="240" w:lineRule="auto"/>
              <w:jc w:val="left"/>
            </w:pPr>
            <w:r>
              <w:rPr>
                <w:sz w:val="18"/>
                <w:b/>
              </w:rPr>
              <w:t>ICD version</w:t>
            </w:r>
          </w:p>
        </w:tc>
        <w:tc>
          <w:tcPr>
            <w:tcW w:type="dxa" w:w="1080"/>
            <w:vAlign w:val="center"/>
            <w:shd w:fill="EAEAEA"/>
          </w:tcPr>
          <w:p>
            <w:pPr>
              <w:spacing w:before="0" w:after="0" w:line="240" w:lineRule="auto"/>
              <w:jc w:val="center"/>
            </w:pPr>
            <w:r>
              <w:rPr>
                <w:sz w:val="18"/>
                <w:b/>
              </w:rPr>
              <w:t>Code</w:t>
            </w:r>
          </w:p>
        </w:tc>
        <w:tc>
          <w:tcPr>
            <w:tcW w:type="dxa" w:w="7200"/>
            <w:vAlign w:val="center"/>
            <w:shd w:fill="EAEAEA"/>
          </w:tcPr>
          <w:p>
            <w:pPr>
              <w:spacing w:before="0" w:after="0" w:line="240" w:lineRule="auto"/>
              <w:jc w:val="center"/>
            </w:pPr>
            <w:r>
              <w:rPr>
                <w:sz w:val="18"/>
                <w:b/>
              </w:rPr>
              <w:t>Diagnosis label</w:t>
            </w:r>
          </w:p>
        </w:tc>
        <w:tc>
          <w:tcPr>
            <w:tcW w:type="dxa" w:w="1584"/>
            <w:vAlign w:val="center"/>
            <w:shd w:fill="EAEAEA"/>
          </w:tcPr>
          <w:p>
            <w:pPr>
              <w:spacing w:before="0" w:after="0" w:line="240" w:lineRule="auto"/>
              <w:jc w:val="center"/>
            </w:pPr>
            <w:r>
              <w:rPr>
                <w:sz w:val="18"/>
                <w:b/>
              </w:rPr>
              <w:t>Admission count</w:t>
            </w:r>
          </w:p>
        </w:tc>
        <w:tc>
          <w:tcPr>
            <w:tcW w:type="dxa" w:w="1584"/>
            <w:vAlign w:val="center"/>
            <w:shd w:fill="EAEAEA"/>
          </w:tcPr>
          <w:p>
            <w:pPr>
              <w:spacing w:before="0" w:after="0" w:line="240" w:lineRule="auto"/>
              <w:jc w:val="center"/>
            </w:pPr>
            <w:r>
              <w:rPr>
                <w:sz w:val="18"/>
                <w:b/>
              </w:rPr>
              <w:t>Patient count</w:t>
            </w:r>
          </w:p>
        </w:tc>
        <w:tc>
          <w:tcPr>
            <w:tcW w:type="dxa" w:w="1728"/>
            <w:vAlign w:val="center"/>
            <w:shd w:fill="EAEAEA"/>
          </w:tcPr>
          <w:p>
            <w:pPr>
              <w:spacing w:before="0" w:after="0" w:line="240" w:lineRule="auto"/>
              <w:jc w:val="center"/>
            </w:pPr>
            <w:r>
              <w:rPr>
                <w:sz w:val="18"/>
                <w:b/>
              </w:rPr>
              <w:t>Qualifying code</w:t>
            </w:r>
          </w:p>
        </w:tc>
      </w:tr>
      <w:tr>
        <w:trPr>
          <w:cantSplit/>
          <w:cantSplit/>
        </w:trPr>
        <w:tc>
          <w:tcPr>
            <w:tcW w:type="dxa" w:w="936"/>
            <w:vAlign w:val="center"/>
          </w:tcPr>
          <w:p>
            <w:pPr>
              <w:spacing w:before="0" w:after="0" w:line="240" w:lineRule="auto"/>
              <w:jc w:val="left"/>
            </w:pPr>
            <w:r>
              <w:rPr>
                <w:sz w:val="18"/>
              </w:rPr>
              <w:t>9</w:t>
            </w:r>
          </w:p>
        </w:tc>
        <w:tc>
          <w:tcPr>
            <w:tcW w:type="dxa" w:w="1080"/>
            <w:vAlign w:val="center"/>
          </w:tcPr>
          <w:p>
            <w:pPr>
              <w:spacing w:before="0" w:after="0" w:line="240" w:lineRule="auto"/>
              <w:jc w:val="center"/>
            </w:pPr>
            <w:r>
              <w:rPr>
                <w:sz w:val="18"/>
              </w:rPr>
              <w:t>41001</w:t>
            </w:r>
          </w:p>
        </w:tc>
        <w:tc>
          <w:tcPr>
            <w:tcW w:type="dxa" w:w="7200"/>
            <w:vAlign w:val="center"/>
          </w:tcPr>
          <w:p>
            <w:pPr>
              <w:spacing w:before="0" w:after="0" w:line="240" w:lineRule="auto"/>
              <w:jc w:val="center"/>
            </w:pPr>
            <w:r>
              <w:rPr>
                <w:sz w:val="18"/>
              </w:rPr>
              <w:t>Acute myocardial infarction of anterolateral wall, initial episode of care</w:t>
            </w:r>
          </w:p>
        </w:tc>
        <w:tc>
          <w:tcPr>
            <w:tcW w:type="dxa" w:w="1584"/>
            <w:vAlign w:val="center"/>
          </w:tcPr>
          <w:p>
            <w:pPr>
              <w:spacing w:before="0" w:after="0" w:line="240" w:lineRule="auto"/>
              <w:jc w:val="center"/>
            </w:pPr>
            <w:r>
              <w:rPr>
                <w:sz w:val="18"/>
              </w:rPr>
              <w:t>86</w:t>
            </w:r>
          </w:p>
        </w:tc>
        <w:tc>
          <w:tcPr>
            <w:tcW w:type="dxa" w:w="1584"/>
            <w:vAlign w:val="center"/>
          </w:tcPr>
          <w:p>
            <w:pPr>
              <w:spacing w:before="0" w:after="0" w:line="240" w:lineRule="auto"/>
              <w:jc w:val="center"/>
            </w:pPr>
            <w:r>
              <w:rPr>
                <w:sz w:val="18"/>
              </w:rPr>
              <w:t>86</w:t>
            </w:r>
          </w:p>
        </w:tc>
        <w:tc>
          <w:tcPr>
            <w:tcW w:type="dxa" w:w="1728"/>
            <w:vAlign w:val="center"/>
          </w:tcPr>
          <w:p>
            <w:pPr>
              <w:spacing w:before="0" w:after="0" w:line="240" w:lineRule="auto"/>
              <w:jc w:val="center"/>
            </w:pPr>
            <w:r>
              <w:rPr>
                <w:sz w:val="18"/>
              </w:rPr>
              <w:t>Yes</w:t>
            </w:r>
          </w:p>
        </w:tc>
      </w:tr>
      <w:tr>
        <w:trPr>
          <w:cantSplit/>
          <w:cantSplit/>
        </w:trPr>
        <w:tc>
          <w:tcPr>
            <w:tcW w:type="dxa" w:w="936"/>
            <w:vAlign w:val="center"/>
          </w:tcPr>
          <w:p>
            <w:pPr>
              <w:spacing w:before="0" w:after="0" w:line="240" w:lineRule="auto"/>
              <w:jc w:val="left"/>
            </w:pPr>
            <w:r>
              <w:rPr>
                <w:sz w:val="18"/>
              </w:rPr>
              <w:t>9</w:t>
            </w:r>
          </w:p>
        </w:tc>
        <w:tc>
          <w:tcPr>
            <w:tcW w:type="dxa" w:w="1080"/>
            <w:vAlign w:val="center"/>
          </w:tcPr>
          <w:p>
            <w:pPr>
              <w:spacing w:before="0" w:after="0" w:line="240" w:lineRule="auto"/>
              <w:jc w:val="center"/>
            </w:pPr>
            <w:r>
              <w:rPr>
                <w:sz w:val="18"/>
              </w:rPr>
              <w:t>41010</w:t>
            </w:r>
          </w:p>
        </w:tc>
        <w:tc>
          <w:tcPr>
            <w:tcW w:type="dxa" w:w="7200"/>
            <w:vAlign w:val="center"/>
          </w:tcPr>
          <w:p>
            <w:pPr>
              <w:spacing w:before="0" w:after="0" w:line="240" w:lineRule="auto"/>
              <w:jc w:val="center"/>
            </w:pPr>
            <w:r>
              <w:rPr>
                <w:sz w:val="18"/>
              </w:rPr>
              <w:t>Acute myocardial infarction of other anterior wall, episode of care unspecified</w:t>
            </w:r>
          </w:p>
        </w:tc>
        <w:tc>
          <w:tcPr>
            <w:tcW w:type="dxa" w:w="1584"/>
            <w:vAlign w:val="center"/>
          </w:tcPr>
          <w:p>
            <w:pPr>
              <w:spacing w:before="0" w:after="0" w:line="240" w:lineRule="auto"/>
              <w:jc w:val="center"/>
            </w:pPr>
            <w:r>
              <w:rPr>
                <w:sz w:val="18"/>
              </w:rPr>
              <w:t>3</w:t>
            </w:r>
          </w:p>
        </w:tc>
        <w:tc>
          <w:tcPr>
            <w:tcW w:type="dxa" w:w="1584"/>
            <w:vAlign w:val="center"/>
          </w:tcPr>
          <w:p>
            <w:pPr>
              <w:spacing w:before="0" w:after="0" w:line="240" w:lineRule="auto"/>
              <w:jc w:val="center"/>
            </w:pPr>
            <w:r>
              <w:rPr>
                <w:sz w:val="18"/>
              </w:rPr>
              <w:t>3</w:t>
            </w:r>
          </w:p>
        </w:tc>
        <w:tc>
          <w:tcPr>
            <w:tcW w:type="dxa" w:w="1728"/>
            <w:vAlign w:val="center"/>
          </w:tcPr>
          <w:p>
            <w:pPr>
              <w:spacing w:before="0" w:after="0" w:line="240" w:lineRule="auto"/>
              <w:jc w:val="center"/>
            </w:pPr>
            <w:r>
              <w:rPr>
                <w:sz w:val="18"/>
              </w:rPr>
              <w:t>Yes</w:t>
            </w:r>
          </w:p>
        </w:tc>
      </w:tr>
      <w:tr>
        <w:trPr>
          <w:cantSplit/>
          <w:cantSplit/>
        </w:trPr>
        <w:tc>
          <w:tcPr>
            <w:tcW w:type="dxa" w:w="936"/>
            <w:vAlign w:val="center"/>
          </w:tcPr>
          <w:p>
            <w:pPr>
              <w:spacing w:before="0" w:after="0" w:line="240" w:lineRule="auto"/>
              <w:jc w:val="left"/>
            </w:pPr>
            <w:r>
              <w:rPr>
                <w:sz w:val="18"/>
              </w:rPr>
              <w:t>9</w:t>
            </w:r>
          </w:p>
        </w:tc>
        <w:tc>
          <w:tcPr>
            <w:tcW w:type="dxa" w:w="1080"/>
            <w:vAlign w:val="center"/>
          </w:tcPr>
          <w:p>
            <w:pPr>
              <w:spacing w:before="0" w:after="0" w:line="240" w:lineRule="auto"/>
              <w:jc w:val="center"/>
            </w:pPr>
            <w:r>
              <w:rPr>
                <w:sz w:val="18"/>
              </w:rPr>
              <w:t>41011</w:t>
            </w:r>
          </w:p>
        </w:tc>
        <w:tc>
          <w:tcPr>
            <w:tcW w:type="dxa" w:w="7200"/>
            <w:vAlign w:val="center"/>
          </w:tcPr>
          <w:p>
            <w:pPr>
              <w:spacing w:before="0" w:after="0" w:line="240" w:lineRule="auto"/>
              <w:jc w:val="center"/>
            </w:pPr>
            <w:r>
              <w:rPr>
                <w:sz w:val="18"/>
              </w:rPr>
              <w:t>Acute myocardial infarction of other anterior wall, initial episode of care</w:t>
            </w:r>
          </w:p>
        </w:tc>
        <w:tc>
          <w:tcPr>
            <w:tcW w:type="dxa" w:w="1584"/>
            <w:vAlign w:val="center"/>
          </w:tcPr>
          <w:p>
            <w:pPr>
              <w:spacing w:before="0" w:after="0" w:line="240" w:lineRule="auto"/>
              <w:jc w:val="center"/>
            </w:pPr>
            <w:r>
              <w:rPr>
                <w:sz w:val="18"/>
              </w:rPr>
              <w:t>243</w:t>
            </w:r>
          </w:p>
        </w:tc>
        <w:tc>
          <w:tcPr>
            <w:tcW w:type="dxa" w:w="1584"/>
            <w:vAlign w:val="center"/>
          </w:tcPr>
          <w:p>
            <w:pPr>
              <w:spacing w:before="0" w:after="0" w:line="240" w:lineRule="auto"/>
              <w:jc w:val="center"/>
            </w:pPr>
            <w:r>
              <w:rPr>
                <w:sz w:val="18"/>
              </w:rPr>
              <w:t>243</w:t>
            </w:r>
          </w:p>
        </w:tc>
        <w:tc>
          <w:tcPr>
            <w:tcW w:type="dxa" w:w="1728"/>
            <w:vAlign w:val="center"/>
          </w:tcPr>
          <w:p>
            <w:pPr>
              <w:spacing w:before="0" w:after="0" w:line="240" w:lineRule="auto"/>
              <w:jc w:val="center"/>
            </w:pPr>
            <w:r>
              <w:rPr>
                <w:sz w:val="18"/>
              </w:rPr>
              <w:t>Yes</w:t>
            </w:r>
          </w:p>
        </w:tc>
      </w:tr>
      <w:tr>
        <w:trPr>
          <w:cantSplit/>
          <w:cantSplit/>
        </w:trPr>
        <w:tc>
          <w:tcPr>
            <w:tcW w:type="dxa" w:w="936"/>
            <w:vAlign w:val="center"/>
          </w:tcPr>
          <w:p>
            <w:pPr>
              <w:spacing w:before="0" w:after="0" w:line="240" w:lineRule="auto"/>
              <w:jc w:val="left"/>
            </w:pPr>
            <w:r>
              <w:rPr>
                <w:sz w:val="18"/>
              </w:rPr>
              <w:t>9</w:t>
            </w:r>
          </w:p>
        </w:tc>
        <w:tc>
          <w:tcPr>
            <w:tcW w:type="dxa" w:w="1080"/>
            <w:vAlign w:val="center"/>
          </w:tcPr>
          <w:p>
            <w:pPr>
              <w:spacing w:before="0" w:after="0" w:line="240" w:lineRule="auto"/>
              <w:jc w:val="center"/>
            </w:pPr>
            <w:r>
              <w:rPr>
                <w:sz w:val="18"/>
              </w:rPr>
              <w:t>41012</w:t>
            </w:r>
          </w:p>
        </w:tc>
        <w:tc>
          <w:tcPr>
            <w:tcW w:type="dxa" w:w="7200"/>
            <w:vAlign w:val="center"/>
          </w:tcPr>
          <w:p>
            <w:pPr>
              <w:spacing w:before="0" w:after="0" w:line="240" w:lineRule="auto"/>
              <w:jc w:val="center"/>
            </w:pPr>
            <w:r>
              <w:rPr>
                <w:sz w:val="18"/>
              </w:rPr>
              <w:t>Acute myocardial infarction of other anterior wall, subsequent episode of care</w:t>
            </w:r>
          </w:p>
        </w:tc>
        <w:tc>
          <w:tcPr>
            <w:tcW w:type="dxa" w:w="1584"/>
            <w:vAlign w:val="center"/>
          </w:tcPr>
          <w:p>
            <w:pPr>
              <w:spacing w:before="0" w:after="0" w:line="240" w:lineRule="auto"/>
              <w:jc w:val="center"/>
            </w:pPr>
            <w:r>
              <w:rPr>
                <w:sz w:val="18"/>
              </w:rPr>
              <w:t>1</w:t>
            </w:r>
          </w:p>
        </w:tc>
        <w:tc>
          <w:tcPr>
            <w:tcW w:type="dxa" w:w="1584"/>
            <w:vAlign w:val="center"/>
          </w:tcPr>
          <w:p>
            <w:pPr>
              <w:spacing w:before="0" w:after="0" w:line="240" w:lineRule="auto"/>
              <w:jc w:val="center"/>
            </w:pPr>
            <w:r>
              <w:rPr>
                <w:sz w:val="18"/>
              </w:rPr>
              <w:t>1</w:t>
            </w:r>
          </w:p>
        </w:tc>
        <w:tc>
          <w:tcPr>
            <w:tcW w:type="dxa" w:w="1728"/>
            <w:vAlign w:val="center"/>
          </w:tcPr>
          <w:p>
            <w:pPr>
              <w:spacing w:before="0" w:after="0" w:line="240" w:lineRule="auto"/>
              <w:jc w:val="center"/>
            </w:pPr>
            <w:r>
              <w:rPr>
                <w:sz w:val="18"/>
              </w:rPr>
              <w:t>No, co-recorded</w:t>
            </w:r>
          </w:p>
        </w:tc>
      </w:tr>
      <w:tr>
        <w:trPr>
          <w:cantSplit/>
          <w:cantSplit/>
        </w:trPr>
        <w:tc>
          <w:tcPr>
            <w:tcW w:type="dxa" w:w="936"/>
            <w:vAlign w:val="center"/>
          </w:tcPr>
          <w:p>
            <w:pPr>
              <w:spacing w:before="0" w:after="0" w:line="240" w:lineRule="auto"/>
              <w:jc w:val="left"/>
            </w:pPr>
            <w:r>
              <w:rPr>
                <w:sz w:val="18"/>
              </w:rPr>
              <w:t>9</w:t>
            </w:r>
          </w:p>
        </w:tc>
        <w:tc>
          <w:tcPr>
            <w:tcW w:type="dxa" w:w="1080"/>
            <w:vAlign w:val="center"/>
          </w:tcPr>
          <w:p>
            <w:pPr>
              <w:spacing w:before="0" w:after="0" w:line="240" w:lineRule="auto"/>
              <w:jc w:val="center"/>
            </w:pPr>
            <w:r>
              <w:rPr>
                <w:sz w:val="18"/>
              </w:rPr>
              <w:t>41021</w:t>
            </w:r>
          </w:p>
        </w:tc>
        <w:tc>
          <w:tcPr>
            <w:tcW w:type="dxa" w:w="7200"/>
            <w:vAlign w:val="center"/>
          </w:tcPr>
          <w:p>
            <w:pPr>
              <w:spacing w:before="0" w:after="0" w:line="240" w:lineRule="auto"/>
              <w:jc w:val="center"/>
            </w:pPr>
            <w:r>
              <w:rPr>
                <w:sz w:val="18"/>
              </w:rPr>
              <w:t>Acute myocardial infarction of inferolateral wall, initial episode of care</w:t>
            </w:r>
          </w:p>
        </w:tc>
        <w:tc>
          <w:tcPr>
            <w:tcW w:type="dxa" w:w="1584"/>
            <w:vAlign w:val="center"/>
          </w:tcPr>
          <w:p>
            <w:pPr>
              <w:spacing w:before="0" w:after="0" w:line="240" w:lineRule="auto"/>
              <w:jc w:val="center"/>
            </w:pPr>
            <w:r>
              <w:rPr>
                <w:sz w:val="18"/>
              </w:rPr>
              <w:t>75</w:t>
            </w:r>
          </w:p>
        </w:tc>
        <w:tc>
          <w:tcPr>
            <w:tcW w:type="dxa" w:w="1584"/>
            <w:vAlign w:val="center"/>
          </w:tcPr>
          <w:p>
            <w:pPr>
              <w:spacing w:before="0" w:after="0" w:line="240" w:lineRule="auto"/>
              <w:jc w:val="center"/>
            </w:pPr>
            <w:r>
              <w:rPr>
                <w:sz w:val="18"/>
              </w:rPr>
              <w:t>75</w:t>
            </w:r>
          </w:p>
        </w:tc>
        <w:tc>
          <w:tcPr>
            <w:tcW w:type="dxa" w:w="1728"/>
            <w:vAlign w:val="center"/>
          </w:tcPr>
          <w:p>
            <w:pPr>
              <w:spacing w:before="0" w:after="0" w:line="240" w:lineRule="auto"/>
              <w:jc w:val="center"/>
            </w:pPr>
            <w:r>
              <w:rPr>
                <w:sz w:val="18"/>
              </w:rPr>
              <w:t>Yes</w:t>
            </w:r>
          </w:p>
        </w:tc>
      </w:tr>
      <w:tr>
        <w:trPr>
          <w:cantSplit/>
          <w:cantSplit/>
        </w:trPr>
        <w:tc>
          <w:tcPr>
            <w:tcW w:type="dxa" w:w="936"/>
            <w:vAlign w:val="center"/>
          </w:tcPr>
          <w:p>
            <w:pPr>
              <w:spacing w:before="0" w:after="0" w:line="240" w:lineRule="auto"/>
              <w:jc w:val="left"/>
            </w:pPr>
            <w:r>
              <w:rPr>
                <w:sz w:val="18"/>
              </w:rPr>
              <w:t>9</w:t>
            </w:r>
          </w:p>
        </w:tc>
        <w:tc>
          <w:tcPr>
            <w:tcW w:type="dxa" w:w="1080"/>
            <w:vAlign w:val="center"/>
          </w:tcPr>
          <w:p>
            <w:pPr>
              <w:spacing w:before="0" w:after="0" w:line="240" w:lineRule="auto"/>
              <w:jc w:val="center"/>
            </w:pPr>
            <w:r>
              <w:rPr>
                <w:sz w:val="18"/>
              </w:rPr>
              <w:t>41031</w:t>
            </w:r>
          </w:p>
        </w:tc>
        <w:tc>
          <w:tcPr>
            <w:tcW w:type="dxa" w:w="7200"/>
            <w:vAlign w:val="center"/>
          </w:tcPr>
          <w:p>
            <w:pPr>
              <w:spacing w:before="0" w:after="0" w:line="240" w:lineRule="auto"/>
              <w:jc w:val="center"/>
            </w:pPr>
            <w:r>
              <w:rPr>
                <w:sz w:val="18"/>
              </w:rPr>
              <w:t>Acute myocardial infarction of inferoposterior wall, initial episode of care</w:t>
            </w:r>
          </w:p>
        </w:tc>
        <w:tc>
          <w:tcPr>
            <w:tcW w:type="dxa" w:w="1584"/>
            <w:vAlign w:val="center"/>
          </w:tcPr>
          <w:p>
            <w:pPr>
              <w:spacing w:before="0" w:after="0" w:line="240" w:lineRule="auto"/>
              <w:jc w:val="center"/>
            </w:pPr>
            <w:r>
              <w:rPr>
                <w:sz w:val="18"/>
              </w:rPr>
              <w:t>69</w:t>
            </w:r>
          </w:p>
        </w:tc>
        <w:tc>
          <w:tcPr>
            <w:tcW w:type="dxa" w:w="1584"/>
            <w:vAlign w:val="center"/>
          </w:tcPr>
          <w:p>
            <w:pPr>
              <w:spacing w:before="0" w:after="0" w:line="240" w:lineRule="auto"/>
              <w:jc w:val="center"/>
            </w:pPr>
            <w:r>
              <w:rPr>
                <w:sz w:val="18"/>
              </w:rPr>
              <w:t>69</w:t>
            </w:r>
          </w:p>
        </w:tc>
        <w:tc>
          <w:tcPr>
            <w:tcW w:type="dxa" w:w="1728"/>
            <w:vAlign w:val="center"/>
          </w:tcPr>
          <w:p>
            <w:pPr>
              <w:spacing w:before="0" w:after="0" w:line="240" w:lineRule="auto"/>
              <w:jc w:val="center"/>
            </w:pPr>
            <w:r>
              <w:rPr>
                <w:sz w:val="18"/>
              </w:rPr>
              <w:t>Yes</w:t>
            </w:r>
          </w:p>
        </w:tc>
      </w:tr>
      <w:tr>
        <w:trPr>
          <w:cantSplit/>
          <w:cantSplit/>
        </w:trPr>
        <w:tc>
          <w:tcPr>
            <w:tcW w:type="dxa" w:w="936"/>
            <w:vAlign w:val="center"/>
          </w:tcPr>
          <w:p>
            <w:pPr>
              <w:spacing w:before="0" w:after="0" w:line="240" w:lineRule="auto"/>
              <w:jc w:val="left"/>
            </w:pPr>
            <w:r>
              <w:rPr>
                <w:sz w:val="18"/>
              </w:rPr>
              <w:t>9</w:t>
            </w:r>
          </w:p>
        </w:tc>
        <w:tc>
          <w:tcPr>
            <w:tcW w:type="dxa" w:w="1080"/>
            <w:vAlign w:val="center"/>
          </w:tcPr>
          <w:p>
            <w:pPr>
              <w:spacing w:before="0" w:after="0" w:line="240" w:lineRule="auto"/>
              <w:jc w:val="center"/>
            </w:pPr>
            <w:r>
              <w:rPr>
                <w:sz w:val="18"/>
              </w:rPr>
              <w:t>41040</w:t>
            </w:r>
          </w:p>
        </w:tc>
        <w:tc>
          <w:tcPr>
            <w:tcW w:type="dxa" w:w="7200"/>
            <w:vAlign w:val="center"/>
          </w:tcPr>
          <w:p>
            <w:pPr>
              <w:spacing w:before="0" w:after="0" w:line="240" w:lineRule="auto"/>
              <w:jc w:val="center"/>
            </w:pPr>
            <w:r>
              <w:rPr>
                <w:sz w:val="18"/>
              </w:rPr>
              <w:t>Acute myocardial infarction of other inferior wall, episode of care unspecified</w:t>
            </w:r>
          </w:p>
        </w:tc>
        <w:tc>
          <w:tcPr>
            <w:tcW w:type="dxa" w:w="1584"/>
            <w:vAlign w:val="center"/>
          </w:tcPr>
          <w:p>
            <w:pPr>
              <w:spacing w:before="0" w:after="0" w:line="240" w:lineRule="auto"/>
              <w:jc w:val="center"/>
            </w:pPr>
            <w:r>
              <w:rPr>
                <w:sz w:val="18"/>
              </w:rPr>
              <w:t>1</w:t>
            </w:r>
          </w:p>
        </w:tc>
        <w:tc>
          <w:tcPr>
            <w:tcW w:type="dxa" w:w="1584"/>
            <w:vAlign w:val="center"/>
          </w:tcPr>
          <w:p>
            <w:pPr>
              <w:spacing w:before="0" w:after="0" w:line="240" w:lineRule="auto"/>
              <w:jc w:val="center"/>
            </w:pPr>
            <w:r>
              <w:rPr>
                <w:sz w:val="18"/>
              </w:rPr>
              <w:t>1</w:t>
            </w:r>
          </w:p>
        </w:tc>
        <w:tc>
          <w:tcPr>
            <w:tcW w:type="dxa" w:w="1728"/>
            <w:vAlign w:val="center"/>
          </w:tcPr>
          <w:p>
            <w:pPr>
              <w:spacing w:before="0" w:after="0" w:line="240" w:lineRule="auto"/>
              <w:jc w:val="center"/>
            </w:pPr>
            <w:r>
              <w:rPr>
                <w:sz w:val="18"/>
              </w:rPr>
              <w:t>Yes</w:t>
            </w:r>
          </w:p>
        </w:tc>
      </w:tr>
      <w:tr>
        <w:trPr>
          <w:cantSplit/>
          <w:cantSplit/>
        </w:trPr>
        <w:tc>
          <w:tcPr>
            <w:tcW w:type="dxa" w:w="936"/>
            <w:vAlign w:val="center"/>
          </w:tcPr>
          <w:p>
            <w:pPr>
              <w:spacing w:before="0" w:after="0" w:line="240" w:lineRule="auto"/>
              <w:jc w:val="left"/>
            </w:pPr>
            <w:r>
              <w:rPr>
                <w:sz w:val="18"/>
              </w:rPr>
              <w:t>9</w:t>
            </w:r>
          </w:p>
        </w:tc>
        <w:tc>
          <w:tcPr>
            <w:tcW w:type="dxa" w:w="1080"/>
            <w:vAlign w:val="center"/>
          </w:tcPr>
          <w:p>
            <w:pPr>
              <w:spacing w:before="0" w:after="0" w:line="240" w:lineRule="auto"/>
              <w:jc w:val="center"/>
            </w:pPr>
            <w:r>
              <w:rPr>
                <w:sz w:val="18"/>
              </w:rPr>
              <w:t>41041</w:t>
            </w:r>
          </w:p>
        </w:tc>
        <w:tc>
          <w:tcPr>
            <w:tcW w:type="dxa" w:w="7200"/>
            <w:vAlign w:val="center"/>
          </w:tcPr>
          <w:p>
            <w:pPr>
              <w:spacing w:before="0" w:after="0" w:line="240" w:lineRule="auto"/>
              <w:jc w:val="center"/>
            </w:pPr>
            <w:r>
              <w:rPr>
                <w:sz w:val="18"/>
              </w:rPr>
              <w:t>Acute myocardial infarction of other inferior wall, initial episode of care</w:t>
            </w:r>
          </w:p>
        </w:tc>
        <w:tc>
          <w:tcPr>
            <w:tcW w:type="dxa" w:w="1584"/>
            <w:vAlign w:val="center"/>
          </w:tcPr>
          <w:p>
            <w:pPr>
              <w:spacing w:before="0" w:after="0" w:line="240" w:lineRule="auto"/>
              <w:jc w:val="center"/>
            </w:pPr>
            <w:r>
              <w:rPr>
                <w:sz w:val="18"/>
              </w:rPr>
              <w:t>282</w:t>
            </w:r>
          </w:p>
        </w:tc>
        <w:tc>
          <w:tcPr>
            <w:tcW w:type="dxa" w:w="1584"/>
            <w:vAlign w:val="center"/>
          </w:tcPr>
          <w:p>
            <w:pPr>
              <w:spacing w:before="0" w:after="0" w:line="240" w:lineRule="auto"/>
              <w:jc w:val="center"/>
            </w:pPr>
            <w:r>
              <w:rPr>
                <w:sz w:val="18"/>
              </w:rPr>
              <w:t>282</w:t>
            </w:r>
          </w:p>
        </w:tc>
        <w:tc>
          <w:tcPr>
            <w:tcW w:type="dxa" w:w="1728"/>
            <w:vAlign w:val="center"/>
          </w:tcPr>
          <w:p>
            <w:pPr>
              <w:spacing w:before="0" w:after="0" w:line="240" w:lineRule="auto"/>
              <w:jc w:val="center"/>
            </w:pPr>
            <w:r>
              <w:rPr>
                <w:sz w:val="18"/>
              </w:rPr>
              <w:t>Yes</w:t>
            </w:r>
          </w:p>
        </w:tc>
      </w:tr>
      <w:tr>
        <w:trPr>
          <w:cantSplit/>
          <w:cantSplit/>
        </w:trPr>
        <w:tc>
          <w:tcPr>
            <w:tcW w:type="dxa" w:w="936"/>
            <w:vAlign w:val="center"/>
          </w:tcPr>
          <w:p>
            <w:pPr>
              <w:spacing w:before="0" w:after="0" w:line="240" w:lineRule="auto"/>
              <w:jc w:val="left"/>
            </w:pPr>
            <w:r>
              <w:rPr>
                <w:sz w:val="18"/>
              </w:rPr>
              <w:t>9</w:t>
            </w:r>
          </w:p>
        </w:tc>
        <w:tc>
          <w:tcPr>
            <w:tcW w:type="dxa" w:w="1080"/>
            <w:vAlign w:val="center"/>
          </w:tcPr>
          <w:p>
            <w:pPr>
              <w:spacing w:before="0" w:after="0" w:line="240" w:lineRule="auto"/>
              <w:jc w:val="center"/>
            </w:pPr>
            <w:r>
              <w:rPr>
                <w:sz w:val="18"/>
              </w:rPr>
              <w:t>41051</w:t>
            </w:r>
          </w:p>
        </w:tc>
        <w:tc>
          <w:tcPr>
            <w:tcW w:type="dxa" w:w="7200"/>
            <w:vAlign w:val="center"/>
          </w:tcPr>
          <w:p>
            <w:pPr>
              <w:spacing w:before="0" w:after="0" w:line="240" w:lineRule="auto"/>
              <w:jc w:val="center"/>
            </w:pPr>
            <w:r>
              <w:rPr>
                <w:sz w:val="18"/>
              </w:rPr>
              <w:t>Acute myocardial infarction of other lateral wall, initial episode of care</w:t>
            </w:r>
          </w:p>
        </w:tc>
        <w:tc>
          <w:tcPr>
            <w:tcW w:type="dxa" w:w="1584"/>
            <w:vAlign w:val="center"/>
          </w:tcPr>
          <w:p>
            <w:pPr>
              <w:spacing w:before="0" w:after="0" w:line="240" w:lineRule="auto"/>
              <w:jc w:val="center"/>
            </w:pPr>
            <w:r>
              <w:rPr>
                <w:sz w:val="18"/>
              </w:rPr>
              <w:t>28</w:t>
            </w:r>
          </w:p>
        </w:tc>
        <w:tc>
          <w:tcPr>
            <w:tcW w:type="dxa" w:w="1584"/>
            <w:vAlign w:val="center"/>
          </w:tcPr>
          <w:p>
            <w:pPr>
              <w:spacing w:before="0" w:after="0" w:line="240" w:lineRule="auto"/>
              <w:jc w:val="center"/>
            </w:pPr>
            <w:r>
              <w:rPr>
                <w:sz w:val="18"/>
              </w:rPr>
              <w:t>28</w:t>
            </w:r>
          </w:p>
        </w:tc>
        <w:tc>
          <w:tcPr>
            <w:tcW w:type="dxa" w:w="1728"/>
            <w:vAlign w:val="center"/>
          </w:tcPr>
          <w:p>
            <w:pPr>
              <w:spacing w:before="0" w:after="0" w:line="240" w:lineRule="auto"/>
              <w:jc w:val="center"/>
            </w:pPr>
            <w:r>
              <w:rPr>
                <w:sz w:val="18"/>
              </w:rPr>
              <w:t>Yes</w:t>
            </w:r>
          </w:p>
        </w:tc>
      </w:tr>
      <w:tr>
        <w:trPr>
          <w:cantSplit/>
          <w:cantSplit/>
        </w:trPr>
        <w:tc>
          <w:tcPr>
            <w:tcW w:type="dxa" w:w="936"/>
            <w:vAlign w:val="center"/>
          </w:tcPr>
          <w:p>
            <w:pPr>
              <w:spacing w:before="0" w:after="0" w:line="240" w:lineRule="auto"/>
              <w:jc w:val="left"/>
            </w:pPr>
            <w:r>
              <w:rPr>
                <w:sz w:val="18"/>
              </w:rPr>
              <w:t>9</w:t>
            </w:r>
          </w:p>
        </w:tc>
        <w:tc>
          <w:tcPr>
            <w:tcW w:type="dxa" w:w="1080"/>
            <w:vAlign w:val="center"/>
          </w:tcPr>
          <w:p>
            <w:pPr>
              <w:spacing w:before="0" w:after="0" w:line="240" w:lineRule="auto"/>
              <w:jc w:val="center"/>
            </w:pPr>
            <w:r>
              <w:rPr>
                <w:sz w:val="18"/>
              </w:rPr>
              <w:t>41061</w:t>
            </w:r>
          </w:p>
        </w:tc>
        <w:tc>
          <w:tcPr>
            <w:tcW w:type="dxa" w:w="7200"/>
            <w:vAlign w:val="center"/>
          </w:tcPr>
          <w:p>
            <w:pPr>
              <w:spacing w:before="0" w:after="0" w:line="240" w:lineRule="auto"/>
              <w:jc w:val="center"/>
            </w:pPr>
            <w:r>
              <w:rPr>
                <w:sz w:val="18"/>
              </w:rPr>
              <w:t>True posterior wall infarction, initial episode of care</w:t>
            </w:r>
          </w:p>
        </w:tc>
        <w:tc>
          <w:tcPr>
            <w:tcW w:type="dxa" w:w="1584"/>
            <w:vAlign w:val="center"/>
          </w:tcPr>
          <w:p>
            <w:pPr>
              <w:spacing w:before="0" w:after="0" w:line="240" w:lineRule="auto"/>
              <w:jc w:val="center"/>
            </w:pPr>
            <w:r>
              <w:rPr>
                <w:sz w:val="18"/>
              </w:rPr>
              <w:t>16</w:t>
            </w:r>
          </w:p>
        </w:tc>
        <w:tc>
          <w:tcPr>
            <w:tcW w:type="dxa" w:w="1584"/>
            <w:vAlign w:val="center"/>
          </w:tcPr>
          <w:p>
            <w:pPr>
              <w:spacing w:before="0" w:after="0" w:line="240" w:lineRule="auto"/>
              <w:jc w:val="center"/>
            </w:pPr>
            <w:r>
              <w:rPr>
                <w:sz w:val="18"/>
              </w:rPr>
              <w:t>16</w:t>
            </w:r>
          </w:p>
        </w:tc>
        <w:tc>
          <w:tcPr>
            <w:tcW w:type="dxa" w:w="1728"/>
            <w:vAlign w:val="center"/>
          </w:tcPr>
          <w:p>
            <w:pPr>
              <w:spacing w:before="0" w:after="0" w:line="240" w:lineRule="auto"/>
              <w:jc w:val="center"/>
            </w:pPr>
            <w:r>
              <w:rPr>
                <w:sz w:val="18"/>
              </w:rPr>
              <w:t>Yes</w:t>
            </w:r>
          </w:p>
        </w:tc>
      </w:tr>
      <w:tr>
        <w:trPr>
          <w:cantSplit/>
          <w:cantSplit/>
        </w:trPr>
        <w:tc>
          <w:tcPr>
            <w:tcW w:type="dxa" w:w="936"/>
            <w:vAlign w:val="center"/>
          </w:tcPr>
          <w:p>
            <w:pPr>
              <w:spacing w:before="0" w:after="0" w:line="240" w:lineRule="auto"/>
              <w:jc w:val="left"/>
            </w:pPr>
            <w:r>
              <w:rPr>
                <w:sz w:val="18"/>
              </w:rPr>
              <w:t>9</w:t>
            </w:r>
          </w:p>
        </w:tc>
        <w:tc>
          <w:tcPr>
            <w:tcW w:type="dxa" w:w="1080"/>
            <w:vAlign w:val="center"/>
          </w:tcPr>
          <w:p>
            <w:pPr>
              <w:spacing w:before="0" w:after="0" w:line="240" w:lineRule="auto"/>
              <w:jc w:val="center"/>
            </w:pPr>
            <w:r>
              <w:rPr>
                <w:sz w:val="18"/>
              </w:rPr>
              <w:t>41071</w:t>
            </w:r>
          </w:p>
        </w:tc>
        <w:tc>
          <w:tcPr>
            <w:tcW w:type="dxa" w:w="7200"/>
            <w:vAlign w:val="center"/>
          </w:tcPr>
          <w:p>
            <w:pPr>
              <w:spacing w:before="0" w:after="0" w:line="240" w:lineRule="auto"/>
              <w:jc w:val="center"/>
            </w:pPr>
            <w:r>
              <w:rPr>
                <w:sz w:val="18"/>
              </w:rPr>
              <w:t>Subendocardial infarction, initial episode of care</w:t>
            </w:r>
          </w:p>
        </w:tc>
        <w:tc>
          <w:tcPr>
            <w:tcW w:type="dxa" w:w="1584"/>
            <w:vAlign w:val="center"/>
          </w:tcPr>
          <w:p>
            <w:pPr>
              <w:spacing w:before="0" w:after="0" w:line="240" w:lineRule="auto"/>
              <w:jc w:val="center"/>
            </w:pPr>
            <w:r>
              <w:rPr>
                <w:sz w:val="18"/>
              </w:rPr>
              <w:t>1872</w:t>
            </w:r>
          </w:p>
        </w:tc>
        <w:tc>
          <w:tcPr>
            <w:tcW w:type="dxa" w:w="1584"/>
            <w:vAlign w:val="center"/>
          </w:tcPr>
          <w:p>
            <w:pPr>
              <w:spacing w:before="0" w:after="0" w:line="240" w:lineRule="auto"/>
              <w:jc w:val="center"/>
            </w:pPr>
            <w:r>
              <w:rPr>
                <w:sz w:val="18"/>
              </w:rPr>
              <w:t>1872</w:t>
            </w:r>
          </w:p>
        </w:tc>
        <w:tc>
          <w:tcPr>
            <w:tcW w:type="dxa" w:w="1728"/>
            <w:vAlign w:val="center"/>
          </w:tcPr>
          <w:p>
            <w:pPr>
              <w:spacing w:before="0" w:after="0" w:line="240" w:lineRule="auto"/>
              <w:jc w:val="center"/>
            </w:pPr>
            <w:r>
              <w:rPr>
                <w:sz w:val="18"/>
              </w:rPr>
              <w:t>Yes</w:t>
            </w:r>
          </w:p>
        </w:tc>
      </w:tr>
      <w:tr>
        <w:trPr>
          <w:cantSplit/>
          <w:cantSplit/>
        </w:trPr>
        <w:tc>
          <w:tcPr>
            <w:tcW w:type="dxa" w:w="936"/>
            <w:vAlign w:val="center"/>
          </w:tcPr>
          <w:p>
            <w:pPr>
              <w:spacing w:before="0" w:after="0" w:line="240" w:lineRule="auto"/>
              <w:jc w:val="left"/>
            </w:pPr>
            <w:r>
              <w:rPr>
                <w:sz w:val="18"/>
              </w:rPr>
              <w:t>9</w:t>
            </w:r>
          </w:p>
        </w:tc>
        <w:tc>
          <w:tcPr>
            <w:tcW w:type="dxa" w:w="1080"/>
            <w:vAlign w:val="center"/>
          </w:tcPr>
          <w:p>
            <w:pPr>
              <w:spacing w:before="0" w:after="0" w:line="240" w:lineRule="auto"/>
              <w:jc w:val="center"/>
            </w:pPr>
            <w:r>
              <w:rPr>
                <w:sz w:val="18"/>
              </w:rPr>
              <w:t>41072</w:t>
            </w:r>
          </w:p>
        </w:tc>
        <w:tc>
          <w:tcPr>
            <w:tcW w:type="dxa" w:w="7200"/>
            <w:vAlign w:val="center"/>
          </w:tcPr>
          <w:p>
            <w:pPr>
              <w:spacing w:before="0" w:after="0" w:line="240" w:lineRule="auto"/>
              <w:jc w:val="center"/>
            </w:pPr>
            <w:r>
              <w:rPr>
                <w:sz w:val="18"/>
              </w:rPr>
              <w:t>Subendocardial infarction, subsequent episode of care</w:t>
            </w:r>
          </w:p>
        </w:tc>
        <w:tc>
          <w:tcPr>
            <w:tcW w:type="dxa" w:w="1584"/>
            <w:vAlign w:val="center"/>
          </w:tcPr>
          <w:p>
            <w:pPr>
              <w:spacing w:before="0" w:after="0" w:line="240" w:lineRule="auto"/>
              <w:jc w:val="center"/>
            </w:pPr>
            <w:r>
              <w:rPr>
                <w:sz w:val="18"/>
              </w:rPr>
              <w:t>11</w:t>
            </w:r>
          </w:p>
        </w:tc>
        <w:tc>
          <w:tcPr>
            <w:tcW w:type="dxa" w:w="1584"/>
            <w:vAlign w:val="center"/>
          </w:tcPr>
          <w:p>
            <w:pPr>
              <w:spacing w:before="0" w:after="0" w:line="240" w:lineRule="auto"/>
              <w:jc w:val="center"/>
            </w:pPr>
            <w:r>
              <w:rPr>
                <w:sz w:val="18"/>
              </w:rPr>
              <w:t>11</w:t>
            </w:r>
          </w:p>
        </w:tc>
        <w:tc>
          <w:tcPr>
            <w:tcW w:type="dxa" w:w="1728"/>
            <w:vAlign w:val="center"/>
          </w:tcPr>
          <w:p>
            <w:pPr>
              <w:spacing w:before="0" w:after="0" w:line="240" w:lineRule="auto"/>
              <w:jc w:val="center"/>
            </w:pPr>
            <w:r>
              <w:rPr>
                <w:sz w:val="18"/>
              </w:rPr>
              <w:t>No, co-recorded</w:t>
            </w:r>
          </w:p>
        </w:tc>
      </w:tr>
      <w:tr>
        <w:trPr>
          <w:cantSplit/>
          <w:cantSplit/>
        </w:trPr>
        <w:tc>
          <w:tcPr>
            <w:tcW w:type="dxa" w:w="936"/>
            <w:vAlign w:val="center"/>
          </w:tcPr>
          <w:p>
            <w:pPr>
              <w:spacing w:before="0" w:after="0" w:line="240" w:lineRule="auto"/>
              <w:jc w:val="left"/>
            </w:pPr>
            <w:r>
              <w:rPr>
                <w:sz w:val="18"/>
              </w:rPr>
              <w:t>9</w:t>
            </w:r>
          </w:p>
        </w:tc>
        <w:tc>
          <w:tcPr>
            <w:tcW w:type="dxa" w:w="1080"/>
            <w:vAlign w:val="center"/>
          </w:tcPr>
          <w:p>
            <w:pPr>
              <w:spacing w:before="0" w:after="0" w:line="240" w:lineRule="auto"/>
              <w:jc w:val="center"/>
            </w:pPr>
            <w:r>
              <w:rPr>
                <w:sz w:val="18"/>
              </w:rPr>
              <w:t>41081</w:t>
            </w:r>
          </w:p>
        </w:tc>
        <w:tc>
          <w:tcPr>
            <w:tcW w:type="dxa" w:w="7200"/>
            <w:vAlign w:val="center"/>
          </w:tcPr>
          <w:p>
            <w:pPr>
              <w:spacing w:before="0" w:after="0" w:line="240" w:lineRule="auto"/>
              <w:jc w:val="center"/>
            </w:pPr>
            <w:r>
              <w:rPr>
                <w:sz w:val="18"/>
              </w:rPr>
              <w:t>Acute myocardial infarction of other specified sites, initial episode of care</w:t>
            </w:r>
          </w:p>
        </w:tc>
        <w:tc>
          <w:tcPr>
            <w:tcW w:type="dxa" w:w="1584"/>
            <w:vAlign w:val="center"/>
          </w:tcPr>
          <w:p>
            <w:pPr>
              <w:spacing w:before="0" w:after="0" w:line="240" w:lineRule="auto"/>
              <w:jc w:val="center"/>
            </w:pPr>
            <w:r>
              <w:rPr>
                <w:sz w:val="18"/>
              </w:rPr>
              <w:t>26</w:t>
            </w:r>
          </w:p>
        </w:tc>
        <w:tc>
          <w:tcPr>
            <w:tcW w:type="dxa" w:w="1584"/>
            <w:vAlign w:val="center"/>
          </w:tcPr>
          <w:p>
            <w:pPr>
              <w:spacing w:before="0" w:after="0" w:line="240" w:lineRule="auto"/>
              <w:jc w:val="center"/>
            </w:pPr>
            <w:r>
              <w:rPr>
                <w:sz w:val="18"/>
              </w:rPr>
              <w:t>26</w:t>
            </w:r>
          </w:p>
        </w:tc>
        <w:tc>
          <w:tcPr>
            <w:tcW w:type="dxa" w:w="1728"/>
            <w:vAlign w:val="center"/>
          </w:tcPr>
          <w:p>
            <w:pPr>
              <w:spacing w:before="0" w:after="0" w:line="240" w:lineRule="auto"/>
              <w:jc w:val="center"/>
            </w:pPr>
            <w:r>
              <w:rPr>
                <w:sz w:val="18"/>
              </w:rPr>
              <w:t>Yes</w:t>
            </w:r>
          </w:p>
        </w:tc>
      </w:tr>
      <w:tr>
        <w:trPr>
          <w:cantSplit/>
          <w:cantSplit/>
        </w:trPr>
        <w:tc>
          <w:tcPr>
            <w:tcW w:type="dxa" w:w="936"/>
            <w:vAlign w:val="center"/>
          </w:tcPr>
          <w:p>
            <w:pPr>
              <w:spacing w:before="0" w:after="0" w:line="240" w:lineRule="auto"/>
              <w:jc w:val="left"/>
            </w:pPr>
            <w:r>
              <w:rPr>
                <w:sz w:val="18"/>
              </w:rPr>
              <w:t>9</w:t>
            </w:r>
          </w:p>
        </w:tc>
        <w:tc>
          <w:tcPr>
            <w:tcW w:type="dxa" w:w="1080"/>
            <w:vAlign w:val="center"/>
          </w:tcPr>
          <w:p>
            <w:pPr>
              <w:spacing w:before="0" w:after="0" w:line="240" w:lineRule="auto"/>
              <w:jc w:val="center"/>
            </w:pPr>
            <w:r>
              <w:rPr>
                <w:sz w:val="18"/>
              </w:rPr>
              <w:t>41082</w:t>
            </w:r>
          </w:p>
        </w:tc>
        <w:tc>
          <w:tcPr>
            <w:tcW w:type="dxa" w:w="7200"/>
            <w:vAlign w:val="center"/>
          </w:tcPr>
          <w:p>
            <w:pPr>
              <w:spacing w:before="0" w:after="0" w:line="240" w:lineRule="auto"/>
              <w:jc w:val="center"/>
            </w:pPr>
            <w:r>
              <w:rPr>
                <w:sz w:val="18"/>
              </w:rPr>
              <w:t>Acute myocardial infarction of other specified sites, subsequent episode of care</w:t>
            </w:r>
          </w:p>
        </w:tc>
        <w:tc>
          <w:tcPr>
            <w:tcW w:type="dxa" w:w="1584"/>
            <w:vAlign w:val="center"/>
          </w:tcPr>
          <w:p>
            <w:pPr>
              <w:spacing w:before="0" w:after="0" w:line="240" w:lineRule="auto"/>
              <w:jc w:val="center"/>
            </w:pPr>
            <w:r>
              <w:rPr>
                <w:sz w:val="18"/>
              </w:rPr>
              <w:t>1</w:t>
            </w:r>
          </w:p>
        </w:tc>
        <w:tc>
          <w:tcPr>
            <w:tcW w:type="dxa" w:w="1584"/>
            <w:vAlign w:val="center"/>
          </w:tcPr>
          <w:p>
            <w:pPr>
              <w:spacing w:before="0" w:after="0" w:line="240" w:lineRule="auto"/>
              <w:jc w:val="center"/>
            </w:pPr>
            <w:r>
              <w:rPr>
                <w:sz w:val="18"/>
              </w:rPr>
              <w:t>1</w:t>
            </w:r>
          </w:p>
        </w:tc>
        <w:tc>
          <w:tcPr>
            <w:tcW w:type="dxa" w:w="1728"/>
            <w:vAlign w:val="center"/>
          </w:tcPr>
          <w:p>
            <w:pPr>
              <w:spacing w:before="0" w:after="0" w:line="240" w:lineRule="auto"/>
              <w:jc w:val="center"/>
            </w:pPr>
            <w:r>
              <w:rPr>
                <w:sz w:val="18"/>
              </w:rPr>
              <w:t>No, co-recorded</w:t>
            </w:r>
          </w:p>
        </w:tc>
      </w:tr>
      <w:tr>
        <w:trPr>
          <w:cantSplit/>
          <w:cantSplit/>
        </w:trPr>
        <w:tc>
          <w:tcPr>
            <w:tcW w:type="dxa" w:w="936"/>
            <w:vAlign w:val="center"/>
          </w:tcPr>
          <w:p>
            <w:pPr>
              <w:spacing w:before="0" w:after="0" w:line="240" w:lineRule="auto"/>
              <w:jc w:val="left"/>
            </w:pPr>
            <w:r>
              <w:rPr>
                <w:sz w:val="18"/>
              </w:rPr>
              <w:t>9</w:t>
            </w:r>
          </w:p>
        </w:tc>
        <w:tc>
          <w:tcPr>
            <w:tcW w:type="dxa" w:w="1080"/>
            <w:vAlign w:val="center"/>
          </w:tcPr>
          <w:p>
            <w:pPr>
              <w:spacing w:before="0" w:after="0" w:line="240" w:lineRule="auto"/>
              <w:jc w:val="center"/>
            </w:pPr>
            <w:r>
              <w:rPr>
                <w:sz w:val="18"/>
              </w:rPr>
              <w:t>41090</w:t>
            </w:r>
          </w:p>
        </w:tc>
        <w:tc>
          <w:tcPr>
            <w:tcW w:type="dxa" w:w="7200"/>
            <w:vAlign w:val="center"/>
          </w:tcPr>
          <w:p>
            <w:pPr>
              <w:spacing w:before="0" w:after="0" w:line="240" w:lineRule="auto"/>
              <w:jc w:val="center"/>
            </w:pPr>
            <w:r>
              <w:rPr>
                <w:sz w:val="18"/>
              </w:rPr>
              <w:t>Acute myocardial infarction of unspecified site, episode of care unspecified</w:t>
            </w:r>
          </w:p>
        </w:tc>
        <w:tc>
          <w:tcPr>
            <w:tcW w:type="dxa" w:w="1584"/>
            <w:vAlign w:val="center"/>
          </w:tcPr>
          <w:p>
            <w:pPr>
              <w:spacing w:before="0" w:after="0" w:line="240" w:lineRule="auto"/>
              <w:jc w:val="center"/>
            </w:pPr>
            <w:r>
              <w:rPr>
                <w:sz w:val="18"/>
              </w:rPr>
              <w:t>2</w:t>
            </w:r>
          </w:p>
        </w:tc>
        <w:tc>
          <w:tcPr>
            <w:tcW w:type="dxa" w:w="1584"/>
            <w:vAlign w:val="center"/>
          </w:tcPr>
          <w:p>
            <w:pPr>
              <w:spacing w:before="0" w:after="0" w:line="240" w:lineRule="auto"/>
              <w:jc w:val="center"/>
            </w:pPr>
            <w:r>
              <w:rPr>
                <w:sz w:val="18"/>
              </w:rPr>
              <w:t>2</w:t>
            </w:r>
          </w:p>
        </w:tc>
        <w:tc>
          <w:tcPr>
            <w:tcW w:type="dxa" w:w="1728"/>
            <w:vAlign w:val="center"/>
          </w:tcPr>
          <w:p>
            <w:pPr>
              <w:spacing w:before="0" w:after="0" w:line="240" w:lineRule="auto"/>
              <w:jc w:val="center"/>
            </w:pPr>
            <w:r>
              <w:rPr>
                <w:sz w:val="18"/>
              </w:rPr>
              <w:t>Yes</w:t>
            </w:r>
          </w:p>
        </w:tc>
      </w:tr>
      <w:tr>
        <w:trPr>
          <w:cantSplit/>
          <w:cantSplit/>
        </w:trPr>
        <w:tc>
          <w:tcPr>
            <w:tcW w:type="dxa" w:w="936"/>
            <w:vAlign w:val="center"/>
          </w:tcPr>
          <w:p>
            <w:pPr>
              <w:spacing w:before="0" w:after="0" w:line="240" w:lineRule="auto"/>
              <w:jc w:val="left"/>
            </w:pPr>
            <w:r>
              <w:rPr>
                <w:sz w:val="18"/>
              </w:rPr>
              <w:t>9</w:t>
            </w:r>
          </w:p>
        </w:tc>
        <w:tc>
          <w:tcPr>
            <w:tcW w:type="dxa" w:w="1080"/>
            <w:vAlign w:val="center"/>
          </w:tcPr>
          <w:p>
            <w:pPr>
              <w:spacing w:before="0" w:after="0" w:line="240" w:lineRule="auto"/>
              <w:jc w:val="center"/>
            </w:pPr>
            <w:r>
              <w:rPr>
                <w:sz w:val="18"/>
              </w:rPr>
              <w:t>41091</w:t>
            </w:r>
          </w:p>
        </w:tc>
        <w:tc>
          <w:tcPr>
            <w:tcW w:type="dxa" w:w="7200"/>
            <w:vAlign w:val="center"/>
          </w:tcPr>
          <w:p>
            <w:pPr>
              <w:spacing w:before="0" w:after="0" w:line="240" w:lineRule="auto"/>
              <w:jc w:val="center"/>
            </w:pPr>
            <w:r>
              <w:rPr>
                <w:sz w:val="18"/>
              </w:rPr>
              <w:t>Acute myocardial infarction of unspecified site, initial episode of care</w:t>
            </w:r>
          </w:p>
        </w:tc>
        <w:tc>
          <w:tcPr>
            <w:tcW w:type="dxa" w:w="1584"/>
            <w:vAlign w:val="center"/>
          </w:tcPr>
          <w:p>
            <w:pPr>
              <w:spacing w:before="0" w:after="0" w:line="240" w:lineRule="auto"/>
              <w:jc w:val="center"/>
            </w:pPr>
            <w:r>
              <w:rPr>
                <w:sz w:val="18"/>
              </w:rPr>
              <w:t>164</w:t>
            </w:r>
          </w:p>
        </w:tc>
        <w:tc>
          <w:tcPr>
            <w:tcW w:type="dxa" w:w="1584"/>
            <w:vAlign w:val="center"/>
          </w:tcPr>
          <w:p>
            <w:pPr>
              <w:spacing w:before="0" w:after="0" w:line="240" w:lineRule="auto"/>
              <w:jc w:val="center"/>
            </w:pPr>
            <w:r>
              <w:rPr>
                <w:sz w:val="18"/>
              </w:rPr>
              <w:t>164</w:t>
            </w:r>
          </w:p>
        </w:tc>
        <w:tc>
          <w:tcPr>
            <w:tcW w:type="dxa" w:w="1728"/>
            <w:vAlign w:val="center"/>
          </w:tcPr>
          <w:p>
            <w:pPr>
              <w:spacing w:before="0" w:after="0" w:line="240" w:lineRule="auto"/>
              <w:jc w:val="center"/>
            </w:pPr>
            <w:r>
              <w:rPr>
                <w:sz w:val="18"/>
              </w:rPr>
              <w:t>Yes</w:t>
            </w:r>
          </w:p>
        </w:tc>
      </w:tr>
      <w:tr>
        <w:trPr>
          <w:cantSplit/>
          <w:cantSplit/>
        </w:trPr>
        <w:tc>
          <w:tcPr>
            <w:tcW w:type="dxa" w:w="936"/>
            <w:vAlign w:val="center"/>
          </w:tcPr>
          <w:p>
            <w:pPr>
              <w:spacing w:before="0" w:after="0" w:line="240" w:lineRule="auto"/>
              <w:jc w:val="left"/>
            </w:pPr>
            <w:r>
              <w:rPr>
                <w:sz w:val="18"/>
              </w:rPr>
              <w:t>9</w:t>
            </w:r>
          </w:p>
        </w:tc>
        <w:tc>
          <w:tcPr>
            <w:tcW w:type="dxa" w:w="1080"/>
            <w:vAlign w:val="center"/>
          </w:tcPr>
          <w:p>
            <w:pPr>
              <w:spacing w:before="0" w:after="0" w:line="240" w:lineRule="auto"/>
              <w:jc w:val="center"/>
            </w:pPr>
            <w:r>
              <w:rPr>
                <w:sz w:val="18"/>
              </w:rPr>
              <w:t>41092</w:t>
            </w:r>
          </w:p>
        </w:tc>
        <w:tc>
          <w:tcPr>
            <w:tcW w:type="dxa" w:w="7200"/>
            <w:vAlign w:val="center"/>
          </w:tcPr>
          <w:p>
            <w:pPr>
              <w:spacing w:before="0" w:after="0" w:line="240" w:lineRule="auto"/>
              <w:jc w:val="center"/>
            </w:pPr>
            <w:r>
              <w:rPr>
                <w:sz w:val="18"/>
              </w:rPr>
              <w:t>Acute myocardial infarction of unspecified site, subsequent episode of care</w:t>
            </w:r>
          </w:p>
        </w:tc>
        <w:tc>
          <w:tcPr>
            <w:tcW w:type="dxa" w:w="1584"/>
            <w:vAlign w:val="center"/>
          </w:tcPr>
          <w:p>
            <w:pPr>
              <w:spacing w:before="0" w:after="0" w:line="240" w:lineRule="auto"/>
              <w:jc w:val="center"/>
            </w:pPr>
            <w:r>
              <w:rPr>
                <w:sz w:val="18"/>
              </w:rPr>
              <w:t>1</w:t>
            </w:r>
          </w:p>
        </w:tc>
        <w:tc>
          <w:tcPr>
            <w:tcW w:type="dxa" w:w="1584"/>
            <w:vAlign w:val="center"/>
          </w:tcPr>
          <w:p>
            <w:pPr>
              <w:spacing w:before="0" w:after="0" w:line="240" w:lineRule="auto"/>
              <w:jc w:val="center"/>
            </w:pPr>
            <w:r>
              <w:rPr>
                <w:sz w:val="18"/>
              </w:rPr>
              <w:t>1</w:t>
            </w:r>
          </w:p>
        </w:tc>
        <w:tc>
          <w:tcPr>
            <w:tcW w:type="dxa" w:w="1728"/>
            <w:vAlign w:val="center"/>
          </w:tcPr>
          <w:p>
            <w:pPr>
              <w:spacing w:before="0" w:after="0" w:line="240" w:lineRule="auto"/>
              <w:jc w:val="center"/>
            </w:pPr>
            <w:r>
              <w:rPr>
                <w:sz w:val="18"/>
              </w:rPr>
              <w:t>No, co-recorded</w:t>
            </w:r>
          </w:p>
        </w:tc>
      </w:tr>
      <w:tr>
        <w:trPr>
          <w:cantSplit/>
          <w:cantSplit/>
        </w:trPr>
        <w:tc>
          <w:tcPr>
            <w:tcW w:type="dxa" w:w="936"/>
            <w:vAlign w:val="center"/>
          </w:tcPr>
          <w:p>
            <w:pPr>
              <w:spacing w:before="0" w:after="0" w:line="240" w:lineRule="auto"/>
              <w:jc w:val="left"/>
            </w:pPr>
            <w:r>
              <w:rPr>
                <w:sz w:val="18"/>
              </w:rPr>
              <w:t>10</w:t>
            </w:r>
          </w:p>
        </w:tc>
        <w:tc>
          <w:tcPr>
            <w:tcW w:type="dxa" w:w="1080"/>
            <w:vAlign w:val="center"/>
          </w:tcPr>
          <w:p>
            <w:pPr>
              <w:spacing w:before="0" w:after="0" w:line="240" w:lineRule="auto"/>
              <w:jc w:val="center"/>
            </w:pPr>
            <w:r>
              <w:rPr>
                <w:sz w:val="18"/>
              </w:rPr>
              <w:t>I2101</w:t>
            </w:r>
          </w:p>
        </w:tc>
        <w:tc>
          <w:tcPr>
            <w:tcW w:type="dxa" w:w="7200"/>
            <w:vAlign w:val="center"/>
          </w:tcPr>
          <w:p>
            <w:pPr>
              <w:spacing w:before="0" w:after="0" w:line="240" w:lineRule="auto"/>
              <w:jc w:val="center"/>
            </w:pPr>
            <w:r>
              <w:rPr>
                <w:sz w:val="18"/>
              </w:rPr>
              <w:t>ST elevation (STEMI) myocardial infarction involving left main coronary artery</w:t>
            </w:r>
          </w:p>
        </w:tc>
        <w:tc>
          <w:tcPr>
            <w:tcW w:type="dxa" w:w="1584"/>
            <w:vAlign w:val="center"/>
          </w:tcPr>
          <w:p>
            <w:pPr>
              <w:spacing w:before="0" w:after="0" w:line="240" w:lineRule="auto"/>
              <w:jc w:val="center"/>
            </w:pPr>
            <w:r>
              <w:rPr>
                <w:sz w:val="18"/>
              </w:rPr>
              <w:t>15</w:t>
            </w:r>
          </w:p>
        </w:tc>
        <w:tc>
          <w:tcPr>
            <w:tcW w:type="dxa" w:w="1584"/>
            <w:vAlign w:val="center"/>
          </w:tcPr>
          <w:p>
            <w:pPr>
              <w:spacing w:before="0" w:after="0" w:line="240" w:lineRule="auto"/>
              <w:jc w:val="center"/>
            </w:pPr>
            <w:r>
              <w:rPr>
                <w:sz w:val="18"/>
              </w:rPr>
              <w:t>15</w:t>
            </w:r>
          </w:p>
        </w:tc>
        <w:tc>
          <w:tcPr>
            <w:tcW w:type="dxa" w:w="1728"/>
            <w:vAlign w:val="center"/>
          </w:tcPr>
          <w:p>
            <w:pPr>
              <w:spacing w:before="0" w:after="0" w:line="240" w:lineRule="auto"/>
              <w:jc w:val="center"/>
            </w:pPr>
            <w:r>
              <w:rPr>
                <w:sz w:val="18"/>
              </w:rPr>
              <w:t>Yes</w:t>
            </w:r>
          </w:p>
        </w:tc>
      </w:tr>
      <w:tr>
        <w:trPr>
          <w:cantSplit/>
          <w:cantSplit/>
        </w:trPr>
        <w:tc>
          <w:tcPr>
            <w:tcW w:type="dxa" w:w="936"/>
            <w:vAlign w:val="center"/>
          </w:tcPr>
          <w:p>
            <w:pPr>
              <w:spacing w:before="0" w:after="0" w:line="240" w:lineRule="auto"/>
              <w:jc w:val="left"/>
            </w:pPr>
            <w:r>
              <w:rPr>
                <w:sz w:val="18"/>
              </w:rPr>
              <w:t>10</w:t>
            </w:r>
          </w:p>
        </w:tc>
        <w:tc>
          <w:tcPr>
            <w:tcW w:type="dxa" w:w="1080"/>
            <w:vAlign w:val="center"/>
          </w:tcPr>
          <w:p>
            <w:pPr>
              <w:spacing w:before="0" w:after="0" w:line="240" w:lineRule="auto"/>
              <w:jc w:val="center"/>
            </w:pPr>
            <w:r>
              <w:rPr>
                <w:sz w:val="18"/>
              </w:rPr>
              <w:t>I2102</w:t>
            </w:r>
          </w:p>
        </w:tc>
        <w:tc>
          <w:tcPr>
            <w:tcW w:type="dxa" w:w="7200"/>
            <w:vAlign w:val="center"/>
          </w:tcPr>
          <w:p>
            <w:pPr>
              <w:spacing w:before="0" w:after="0" w:line="240" w:lineRule="auto"/>
              <w:jc w:val="center"/>
            </w:pPr>
            <w:r>
              <w:rPr>
                <w:sz w:val="18"/>
              </w:rPr>
              <w:t>ST elevation (STEMI) myocardial infarction involving left anterior descending coronary artery</w:t>
            </w:r>
          </w:p>
        </w:tc>
        <w:tc>
          <w:tcPr>
            <w:tcW w:type="dxa" w:w="1584"/>
            <w:vAlign w:val="center"/>
          </w:tcPr>
          <w:p>
            <w:pPr>
              <w:spacing w:before="0" w:after="0" w:line="240" w:lineRule="auto"/>
              <w:jc w:val="center"/>
            </w:pPr>
            <w:r>
              <w:rPr>
                <w:sz w:val="18"/>
              </w:rPr>
              <w:t>78</w:t>
            </w:r>
          </w:p>
        </w:tc>
        <w:tc>
          <w:tcPr>
            <w:tcW w:type="dxa" w:w="1584"/>
            <w:vAlign w:val="center"/>
          </w:tcPr>
          <w:p>
            <w:pPr>
              <w:spacing w:before="0" w:after="0" w:line="240" w:lineRule="auto"/>
              <w:jc w:val="center"/>
            </w:pPr>
            <w:r>
              <w:rPr>
                <w:sz w:val="18"/>
              </w:rPr>
              <w:t>78</w:t>
            </w:r>
          </w:p>
        </w:tc>
        <w:tc>
          <w:tcPr>
            <w:tcW w:type="dxa" w:w="1728"/>
            <w:vAlign w:val="center"/>
          </w:tcPr>
          <w:p>
            <w:pPr>
              <w:spacing w:before="0" w:after="0" w:line="240" w:lineRule="auto"/>
              <w:jc w:val="center"/>
            </w:pPr>
            <w:r>
              <w:rPr>
                <w:sz w:val="18"/>
              </w:rPr>
              <w:t>Yes</w:t>
            </w:r>
          </w:p>
        </w:tc>
      </w:tr>
      <w:tr>
        <w:trPr>
          <w:cantSplit/>
          <w:cantSplit/>
        </w:trPr>
        <w:tc>
          <w:tcPr>
            <w:tcW w:type="dxa" w:w="936"/>
            <w:vAlign w:val="center"/>
          </w:tcPr>
          <w:p>
            <w:pPr>
              <w:spacing w:before="0" w:after="0" w:line="240" w:lineRule="auto"/>
              <w:jc w:val="left"/>
            </w:pPr>
            <w:r>
              <w:rPr>
                <w:sz w:val="18"/>
              </w:rPr>
              <w:t>10</w:t>
            </w:r>
          </w:p>
        </w:tc>
        <w:tc>
          <w:tcPr>
            <w:tcW w:type="dxa" w:w="1080"/>
            <w:vAlign w:val="center"/>
          </w:tcPr>
          <w:p>
            <w:pPr>
              <w:spacing w:before="0" w:after="0" w:line="240" w:lineRule="auto"/>
              <w:jc w:val="center"/>
            </w:pPr>
            <w:r>
              <w:rPr>
                <w:sz w:val="18"/>
              </w:rPr>
              <w:t>I2109</w:t>
            </w:r>
          </w:p>
        </w:tc>
        <w:tc>
          <w:tcPr>
            <w:tcW w:type="dxa" w:w="7200"/>
            <w:vAlign w:val="center"/>
          </w:tcPr>
          <w:p>
            <w:pPr>
              <w:spacing w:before="0" w:after="0" w:line="240" w:lineRule="auto"/>
              <w:jc w:val="center"/>
            </w:pPr>
            <w:r>
              <w:rPr>
                <w:sz w:val="18"/>
              </w:rPr>
              <w:t>ST elevation (STEMI) myocardial infarction involving other coronary artery of anterior wall</w:t>
            </w:r>
          </w:p>
        </w:tc>
        <w:tc>
          <w:tcPr>
            <w:tcW w:type="dxa" w:w="1584"/>
            <w:vAlign w:val="center"/>
          </w:tcPr>
          <w:p>
            <w:pPr>
              <w:spacing w:before="0" w:after="0" w:line="240" w:lineRule="auto"/>
              <w:jc w:val="center"/>
            </w:pPr>
            <w:r>
              <w:rPr>
                <w:sz w:val="18"/>
              </w:rPr>
              <w:t>215</w:t>
            </w:r>
          </w:p>
        </w:tc>
        <w:tc>
          <w:tcPr>
            <w:tcW w:type="dxa" w:w="1584"/>
            <w:vAlign w:val="center"/>
          </w:tcPr>
          <w:p>
            <w:pPr>
              <w:spacing w:before="0" w:after="0" w:line="240" w:lineRule="auto"/>
              <w:jc w:val="center"/>
            </w:pPr>
            <w:r>
              <w:rPr>
                <w:sz w:val="18"/>
              </w:rPr>
              <w:t>215</w:t>
            </w:r>
          </w:p>
        </w:tc>
        <w:tc>
          <w:tcPr>
            <w:tcW w:type="dxa" w:w="1728"/>
            <w:vAlign w:val="center"/>
          </w:tcPr>
          <w:p>
            <w:pPr>
              <w:spacing w:before="0" w:after="0" w:line="240" w:lineRule="auto"/>
              <w:jc w:val="center"/>
            </w:pPr>
            <w:r>
              <w:rPr>
                <w:sz w:val="18"/>
              </w:rPr>
              <w:t>Yes</w:t>
            </w:r>
          </w:p>
        </w:tc>
      </w:tr>
      <w:tr>
        <w:trPr>
          <w:cantSplit/>
          <w:cantSplit/>
        </w:trPr>
        <w:tc>
          <w:tcPr>
            <w:tcW w:type="dxa" w:w="936"/>
            <w:vAlign w:val="center"/>
          </w:tcPr>
          <w:p>
            <w:pPr>
              <w:spacing w:before="0" w:after="0" w:line="240" w:lineRule="auto"/>
              <w:jc w:val="left"/>
            </w:pPr>
            <w:r>
              <w:rPr>
                <w:sz w:val="18"/>
              </w:rPr>
              <w:t>10</w:t>
            </w:r>
          </w:p>
        </w:tc>
        <w:tc>
          <w:tcPr>
            <w:tcW w:type="dxa" w:w="1080"/>
            <w:vAlign w:val="center"/>
          </w:tcPr>
          <w:p>
            <w:pPr>
              <w:spacing w:before="0" w:after="0" w:line="240" w:lineRule="auto"/>
              <w:jc w:val="center"/>
            </w:pPr>
            <w:r>
              <w:rPr>
                <w:sz w:val="18"/>
              </w:rPr>
              <w:t>I2111</w:t>
            </w:r>
          </w:p>
        </w:tc>
        <w:tc>
          <w:tcPr>
            <w:tcW w:type="dxa" w:w="7200"/>
            <w:vAlign w:val="center"/>
          </w:tcPr>
          <w:p>
            <w:pPr>
              <w:spacing w:before="0" w:after="0" w:line="240" w:lineRule="auto"/>
              <w:jc w:val="center"/>
            </w:pPr>
            <w:r>
              <w:rPr>
                <w:sz w:val="18"/>
              </w:rPr>
              <w:t>ST elevation (STEMI) myocardial infarction involving right coronary artery</w:t>
            </w:r>
          </w:p>
        </w:tc>
        <w:tc>
          <w:tcPr>
            <w:tcW w:type="dxa" w:w="1584"/>
            <w:vAlign w:val="center"/>
          </w:tcPr>
          <w:p>
            <w:pPr>
              <w:spacing w:before="0" w:after="0" w:line="240" w:lineRule="auto"/>
              <w:jc w:val="center"/>
            </w:pPr>
            <w:r>
              <w:rPr>
                <w:sz w:val="18"/>
              </w:rPr>
              <w:t>96</w:t>
            </w:r>
          </w:p>
        </w:tc>
        <w:tc>
          <w:tcPr>
            <w:tcW w:type="dxa" w:w="1584"/>
            <w:vAlign w:val="center"/>
          </w:tcPr>
          <w:p>
            <w:pPr>
              <w:spacing w:before="0" w:after="0" w:line="240" w:lineRule="auto"/>
              <w:jc w:val="center"/>
            </w:pPr>
            <w:r>
              <w:rPr>
                <w:sz w:val="18"/>
              </w:rPr>
              <w:t>96</w:t>
            </w:r>
          </w:p>
        </w:tc>
        <w:tc>
          <w:tcPr>
            <w:tcW w:type="dxa" w:w="1728"/>
            <w:vAlign w:val="center"/>
          </w:tcPr>
          <w:p>
            <w:pPr>
              <w:spacing w:before="0" w:after="0" w:line="240" w:lineRule="auto"/>
              <w:jc w:val="center"/>
            </w:pPr>
            <w:r>
              <w:rPr>
                <w:sz w:val="18"/>
              </w:rPr>
              <w:t>Yes</w:t>
            </w:r>
          </w:p>
        </w:tc>
      </w:tr>
      <w:tr>
        <w:trPr>
          <w:cantSplit/>
          <w:cantSplit/>
        </w:trPr>
        <w:tc>
          <w:tcPr>
            <w:tcW w:type="dxa" w:w="936"/>
            <w:vAlign w:val="center"/>
          </w:tcPr>
          <w:p>
            <w:pPr>
              <w:spacing w:before="0" w:after="0" w:line="240" w:lineRule="auto"/>
              <w:jc w:val="left"/>
            </w:pPr>
            <w:r>
              <w:rPr>
                <w:sz w:val="18"/>
              </w:rPr>
              <w:t>10</w:t>
            </w:r>
          </w:p>
        </w:tc>
        <w:tc>
          <w:tcPr>
            <w:tcW w:type="dxa" w:w="1080"/>
            <w:vAlign w:val="center"/>
          </w:tcPr>
          <w:p>
            <w:pPr>
              <w:spacing w:before="0" w:after="0" w:line="240" w:lineRule="auto"/>
              <w:jc w:val="center"/>
            </w:pPr>
            <w:r>
              <w:rPr>
                <w:sz w:val="18"/>
              </w:rPr>
              <w:t>I2119</w:t>
            </w:r>
          </w:p>
        </w:tc>
        <w:tc>
          <w:tcPr>
            <w:tcW w:type="dxa" w:w="7200"/>
            <w:vAlign w:val="center"/>
          </w:tcPr>
          <w:p>
            <w:pPr>
              <w:spacing w:before="0" w:after="0" w:line="240" w:lineRule="auto"/>
              <w:jc w:val="center"/>
            </w:pPr>
            <w:r>
              <w:rPr>
                <w:sz w:val="18"/>
              </w:rPr>
              <w:t>ST elevation (STEMI) myocardial infarction involving other coronary artery of inferior wall</w:t>
            </w:r>
          </w:p>
        </w:tc>
        <w:tc>
          <w:tcPr>
            <w:tcW w:type="dxa" w:w="1584"/>
            <w:vAlign w:val="center"/>
          </w:tcPr>
          <w:p>
            <w:pPr>
              <w:spacing w:before="0" w:after="0" w:line="240" w:lineRule="auto"/>
              <w:jc w:val="center"/>
            </w:pPr>
            <w:r>
              <w:rPr>
                <w:sz w:val="18"/>
              </w:rPr>
              <w:t>267</w:t>
            </w:r>
          </w:p>
        </w:tc>
        <w:tc>
          <w:tcPr>
            <w:tcW w:type="dxa" w:w="1584"/>
            <w:vAlign w:val="center"/>
          </w:tcPr>
          <w:p>
            <w:pPr>
              <w:spacing w:before="0" w:after="0" w:line="240" w:lineRule="auto"/>
              <w:jc w:val="center"/>
            </w:pPr>
            <w:r>
              <w:rPr>
                <w:sz w:val="18"/>
              </w:rPr>
              <w:t>267</w:t>
            </w:r>
          </w:p>
        </w:tc>
        <w:tc>
          <w:tcPr>
            <w:tcW w:type="dxa" w:w="1728"/>
            <w:vAlign w:val="center"/>
          </w:tcPr>
          <w:p>
            <w:pPr>
              <w:spacing w:before="0" w:after="0" w:line="240" w:lineRule="auto"/>
              <w:jc w:val="center"/>
            </w:pPr>
            <w:r>
              <w:rPr>
                <w:sz w:val="18"/>
              </w:rPr>
              <w:t>Yes</w:t>
            </w:r>
          </w:p>
        </w:tc>
      </w:tr>
      <w:tr>
        <w:trPr>
          <w:cantSplit/>
          <w:cantSplit/>
        </w:trPr>
        <w:tc>
          <w:tcPr>
            <w:tcW w:type="dxa" w:w="936"/>
            <w:vAlign w:val="center"/>
          </w:tcPr>
          <w:p>
            <w:pPr>
              <w:spacing w:before="0" w:after="0" w:line="240" w:lineRule="auto"/>
              <w:jc w:val="left"/>
            </w:pPr>
            <w:r>
              <w:rPr>
                <w:sz w:val="18"/>
              </w:rPr>
              <w:t>10</w:t>
            </w:r>
          </w:p>
        </w:tc>
        <w:tc>
          <w:tcPr>
            <w:tcW w:type="dxa" w:w="1080"/>
            <w:vAlign w:val="center"/>
          </w:tcPr>
          <w:p>
            <w:pPr>
              <w:spacing w:before="0" w:after="0" w:line="240" w:lineRule="auto"/>
              <w:jc w:val="center"/>
            </w:pPr>
            <w:r>
              <w:rPr>
                <w:sz w:val="18"/>
              </w:rPr>
              <w:t>I2121</w:t>
            </w:r>
          </w:p>
        </w:tc>
        <w:tc>
          <w:tcPr>
            <w:tcW w:type="dxa" w:w="7200"/>
            <w:vAlign w:val="center"/>
          </w:tcPr>
          <w:p>
            <w:pPr>
              <w:spacing w:before="0" w:after="0" w:line="240" w:lineRule="auto"/>
              <w:jc w:val="center"/>
            </w:pPr>
            <w:r>
              <w:rPr>
                <w:sz w:val="18"/>
              </w:rPr>
              <w:t>ST elevation (STEMI) myocardial infarction involving left circumflex coronary artery</w:t>
            </w:r>
          </w:p>
        </w:tc>
        <w:tc>
          <w:tcPr>
            <w:tcW w:type="dxa" w:w="1584"/>
            <w:vAlign w:val="center"/>
          </w:tcPr>
          <w:p>
            <w:pPr>
              <w:spacing w:before="0" w:after="0" w:line="240" w:lineRule="auto"/>
              <w:jc w:val="center"/>
            </w:pPr>
            <w:r>
              <w:rPr>
                <w:sz w:val="18"/>
              </w:rPr>
              <w:t>25</w:t>
            </w:r>
          </w:p>
        </w:tc>
        <w:tc>
          <w:tcPr>
            <w:tcW w:type="dxa" w:w="1584"/>
            <w:vAlign w:val="center"/>
          </w:tcPr>
          <w:p>
            <w:pPr>
              <w:spacing w:before="0" w:after="0" w:line="240" w:lineRule="auto"/>
              <w:jc w:val="center"/>
            </w:pPr>
            <w:r>
              <w:rPr>
                <w:sz w:val="18"/>
              </w:rPr>
              <w:t>25</w:t>
            </w:r>
          </w:p>
        </w:tc>
        <w:tc>
          <w:tcPr>
            <w:tcW w:type="dxa" w:w="1728"/>
            <w:vAlign w:val="center"/>
          </w:tcPr>
          <w:p>
            <w:pPr>
              <w:spacing w:before="0" w:after="0" w:line="240" w:lineRule="auto"/>
              <w:jc w:val="center"/>
            </w:pPr>
            <w:r>
              <w:rPr>
                <w:sz w:val="18"/>
              </w:rPr>
              <w:t>Yes</w:t>
            </w:r>
          </w:p>
        </w:tc>
      </w:tr>
      <w:tr>
        <w:trPr>
          <w:cantSplit/>
          <w:cantSplit/>
        </w:trPr>
        <w:tc>
          <w:tcPr>
            <w:tcW w:type="dxa" w:w="936"/>
            <w:vAlign w:val="center"/>
          </w:tcPr>
          <w:p>
            <w:pPr>
              <w:spacing w:before="0" w:after="0" w:line="240" w:lineRule="auto"/>
              <w:jc w:val="left"/>
            </w:pPr>
            <w:r>
              <w:rPr>
                <w:sz w:val="18"/>
              </w:rPr>
              <w:t>10</w:t>
            </w:r>
          </w:p>
        </w:tc>
        <w:tc>
          <w:tcPr>
            <w:tcW w:type="dxa" w:w="1080"/>
            <w:vAlign w:val="center"/>
          </w:tcPr>
          <w:p>
            <w:pPr>
              <w:spacing w:before="0" w:after="0" w:line="240" w:lineRule="auto"/>
              <w:jc w:val="center"/>
            </w:pPr>
            <w:r>
              <w:rPr>
                <w:sz w:val="18"/>
              </w:rPr>
              <w:t>I2129</w:t>
            </w:r>
          </w:p>
        </w:tc>
        <w:tc>
          <w:tcPr>
            <w:tcW w:type="dxa" w:w="7200"/>
            <w:vAlign w:val="center"/>
          </w:tcPr>
          <w:p>
            <w:pPr>
              <w:spacing w:before="0" w:after="0" w:line="240" w:lineRule="auto"/>
              <w:jc w:val="center"/>
            </w:pPr>
            <w:r>
              <w:rPr>
                <w:sz w:val="18"/>
              </w:rPr>
              <w:t>ST elevation (STEMI) myocardial infarction involving other sites</w:t>
            </w:r>
          </w:p>
        </w:tc>
        <w:tc>
          <w:tcPr>
            <w:tcW w:type="dxa" w:w="1584"/>
            <w:vAlign w:val="center"/>
          </w:tcPr>
          <w:p>
            <w:pPr>
              <w:spacing w:before="0" w:after="0" w:line="240" w:lineRule="auto"/>
              <w:jc w:val="center"/>
            </w:pPr>
            <w:r>
              <w:rPr>
                <w:sz w:val="18"/>
              </w:rPr>
              <w:t>50</w:t>
            </w:r>
          </w:p>
        </w:tc>
        <w:tc>
          <w:tcPr>
            <w:tcW w:type="dxa" w:w="1584"/>
            <w:vAlign w:val="center"/>
          </w:tcPr>
          <w:p>
            <w:pPr>
              <w:spacing w:before="0" w:after="0" w:line="240" w:lineRule="auto"/>
              <w:jc w:val="center"/>
            </w:pPr>
            <w:r>
              <w:rPr>
                <w:sz w:val="18"/>
              </w:rPr>
              <w:t>50</w:t>
            </w:r>
          </w:p>
        </w:tc>
        <w:tc>
          <w:tcPr>
            <w:tcW w:type="dxa" w:w="1728"/>
            <w:vAlign w:val="center"/>
          </w:tcPr>
          <w:p>
            <w:pPr>
              <w:spacing w:before="0" w:after="0" w:line="240" w:lineRule="auto"/>
              <w:jc w:val="center"/>
            </w:pPr>
            <w:r>
              <w:rPr>
                <w:sz w:val="18"/>
              </w:rPr>
              <w:t>Yes</w:t>
            </w:r>
          </w:p>
        </w:tc>
      </w:tr>
      <w:tr>
        <w:trPr>
          <w:cantSplit/>
          <w:cantSplit/>
        </w:trPr>
        <w:tc>
          <w:tcPr>
            <w:tcW w:type="dxa" w:w="936"/>
            <w:vAlign w:val="center"/>
          </w:tcPr>
          <w:p>
            <w:pPr>
              <w:spacing w:before="0" w:after="0" w:line="240" w:lineRule="auto"/>
              <w:jc w:val="left"/>
            </w:pPr>
            <w:r>
              <w:rPr>
                <w:sz w:val="18"/>
              </w:rPr>
              <w:t>10</w:t>
            </w:r>
          </w:p>
        </w:tc>
        <w:tc>
          <w:tcPr>
            <w:tcW w:type="dxa" w:w="1080"/>
            <w:vAlign w:val="center"/>
          </w:tcPr>
          <w:p>
            <w:pPr>
              <w:spacing w:before="0" w:after="0" w:line="240" w:lineRule="auto"/>
              <w:jc w:val="center"/>
            </w:pPr>
            <w:r>
              <w:rPr>
                <w:sz w:val="18"/>
              </w:rPr>
              <w:t>I213</w:t>
            </w:r>
          </w:p>
        </w:tc>
        <w:tc>
          <w:tcPr>
            <w:tcW w:type="dxa" w:w="7200"/>
            <w:vAlign w:val="center"/>
          </w:tcPr>
          <w:p>
            <w:pPr>
              <w:spacing w:before="0" w:after="0" w:line="240" w:lineRule="auto"/>
              <w:jc w:val="center"/>
            </w:pPr>
            <w:r>
              <w:rPr>
                <w:sz w:val="18"/>
              </w:rPr>
              <w:t>ST elevation (STEMI) myocardial infarction of unspecified site</w:t>
            </w:r>
          </w:p>
        </w:tc>
        <w:tc>
          <w:tcPr>
            <w:tcW w:type="dxa" w:w="1584"/>
            <w:vAlign w:val="center"/>
          </w:tcPr>
          <w:p>
            <w:pPr>
              <w:spacing w:before="0" w:after="0" w:line="240" w:lineRule="auto"/>
              <w:jc w:val="center"/>
            </w:pPr>
            <w:r>
              <w:rPr>
                <w:sz w:val="18"/>
              </w:rPr>
              <w:t>139</w:t>
            </w:r>
          </w:p>
        </w:tc>
        <w:tc>
          <w:tcPr>
            <w:tcW w:type="dxa" w:w="1584"/>
            <w:vAlign w:val="center"/>
          </w:tcPr>
          <w:p>
            <w:pPr>
              <w:spacing w:before="0" w:after="0" w:line="240" w:lineRule="auto"/>
              <w:jc w:val="center"/>
            </w:pPr>
            <w:r>
              <w:rPr>
                <w:sz w:val="18"/>
              </w:rPr>
              <w:t>139</w:t>
            </w:r>
          </w:p>
        </w:tc>
        <w:tc>
          <w:tcPr>
            <w:tcW w:type="dxa" w:w="1728"/>
            <w:vAlign w:val="center"/>
          </w:tcPr>
          <w:p>
            <w:pPr>
              <w:spacing w:before="0" w:after="0" w:line="240" w:lineRule="auto"/>
              <w:jc w:val="center"/>
            </w:pPr>
            <w:r>
              <w:rPr>
                <w:sz w:val="18"/>
              </w:rPr>
              <w:t>Yes</w:t>
            </w:r>
          </w:p>
        </w:tc>
      </w:tr>
      <w:tr>
        <w:trPr>
          <w:cantSplit/>
          <w:cantSplit/>
        </w:trPr>
        <w:tc>
          <w:tcPr>
            <w:tcW w:type="dxa" w:w="936"/>
            <w:vAlign w:val="center"/>
          </w:tcPr>
          <w:p>
            <w:pPr>
              <w:spacing w:before="0" w:after="0" w:line="240" w:lineRule="auto"/>
              <w:jc w:val="left"/>
            </w:pPr>
            <w:r>
              <w:rPr>
                <w:sz w:val="18"/>
              </w:rPr>
              <w:t>10</w:t>
            </w:r>
          </w:p>
        </w:tc>
        <w:tc>
          <w:tcPr>
            <w:tcW w:type="dxa" w:w="1080"/>
            <w:vAlign w:val="center"/>
          </w:tcPr>
          <w:p>
            <w:pPr>
              <w:spacing w:before="0" w:after="0" w:line="240" w:lineRule="auto"/>
              <w:jc w:val="center"/>
            </w:pPr>
            <w:r>
              <w:rPr>
                <w:sz w:val="18"/>
              </w:rPr>
              <w:t>I214</w:t>
            </w:r>
          </w:p>
        </w:tc>
        <w:tc>
          <w:tcPr>
            <w:tcW w:type="dxa" w:w="7200"/>
            <w:vAlign w:val="center"/>
          </w:tcPr>
          <w:p>
            <w:pPr>
              <w:spacing w:before="0" w:after="0" w:line="240" w:lineRule="auto"/>
              <w:jc w:val="center"/>
            </w:pPr>
            <w:r>
              <w:rPr>
                <w:sz w:val="18"/>
              </w:rPr>
              <w:t>Non-ST elevation (NSTEMI) myocardial infarction</w:t>
            </w:r>
          </w:p>
        </w:tc>
        <w:tc>
          <w:tcPr>
            <w:tcW w:type="dxa" w:w="1584"/>
            <w:vAlign w:val="center"/>
          </w:tcPr>
          <w:p>
            <w:pPr>
              <w:spacing w:before="0" w:after="0" w:line="240" w:lineRule="auto"/>
              <w:jc w:val="center"/>
            </w:pPr>
            <w:r>
              <w:rPr>
                <w:sz w:val="18"/>
              </w:rPr>
              <w:t>2312</w:t>
            </w:r>
          </w:p>
        </w:tc>
        <w:tc>
          <w:tcPr>
            <w:tcW w:type="dxa" w:w="1584"/>
            <w:vAlign w:val="center"/>
          </w:tcPr>
          <w:p>
            <w:pPr>
              <w:spacing w:before="0" w:after="0" w:line="240" w:lineRule="auto"/>
              <w:jc w:val="center"/>
            </w:pPr>
            <w:r>
              <w:rPr>
                <w:sz w:val="18"/>
              </w:rPr>
              <w:t>2312</w:t>
            </w:r>
          </w:p>
        </w:tc>
        <w:tc>
          <w:tcPr>
            <w:tcW w:type="dxa" w:w="1728"/>
            <w:vAlign w:val="center"/>
          </w:tcPr>
          <w:p>
            <w:pPr>
              <w:spacing w:before="0" w:after="0" w:line="240" w:lineRule="auto"/>
              <w:jc w:val="center"/>
            </w:pPr>
            <w:r>
              <w:rPr>
                <w:sz w:val="18"/>
              </w:rPr>
              <w:t>Yes</w:t>
            </w:r>
          </w:p>
        </w:tc>
      </w:tr>
      <w:tr>
        <w:trPr>
          <w:cantSplit/>
          <w:cantSplit/>
        </w:trPr>
        <w:tc>
          <w:tcPr>
            <w:tcW w:type="dxa" w:w="936"/>
            <w:vAlign w:val="center"/>
          </w:tcPr>
          <w:p>
            <w:pPr>
              <w:spacing w:before="0" w:after="0" w:line="240" w:lineRule="auto"/>
              <w:jc w:val="left"/>
            </w:pPr>
            <w:r>
              <w:rPr>
                <w:sz w:val="18"/>
              </w:rPr>
              <w:t>10</w:t>
            </w:r>
          </w:p>
        </w:tc>
        <w:tc>
          <w:tcPr>
            <w:tcW w:type="dxa" w:w="1080"/>
            <w:vAlign w:val="center"/>
          </w:tcPr>
          <w:p>
            <w:pPr>
              <w:spacing w:before="0" w:after="0" w:line="240" w:lineRule="auto"/>
              <w:jc w:val="center"/>
            </w:pPr>
            <w:r>
              <w:rPr>
                <w:sz w:val="18"/>
              </w:rPr>
              <w:t>I219</w:t>
            </w:r>
          </w:p>
        </w:tc>
        <w:tc>
          <w:tcPr>
            <w:tcW w:type="dxa" w:w="7200"/>
            <w:vAlign w:val="center"/>
          </w:tcPr>
          <w:p>
            <w:pPr>
              <w:spacing w:before="0" w:after="0" w:line="240" w:lineRule="auto"/>
              <w:jc w:val="center"/>
            </w:pPr>
            <w:r>
              <w:rPr>
                <w:sz w:val="18"/>
              </w:rPr>
              <w:t>Acute myocardial infarction, unspecified</w:t>
            </w:r>
          </w:p>
        </w:tc>
        <w:tc>
          <w:tcPr>
            <w:tcW w:type="dxa" w:w="1584"/>
            <w:vAlign w:val="center"/>
          </w:tcPr>
          <w:p>
            <w:pPr>
              <w:spacing w:before="0" w:after="0" w:line="240" w:lineRule="auto"/>
              <w:jc w:val="center"/>
            </w:pPr>
            <w:r>
              <w:rPr>
                <w:sz w:val="18"/>
              </w:rPr>
              <w:t>10</w:t>
            </w:r>
          </w:p>
        </w:tc>
        <w:tc>
          <w:tcPr>
            <w:tcW w:type="dxa" w:w="1584"/>
            <w:vAlign w:val="center"/>
          </w:tcPr>
          <w:p>
            <w:pPr>
              <w:spacing w:before="0" w:after="0" w:line="240" w:lineRule="auto"/>
              <w:jc w:val="center"/>
            </w:pPr>
            <w:r>
              <w:rPr>
                <w:sz w:val="18"/>
              </w:rPr>
              <w:t>10</w:t>
            </w:r>
          </w:p>
        </w:tc>
        <w:tc>
          <w:tcPr>
            <w:tcW w:type="dxa" w:w="1728"/>
            <w:vAlign w:val="center"/>
          </w:tcPr>
          <w:p>
            <w:pPr>
              <w:spacing w:before="0" w:after="0" w:line="240" w:lineRule="auto"/>
              <w:jc w:val="center"/>
            </w:pPr>
            <w:r>
              <w:rPr>
                <w:sz w:val="18"/>
              </w:rPr>
              <w:t>Yes</w:t>
            </w:r>
          </w:p>
        </w:tc>
      </w:tr>
      <w:tr>
        <w:trPr>
          <w:cantSplit/>
          <w:cantSplit/>
        </w:trPr>
        <w:tc>
          <w:tcPr>
            <w:tcW w:type="dxa" w:w="936"/>
            <w:vAlign w:val="center"/>
          </w:tcPr>
          <w:p>
            <w:pPr>
              <w:spacing w:before="0" w:after="0" w:line="240" w:lineRule="auto"/>
              <w:jc w:val="left"/>
            </w:pPr>
            <w:r>
              <w:rPr>
                <w:sz w:val="18"/>
              </w:rPr>
              <w:t>10</w:t>
            </w:r>
          </w:p>
        </w:tc>
        <w:tc>
          <w:tcPr>
            <w:tcW w:type="dxa" w:w="1080"/>
            <w:vAlign w:val="center"/>
          </w:tcPr>
          <w:p>
            <w:pPr>
              <w:spacing w:before="0" w:after="0" w:line="240" w:lineRule="auto"/>
              <w:jc w:val="center"/>
            </w:pPr>
            <w:r>
              <w:rPr>
                <w:sz w:val="18"/>
              </w:rPr>
              <w:t>I21A1</w:t>
            </w:r>
          </w:p>
        </w:tc>
        <w:tc>
          <w:tcPr>
            <w:tcW w:type="dxa" w:w="7200"/>
            <w:vAlign w:val="center"/>
          </w:tcPr>
          <w:p>
            <w:pPr>
              <w:spacing w:before="0" w:after="0" w:line="240" w:lineRule="auto"/>
              <w:jc w:val="center"/>
            </w:pPr>
            <w:r>
              <w:rPr>
                <w:sz w:val="18"/>
              </w:rPr>
              <w:t>Myocardial infarction type 2</w:t>
            </w:r>
          </w:p>
        </w:tc>
        <w:tc>
          <w:tcPr>
            <w:tcW w:type="dxa" w:w="1584"/>
            <w:vAlign w:val="center"/>
          </w:tcPr>
          <w:p>
            <w:pPr>
              <w:spacing w:before="0" w:after="0" w:line="240" w:lineRule="auto"/>
              <w:jc w:val="center"/>
            </w:pPr>
            <w:r>
              <w:rPr>
                <w:sz w:val="18"/>
              </w:rPr>
              <w:t>1425</w:t>
            </w:r>
          </w:p>
        </w:tc>
        <w:tc>
          <w:tcPr>
            <w:tcW w:type="dxa" w:w="1584"/>
            <w:vAlign w:val="center"/>
          </w:tcPr>
          <w:p>
            <w:pPr>
              <w:spacing w:before="0" w:after="0" w:line="240" w:lineRule="auto"/>
              <w:jc w:val="center"/>
            </w:pPr>
            <w:r>
              <w:rPr>
                <w:sz w:val="18"/>
              </w:rPr>
              <w:t>1425</w:t>
            </w:r>
          </w:p>
        </w:tc>
        <w:tc>
          <w:tcPr>
            <w:tcW w:type="dxa" w:w="1728"/>
            <w:vAlign w:val="center"/>
          </w:tcPr>
          <w:p>
            <w:pPr>
              <w:spacing w:before="0" w:after="0" w:line="240" w:lineRule="auto"/>
              <w:jc w:val="center"/>
            </w:pPr>
            <w:r>
              <w:rPr>
                <w:sz w:val="18"/>
              </w:rPr>
              <w:t>Yes</w:t>
            </w:r>
          </w:p>
        </w:tc>
      </w:tr>
      <w:tr>
        <w:trPr>
          <w:cantSplit/>
          <w:cantSplit/>
        </w:trPr>
        <w:tc>
          <w:tcPr>
            <w:tcW w:type="dxa" w:w="936"/>
            <w:vAlign w:val="center"/>
          </w:tcPr>
          <w:p>
            <w:pPr>
              <w:spacing w:before="0" w:after="0" w:line="240" w:lineRule="auto"/>
              <w:jc w:val="left"/>
            </w:pPr>
            <w:r>
              <w:rPr>
                <w:sz w:val="18"/>
              </w:rPr>
              <w:t>10</w:t>
            </w:r>
          </w:p>
        </w:tc>
        <w:tc>
          <w:tcPr>
            <w:tcW w:type="dxa" w:w="1080"/>
            <w:vAlign w:val="center"/>
          </w:tcPr>
          <w:p>
            <w:pPr>
              <w:spacing w:before="0" w:after="0" w:line="240" w:lineRule="auto"/>
              <w:jc w:val="center"/>
            </w:pPr>
            <w:r>
              <w:rPr>
                <w:sz w:val="18"/>
              </w:rPr>
              <w:t>I21A9</w:t>
            </w:r>
          </w:p>
        </w:tc>
        <w:tc>
          <w:tcPr>
            <w:tcW w:type="dxa" w:w="7200"/>
            <w:vAlign w:val="center"/>
          </w:tcPr>
          <w:p>
            <w:pPr>
              <w:spacing w:before="0" w:after="0" w:line="240" w:lineRule="auto"/>
              <w:jc w:val="center"/>
            </w:pPr>
            <w:r>
              <w:rPr>
                <w:sz w:val="18"/>
              </w:rPr>
              <w:t>Other myocardial infarction type</w:t>
            </w:r>
          </w:p>
        </w:tc>
        <w:tc>
          <w:tcPr>
            <w:tcW w:type="dxa" w:w="1584"/>
            <w:vAlign w:val="center"/>
          </w:tcPr>
          <w:p>
            <w:pPr>
              <w:spacing w:before="0" w:after="0" w:line="240" w:lineRule="auto"/>
              <w:jc w:val="center"/>
            </w:pPr>
            <w:r>
              <w:rPr>
                <w:sz w:val="18"/>
              </w:rPr>
              <w:t>25</w:t>
            </w:r>
          </w:p>
        </w:tc>
        <w:tc>
          <w:tcPr>
            <w:tcW w:type="dxa" w:w="1584"/>
            <w:vAlign w:val="center"/>
          </w:tcPr>
          <w:p>
            <w:pPr>
              <w:spacing w:before="0" w:after="0" w:line="240" w:lineRule="auto"/>
              <w:jc w:val="center"/>
            </w:pPr>
            <w:r>
              <w:rPr>
                <w:sz w:val="18"/>
              </w:rPr>
              <w:t>25</w:t>
            </w:r>
          </w:p>
        </w:tc>
        <w:tc>
          <w:tcPr>
            <w:tcW w:type="dxa" w:w="1728"/>
            <w:vAlign w:val="center"/>
          </w:tcPr>
          <w:p>
            <w:pPr>
              <w:spacing w:before="0" w:after="0" w:line="240" w:lineRule="auto"/>
              <w:jc w:val="center"/>
            </w:pPr>
            <w:r>
              <w:rPr>
                <w:sz w:val="18"/>
              </w:rPr>
              <w:t>Yes</w:t>
            </w:r>
          </w:p>
        </w:tc>
      </w:tr>
      <w:tr>
        <w:trPr>
          <w:cantSplit/>
          <w:cantSplit/>
        </w:trPr>
        <w:tc>
          <w:tcPr>
            <w:tcW w:type="dxa" w:w="936"/>
            <w:vAlign w:val="center"/>
          </w:tcPr>
          <w:p>
            <w:pPr>
              <w:spacing w:before="0" w:after="0" w:line="240" w:lineRule="auto"/>
              <w:jc w:val="left"/>
            </w:pPr>
            <w:r>
              <w:rPr>
                <w:sz w:val="18"/>
              </w:rPr>
              <w:t>10</w:t>
            </w:r>
          </w:p>
        </w:tc>
        <w:tc>
          <w:tcPr>
            <w:tcW w:type="dxa" w:w="1080"/>
            <w:vAlign w:val="center"/>
          </w:tcPr>
          <w:p>
            <w:pPr>
              <w:spacing w:before="0" w:after="0" w:line="240" w:lineRule="auto"/>
              <w:jc w:val="center"/>
            </w:pPr>
            <w:r>
              <w:rPr>
                <w:sz w:val="18"/>
              </w:rPr>
              <w:t>I220</w:t>
            </w:r>
          </w:p>
        </w:tc>
        <w:tc>
          <w:tcPr>
            <w:tcW w:type="dxa" w:w="7200"/>
            <w:vAlign w:val="center"/>
          </w:tcPr>
          <w:p>
            <w:pPr>
              <w:spacing w:before="0" w:after="0" w:line="240" w:lineRule="auto"/>
              <w:jc w:val="center"/>
            </w:pPr>
            <w:r>
              <w:rPr>
                <w:sz w:val="18"/>
              </w:rPr>
              <w:t>Subsequent ST elevation (STEMI) myocardial infarction of anterior wall</w:t>
            </w:r>
          </w:p>
        </w:tc>
        <w:tc>
          <w:tcPr>
            <w:tcW w:type="dxa" w:w="1584"/>
            <w:vAlign w:val="center"/>
          </w:tcPr>
          <w:p>
            <w:pPr>
              <w:spacing w:before="0" w:after="0" w:line="240" w:lineRule="auto"/>
              <w:jc w:val="center"/>
            </w:pPr>
            <w:r>
              <w:rPr>
                <w:sz w:val="18"/>
              </w:rPr>
              <w:t>1</w:t>
            </w:r>
          </w:p>
        </w:tc>
        <w:tc>
          <w:tcPr>
            <w:tcW w:type="dxa" w:w="1584"/>
            <w:vAlign w:val="center"/>
          </w:tcPr>
          <w:p>
            <w:pPr>
              <w:spacing w:before="0" w:after="0" w:line="240" w:lineRule="auto"/>
              <w:jc w:val="center"/>
            </w:pPr>
            <w:r>
              <w:rPr>
                <w:sz w:val="18"/>
              </w:rPr>
              <w:t>1</w:t>
            </w:r>
          </w:p>
        </w:tc>
        <w:tc>
          <w:tcPr>
            <w:tcW w:type="dxa" w:w="1728"/>
            <w:vAlign w:val="center"/>
          </w:tcPr>
          <w:p>
            <w:pPr>
              <w:spacing w:before="0" w:after="0" w:line="240" w:lineRule="auto"/>
              <w:jc w:val="center"/>
            </w:pPr>
            <w:r>
              <w:rPr>
                <w:sz w:val="18"/>
              </w:rPr>
              <w:t>Yes</w:t>
            </w:r>
          </w:p>
        </w:tc>
      </w:tr>
      <w:tr>
        <w:trPr>
          <w:cantSplit/>
          <w:cantSplit/>
        </w:trPr>
        <w:tc>
          <w:tcPr>
            <w:tcW w:type="dxa" w:w="936"/>
            <w:vAlign w:val="center"/>
          </w:tcPr>
          <w:p>
            <w:pPr>
              <w:spacing w:before="0" w:after="0" w:line="240" w:lineRule="auto"/>
              <w:jc w:val="left"/>
            </w:pPr>
            <w:r>
              <w:rPr>
                <w:sz w:val="18"/>
              </w:rPr>
              <w:t>10</w:t>
            </w:r>
          </w:p>
        </w:tc>
        <w:tc>
          <w:tcPr>
            <w:tcW w:type="dxa" w:w="1080"/>
            <w:vAlign w:val="center"/>
          </w:tcPr>
          <w:p>
            <w:pPr>
              <w:spacing w:before="0" w:after="0" w:line="240" w:lineRule="auto"/>
              <w:jc w:val="center"/>
            </w:pPr>
            <w:r>
              <w:rPr>
                <w:sz w:val="18"/>
              </w:rPr>
              <w:t>I221</w:t>
            </w:r>
          </w:p>
        </w:tc>
        <w:tc>
          <w:tcPr>
            <w:tcW w:type="dxa" w:w="7200"/>
            <w:vAlign w:val="center"/>
          </w:tcPr>
          <w:p>
            <w:pPr>
              <w:spacing w:before="0" w:after="0" w:line="240" w:lineRule="auto"/>
              <w:jc w:val="center"/>
            </w:pPr>
            <w:r>
              <w:rPr>
                <w:sz w:val="18"/>
              </w:rPr>
              <w:t>Subsequent ST elevation (STEMI) myocardial infarction of inferior wall</w:t>
            </w:r>
          </w:p>
        </w:tc>
        <w:tc>
          <w:tcPr>
            <w:tcW w:type="dxa" w:w="1584"/>
            <w:vAlign w:val="center"/>
          </w:tcPr>
          <w:p>
            <w:pPr>
              <w:spacing w:before="0" w:after="0" w:line="240" w:lineRule="auto"/>
              <w:jc w:val="center"/>
            </w:pPr>
            <w:r>
              <w:rPr>
                <w:sz w:val="18"/>
              </w:rPr>
              <w:t>6</w:t>
            </w:r>
          </w:p>
        </w:tc>
        <w:tc>
          <w:tcPr>
            <w:tcW w:type="dxa" w:w="1584"/>
            <w:vAlign w:val="center"/>
          </w:tcPr>
          <w:p>
            <w:pPr>
              <w:spacing w:before="0" w:after="0" w:line="240" w:lineRule="auto"/>
              <w:jc w:val="center"/>
            </w:pPr>
            <w:r>
              <w:rPr>
                <w:sz w:val="18"/>
              </w:rPr>
              <w:t>6</w:t>
            </w:r>
          </w:p>
        </w:tc>
        <w:tc>
          <w:tcPr>
            <w:tcW w:type="dxa" w:w="1728"/>
            <w:vAlign w:val="center"/>
          </w:tcPr>
          <w:p>
            <w:pPr>
              <w:spacing w:before="0" w:after="0" w:line="240" w:lineRule="auto"/>
              <w:jc w:val="center"/>
            </w:pPr>
            <w:r>
              <w:rPr>
                <w:sz w:val="18"/>
              </w:rPr>
              <w:t>Yes</w:t>
            </w:r>
          </w:p>
        </w:tc>
      </w:tr>
      <w:tr>
        <w:trPr>
          <w:cantSplit/>
          <w:cantSplit/>
        </w:trPr>
        <w:tc>
          <w:tcPr>
            <w:tcW w:type="dxa" w:w="936"/>
            <w:vAlign w:val="center"/>
          </w:tcPr>
          <w:p>
            <w:pPr>
              <w:spacing w:before="0" w:after="0" w:line="240" w:lineRule="auto"/>
              <w:jc w:val="left"/>
            </w:pPr>
            <w:r>
              <w:rPr>
                <w:sz w:val="18"/>
              </w:rPr>
              <w:t>10</w:t>
            </w:r>
          </w:p>
        </w:tc>
        <w:tc>
          <w:tcPr>
            <w:tcW w:type="dxa" w:w="1080"/>
            <w:vAlign w:val="center"/>
          </w:tcPr>
          <w:p>
            <w:pPr>
              <w:spacing w:before="0" w:after="0" w:line="240" w:lineRule="auto"/>
              <w:jc w:val="center"/>
            </w:pPr>
            <w:r>
              <w:rPr>
                <w:sz w:val="18"/>
              </w:rPr>
              <w:t>I222</w:t>
            </w:r>
          </w:p>
        </w:tc>
        <w:tc>
          <w:tcPr>
            <w:tcW w:type="dxa" w:w="7200"/>
            <w:vAlign w:val="center"/>
          </w:tcPr>
          <w:p>
            <w:pPr>
              <w:spacing w:before="0" w:after="0" w:line="240" w:lineRule="auto"/>
              <w:jc w:val="center"/>
            </w:pPr>
            <w:r>
              <w:rPr>
                <w:sz w:val="18"/>
              </w:rPr>
              <w:t>Subsequent non-ST elevation (NSTEMI) myocardial infarction</w:t>
            </w:r>
          </w:p>
        </w:tc>
        <w:tc>
          <w:tcPr>
            <w:tcW w:type="dxa" w:w="1584"/>
            <w:vAlign w:val="center"/>
          </w:tcPr>
          <w:p>
            <w:pPr>
              <w:spacing w:before="0" w:after="0" w:line="240" w:lineRule="auto"/>
              <w:jc w:val="center"/>
            </w:pPr>
            <w:r>
              <w:rPr>
                <w:sz w:val="18"/>
              </w:rPr>
              <w:t>22</w:t>
            </w:r>
          </w:p>
        </w:tc>
        <w:tc>
          <w:tcPr>
            <w:tcW w:type="dxa" w:w="1584"/>
            <w:vAlign w:val="center"/>
          </w:tcPr>
          <w:p>
            <w:pPr>
              <w:spacing w:before="0" w:after="0" w:line="240" w:lineRule="auto"/>
              <w:jc w:val="center"/>
            </w:pPr>
            <w:r>
              <w:rPr>
                <w:sz w:val="18"/>
              </w:rPr>
              <w:t>22</w:t>
            </w:r>
          </w:p>
        </w:tc>
        <w:tc>
          <w:tcPr>
            <w:tcW w:type="dxa" w:w="1728"/>
            <w:vAlign w:val="center"/>
          </w:tcPr>
          <w:p>
            <w:pPr>
              <w:spacing w:before="0" w:after="0" w:line="240" w:lineRule="auto"/>
              <w:jc w:val="center"/>
            </w:pPr>
            <w:r>
              <w:rPr>
                <w:sz w:val="18"/>
              </w:rPr>
              <w:t>Yes</w:t>
            </w:r>
          </w:p>
        </w:tc>
      </w:tr>
      <w:tr>
        <w:trPr>
          <w:cantSplit/>
          <w:cantSplit/>
        </w:trPr>
        <w:tc>
          <w:tcPr>
            <w:tcW w:type="dxa" w:w="936"/>
            <w:vAlign w:val="center"/>
          </w:tcPr>
          <w:p>
            <w:pPr>
              <w:spacing w:before="0" w:after="0" w:line="240" w:lineRule="auto"/>
              <w:jc w:val="left"/>
            </w:pPr>
            <w:r>
              <w:rPr>
                <w:sz w:val="18"/>
              </w:rPr>
              <w:t>10</w:t>
            </w:r>
          </w:p>
        </w:tc>
        <w:tc>
          <w:tcPr>
            <w:tcW w:type="dxa" w:w="1080"/>
            <w:vAlign w:val="center"/>
          </w:tcPr>
          <w:p>
            <w:pPr>
              <w:spacing w:before="0" w:after="0" w:line="240" w:lineRule="auto"/>
              <w:jc w:val="center"/>
            </w:pPr>
            <w:r>
              <w:rPr>
                <w:sz w:val="18"/>
              </w:rPr>
              <w:t>I228</w:t>
            </w:r>
          </w:p>
        </w:tc>
        <w:tc>
          <w:tcPr>
            <w:tcW w:type="dxa" w:w="7200"/>
            <w:vAlign w:val="center"/>
          </w:tcPr>
          <w:p>
            <w:pPr>
              <w:spacing w:before="0" w:after="0" w:line="240" w:lineRule="auto"/>
              <w:jc w:val="center"/>
            </w:pPr>
            <w:r>
              <w:rPr>
                <w:sz w:val="18"/>
              </w:rPr>
              <w:t>Subsequent ST elevation (STEMI) myocardial infarction of other sites</w:t>
            </w:r>
          </w:p>
        </w:tc>
        <w:tc>
          <w:tcPr>
            <w:tcW w:type="dxa" w:w="1584"/>
            <w:vAlign w:val="center"/>
          </w:tcPr>
          <w:p>
            <w:pPr>
              <w:spacing w:before="0" w:after="0" w:line="240" w:lineRule="auto"/>
              <w:jc w:val="center"/>
            </w:pPr>
            <w:r>
              <w:rPr>
                <w:sz w:val="18"/>
              </w:rPr>
              <w:t>4</w:t>
            </w:r>
          </w:p>
        </w:tc>
        <w:tc>
          <w:tcPr>
            <w:tcW w:type="dxa" w:w="1584"/>
            <w:vAlign w:val="center"/>
          </w:tcPr>
          <w:p>
            <w:pPr>
              <w:spacing w:before="0" w:after="0" w:line="240" w:lineRule="auto"/>
              <w:jc w:val="center"/>
            </w:pPr>
            <w:r>
              <w:rPr>
                <w:sz w:val="18"/>
              </w:rPr>
              <w:t>4</w:t>
            </w:r>
          </w:p>
        </w:tc>
        <w:tc>
          <w:tcPr>
            <w:tcW w:type="dxa" w:w="1728"/>
            <w:vAlign w:val="center"/>
          </w:tcPr>
          <w:p>
            <w:pPr>
              <w:spacing w:before="0" w:after="0" w:line="240" w:lineRule="auto"/>
              <w:jc w:val="center"/>
            </w:pPr>
            <w:r>
              <w:rPr>
                <w:sz w:val="18"/>
              </w:rPr>
              <w:t>Yes</w:t>
            </w:r>
          </w:p>
        </w:tc>
      </w:tr>
      <w:tr>
        <w:trPr>
          <w:cantSplit/>
          <w:cantSplit/>
        </w:trPr>
        <w:tc>
          <w:tcPr>
            <w:tcW w:type="dxa" w:w="936"/>
            <w:vAlign w:val="center"/>
          </w:tcPr>
          <w:p>
            <w:pPr>
              <w:spacing w:before="0" w:after="0" w:line="240" w:lineRule="auto"/>
              <w:jc w:val="left"/>
            </w:pPr>
            <w:r>
              <w:rPr>
                <w:sz w:val="18"/>
              </w:rPr>
              <w:t>10</w:t>
            </w:r>
          </w:p>
        </w:tc>
        <w:tc>
          <w:tcPr>
            <w:tcW w:type="dxa" w:w="1080"/>
            <w:vAlign w:val="center"/>
          </w:tcPr>
          <w:p>
            <w:pPr>
              <w:spacing w:before="0" w:after="0" w:line="240" w:lineRule="auto"/>
              <w:jc w:val="center"/>
            </w:pPr>
            <w:r>
              <w:rPr>
                <w:sz w:val="18"/>
              </w:rPr>
              <w:t>I229</w:t>
            </w:r>
          </w:p>
        </w:tc>
        <w:tc>
          <w:tcPr>
            <w:tcW w:type="dxa" w:w="7200"/>
            <w:vAlign w:val="center"/>
          </w:tcPr>
          <w:p>
            <w:pPr>
              <w:spacing w:before="0" w:after="0" w:line="240" w:lineRule="auto"/>
              <w:jc w:val="center"/>
            </w:pPr>
            <w:r>
              <w:rPr>
                <w:sz w:val="18"/>
              </w:rPr>
              <w:t>Subsequent ST elevation (STEMI) myocardial infarction of unspecified site</w:t>
            </w:r>
          </w:p>
        </w:tc>
        <w:tc>
          <w:tcPr>
            <w:tcW w:type="dxa" w:w="1584"/>
            <w:vAlign w:val="center"/>
          </w:tcPr>
          <w:p>
            <w:pPr>
              <w:spacing w:before="0" w:after="0" w:line="240" w:lineRule="auto"/>
              <w:jc w:val="center"/>
            </w:pPr>
            <w:r>
              <w:rPr>
                <w:sz w:val="18"/>
              </w:rPr>
              <w:t>4</w:t>
            </w:r>
          </w:p>
        </w:tc>
        <w:tc>
          <w:tcPr>
            <w:tcW w:type="dxa" w:w="1584"/>
            <w:vAlign w:val="center"/>
          </w:tcPr>
          <w:p>
            <w:pPr>
              <w:spacing w:before="0" w:after="0" w:line="240" w:lineRule="auto"/>
              <w:jc w:val="center"/>
            </w:pPr>
            <w:r>
              <w:rPr>
                <w:sz w:val="18"/>
              </w:rPr>
              <w:t>4</w:t>
            </w:r>
          </w:p>
        </w:tc>
        <w:tc>
          <w:tcPr>
            <w:tcW w:type="dxa" w:w="1728"/>
            <w:vAlign w:val="center"/>
          </w:tcPr>
          <w:p>
            <w:pPr>
              <w:spacing w:before="0" w:after="0" w:line="240" w:lineRule="auto"/>
              <w:jc w:val="center"/>
            </w:pPr>
            <w:r>
              <w:rPr>
                <w:sz w:val="18"/>
              </w:rPr>
              <w:t>Yes</w:t>
            </w:r>
          </w:p>
        </w:tc>
      </w:tr>
    </w:tbl>
    <w:p>
      <w:r>
        <w:br w:type="page"/>
      </w:r>
    </w:p>
    <w:p>
      <w:pPr>
        <w:spacing w:before="160" w:after="80"/>
      </w:pPr>
      <w:r>
        <w:rPr>
          <w:rFonts w:ascii="Calibri" w:hAnsi="Calibri"/>
          <w:b/>
          <w:i w:val="0"/>
          <w:sz w:val="21"/>
        </w:rPr>
        <w:t>Supplementary Table S2. Crude mortality according to early AKI trajectory.</w:t>
      </w:r>
    </w:p>
    <w:tbl>
      <w:tblPr>
        <w:tblStyle w:val="TableGrid"/>
        <w:tblW w:type="auto" w:w="0"/>
        <w:tblLook w:firstColumn="1" w:firstRow="1" w:lastColumn="0" w:lastRow="0" w:noHBand="0" w:noVBand="1" w:val="04A0"/>
      </w:tblPr>
      <w:tblGrid>
        <w:gridCol w:w="2352"/>
        <w:gridCol w:w="2352"/>
        <w:gridCol w:w="2352"/>
        <w:gridCol w:w="2352"/>
        <w:gridCol w:w="2352"/>
        <w:gridCol w:w="2352"/>
      </w:tblGrid>
      <w:tr>
        <w:trPr>
          <w:tblHeader w:val="true"/>
          <w:cantSplit/>
          <w:tblHeader/>
        </w:trPr>
        <w:tc>
          <w:tcPr>
            <w:tcW w:type="dxa" w:w="3168"/>
            <w:vAlign w:val="center"/>
            <w:shd w:fill="F2F4F7"/>
            <w:tcMar>
              <w:top w:w="30" w:type="dxa"/>
              <w:start w:w="120" w:type="dxa"/>
              <w:bottom w:w="30" w:type="dxa"/>
              <w:end w:w="120" w:type="dxa"/>
            </w:tcMar>
          </w:tcPr>
          <w:p>
            <w:pPr>
              <w:spacing w:after="0" w:line="240" w:lineRule="auto" w:before="0"/>
              <w:jc w:val="center"/>
            </w:pPr>
            <w:r>
              <w:rPr>
                <w:sz w:val="17"/>
              </w:rPr>
            </w:r>
            <w:r>
              <w:rPr>
                <w:rFonts w:ascii="Calibri" w:hAnsi="Calibri"/>
                <w:b/>
                <w:i w:val="0"/>
                <w:sz w:val="17"/>
              </w:rPr>
              <w:t>AKI trajectory group</w:t>
            </w:r>
          </w:p>
        </w:tc>
        <w:tc>
          <w:tcPr>
            <w:tcW w:type="dxa" w:w="1152"/>
            <w:vAlign w:val="center"/>
            <w:shd w:fill="F2F4F7"/>
            <w:tcMar>
              <w:top w:w="30" w:type="dxa"/>
              <w:start w:w="120" w:type="dxa"/>
              <w:bottom w:w="30" w:type="dxa"/>
              <w:end w:w="120" w:type="dxa"/>
            </w:tcMar>
          </w:tcPr>
          <w:p>
            <w:pPr>
              <w:spacing w:after="0" w:line="240" w:lineRule="auto" w:before="0"/>
              <w:jc w:val="center"/>
            </w:pPr>
            <w:r>
              <w:rPr>
                <w:sz w:val="17"/>
              </w:rPr>
            </w:r>
            <w:r>
              <w:rPr>
                <w:rFonts w:ascii="Calibri" w:hAnsi="Calibri"/>
                <w:b/>
                <w:i w:val="0"/>
                <w:sz w:val="17"/>
              </w:rPr>
              <w:t>n</w:t>
            </w:r>
          </w:p>
        </w:tc>
        <w:tc>
          <w:tcPr>
            <w:tcW w:type="dxa" w:w="1728"/>
            <w:vAlign w:val="center"/>
            <w:shd w:fill="F2F4F7"/>
            <w:tcMar>
              <w:top w:w="30" w:type="dxa"/>
              <w:start w:w="120" w:type="dxa"/>
              <w:bottom w:w="30" w:type="dxa"/>
              <w:end w:w="120" w:type="dxa"/>
            </w:tcMar>
          </w:tcPr>
          <w:p>
            <w:pPr>
              <w:spacing w:after="0" w:line="240" w:lineRule="auto" w:before="0"/>
              <w:jc w:val="center"/>
            </w:pPr>
            <w:r>
              <w:rPr>
                <w:sz w:val="17"/>
              </w:rPr>
            </w:r>
            <w:r>
              <w:rPr>
                <w:rFonts w:ascii="Calibri" w:hAnsi="Calibri"/>
                <w:b/>
                <w:i w:val="0"/>
                <w:sz w:val="17"/>
              </w:rPr>
              <w:t>28-day deaths</w:t>
            </w:r>
          </w:p>
        </w:tc>
        <w:tc>
          <w:tcPr>
            <w:tcW w:type="dxa" w:w="1872"/>
            <w:vAlign w:val="center"/>
            <w:shd w:fill="F2F4F7"/>
            <w:tcMar>
              <w:top w:w="30" w:type="dxa"/>
              <w:start w:w="120" w:type="dxa"/>
              <w:bottom w:w="30" w:type="dxa"/>
              <w:end w:w="120" w:type="dxa"/>
            </w:tcMar>
          </w:tcPr>
          <w:p>
            <w:pPr>
              <w:spacing w:after="0" w:line="240" w:lineRule="auto" w:before="0"/>
              <w:jc w:val="center"/>
            </w:pPr>
            <w:r>
              <w:rPr>
                <w:sz w:val="17"/>
              </w:rPr>
            </w:r>
            <w:r>
              <w:rPr>
                <w:rFonts w:ascii="Calibri" w:hAnsi="Calibri"/>
                <w:b/>
                <w:i w:val="0"/>
                <w:sz w:val="17"/>
              </w:rPr>
              <w:t>28-day mortality, %</w:t>
            </w:r>
          </w:p>
        </w:tc>
        <w:tc>
          <w:tcPr>
            <w:tcW w:type="dxa" w:w="1728"/>
            <w:vAlign w:val="center"/>
            <w:shd w:fill="F2F4F7"/>
            <w:tcMar>
              <w:top w:w="30" w:type="dxa"/>
              <w:start w:w="120" w:type="dxa"/>
              <w:bottom w:w="30" w:type="dxa"/>
              <w:end w:w="120" w:type="dxa"/>
            </w:tcMar>
          </w:tcPr>
          <w:p>
            <w:pPr>
              <w:spacing w:after="0" w:line="240" w:lineRule="auto" w:before="0"/>
              <w:jc w:val="center"/>
            </w:pPr>
            <w:r>
              <w:rPr>
                <w:sz w:val="17"/>
              </w:rPr>
            </w:r>
            <w:r>
              <w:rPr>
                <w:rFonts w:ascii="Calibri" w:hAnsi="Calibri"/>
                <w:b/>
                <w:i w:val="0"/>
                <w:sz w:val="17"/>
              </w:rPr>
              <w:t>1-year deaths</w:t>
            </w:r>
          </w:p>
        </w:tc>
        <w:tc>
          <w:tcPr>
            <w:tcW w:type="dxa" w:w="1872"/>
            <w:vAlign w:val="center"/>
            <w:shd w:fill="F2F4F7"/>
            <w:tcMar>
              <w:top w:w="30" w:type="dxa"/>
              <w:start w:w="120" w:type="dxa"/>
              <w:bottom w:w="30" w:type="dxa"/>
              <w:end w:w="120" w:type="dxa"/>
            </w:tcMar>
          </w:tcPr>
          <w:p>
            <w:pPr>
              <w:spacing w:after="0" w:line="240" w:lineRule="auto" w:before="0"/>
              <w:jc w:val="center"/>
            </w:pPr>
            <w:r>
              <w:rPr>
                <w:sz w:val="17"/>
              </w:rPr>
            </w:r>
            <w:r>
              <w:rPr>
                <w:rFonts w:ascii="Calibri" w:hAnsi="Calibri"/>
                <w:b/>
                <w:i w:val="0"/>
                <w:sz w:val="17"/>
              </w:rPr>
              <w:t>1-year mortality, %</w:t>
            </w:r>
          </w:p>
        </w:tc>
      </w:tr>
      <w:tr>
        <w:trPr>
          <w:cantSplit/>
        </w:trPr>
        <w:tc>
          <w:tcPr>
            <w:tcW w:type="dxa" w:w="3168"/>
            <w:vAlign w:val="center"/>
            <w:tcMar>
              <w:top w:w="30" w:type="dxa"/>
              <w:start w:w="120" w:type="dxa"/>
              <w:bottom w:w="30" w:type="dxa"/>
              <w:end w:w="120" w:type="dxa"/>
            </w:tcMar>
          </w:tcPr>
          <w:p>
            <w:pPr>
              <w:spacing w:after="0" w:line="240" w:lineRule="auto" w:before="0"/>
              <w:jc w:val="left"/>
            </w:pPr>
            <w:r>
              <w:rPr>
                <w:sz w:val="17"/>
              </w:rPr>
            </w:r>
            <w:r>
              <w:rPr>
                <w:rFonts w:ascii="Calibri" w:hAnsi="Calibri"/>
                <w:b w:val="0"/>
                <w:i w:val="0"/>
                <w:sz w:val="17"/>
              </w:rPr>
              <w:t>No early AKI</w:t>
            </w:r>
          </w:p>
        </w:tc>
        <w:tc>
          <w:tcPr>
            <w:tcW w:type="dxa" w:w="1152"/>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422</w:t>
            </w:r>
          </w:p>
        </w:tc>
        <w:tc>
          <w:tcPr>
            <w:tcW w:type="dxa" w:w="1728"/>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57</w:t>
            </w:r>
          </w:p>
        </w:tc>
        <w:tc>
          <w:tcPr>
            <w:tcW w:type="dxa" w:w="1872"/>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13.51</w:t>
            </w:r>
          </w:p>
        </w:tc>
        <w:tc>
          <w:tcPr>
            <w:tcW w:type="dxa" w:w="1728"/>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120</w:t>
            </w:r>
          </w:p>
        </w:tc>
        <w:tc>
          <w:tcPr>
            <w:tcW w:type="dxa" w:w="1872"/>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28.44</w:t>
            </w:r>
          </w:p>
        </w:tc>
      </w:tr>
      <w:tr>
        <w:trPr>
          <w:cantSplit/>
        </w:trPr>
        <w:tc>
          <w:tcPr>
            <w:tcW w:type="dxa" w:w="3168"/>
            <w:vAlign w:val="center"/>
            <w:tcMar>
              <w:top w:w="30" w:type="dxa"/>
              <w:start w:w="120" w:type="dxa"/>
              <w:bottom w:w="30" w:type="dxa"/>
              <w:end w:w="120" w:type="dxa"/>
            </w:tcMar>
          </w:tcPr>
          <w:p>
            <w:pPr>
              <w:spacing w:after="0" w:line="240" w:lineRule="auto" w:before="0"/>
              <w:jc w:val="left"/>
            </w:pPr>
            <w:r>
              <w:rPr>
                <w:sz w:val="17"/>
              </w:rPr>
            </w:r>
            <w:r>
              <w:rPr>
                <w:rFonts w:ascii="Calibri" w:hAnsi="Calibri"/>
                <w:b w:val="0"/>
                <w:i w:val="0"/>
                <w:sz w:val="17"/>
              </w:rPr>
              <w:t>Transient AKI</w:t>
            </w:r>
          </w:p>
        </w:tc>
        <w:tc>
          <w:tcPr>
            <w:tcW w:type="dxa" w:w="1152"/>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892</w:t>
            </w:r>
          </w:p>
        </w:tc>
        <w:tc>
          <w:tcPr>
            <w:tcW w:type="dxa" w:w="1728"/>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123</w:t>
            </w:r>
          </w:p>
        </w:tc>
        <w:tc>
          <w:tcPr>
            <w:tcW w:type="dxa" w:w="1872"/>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13.79</w:t>
            </w:r>
          </w:p>
        </w:tc>
        <w:tc>
          <w:tcPr>
            <w:tcW w:type="dxa" w:w="1728"/>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273</w:t>
            </w:r>
          </w:p>
        </w:tc>
        <w:tc>
          <w:tcPr>
            <w:tcW w:type="dxa" w:w="1872"/>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30.61</w:t>
            </w:r>
          </w:p>
        </w:tc>
      </w:tr>
      <w:tr>
        <w:trPr>
          <w:cantSplit/>
        </w:trPr>
        <w:tc>
          <w:tcPr>
            <w:tcW w:type="dxa" w:w="3168"/>
            <w:vAlign w:val="center"/>
            <w:tcMar>
              <w:top w:w="30" w:type="dxa"/>
              <w:start w:w="120" w:type="dxa"/>
              <w:bottom w:w="30" w:type="dxa"/>
              <w:end w:w="120" w:type="dxa"/>
            </w:tcMar>
          </w:tcPr>
          <w:p>
            <w:pPr>
              <w:spacing w:after="0" w:line="240" w:lineRule="auto" w:before="0"/>
              <w:jc w:val="left"/>
            </w:pPr>
            <w:r>
              <w:rPr>
                <w:sz w:val="17"/>
              </w:rPr>
            </w:r>
            <w:r>
              <w:rPr>
                <w:rFonts w:ascii="Calibri" w:hAnsi="Calibri"/>
                <w:b w:val="0"/>
                <w:i w:val="0"/>
                <w:sz w:val="17"/>
              </w:rPr>
              <w:t>Persistent-pattern AKI</w:t>
            </w:r>
          </w:p>
        </w:tc>
        <w:tc>
          <w:tcPr>
            <w:tcW w:type="dxa" w:w="1152"/>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2150</w:t>
            </w:r>
          </w:p>
        </w:tc>
        <w:tc>
          <w:tcPr>
            <w:tcW w:type="dxa" w:w="1728"/>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553</w:t>
            </w:r>
          </w:p>
        </w:tc>
        <w:tc>
          <w:tcPr>
            <w:tcW w:type="dxa" w:w="1872"/>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25.72</w:t>
            </w:r>
          </w:p>
        </w:tc>
        <w:tc>
          <w:tcPr>
            <w:tcW w:type="dxa" w:w="1728"/>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901</w:t>
            </w:r>
          </w:p>
        </w:tc>
        <w:tc>
          <w:tcPr>
            <w:tcW w:type="dxa" w:w="1872"/>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41.91</w:t>
            </w:r>
          </w:p>
        </w:tc>
      </w:tr>
    </w:tbl>
    <w:p>
      <w:pPr>
        <w:spacing w:before="160" w:after="80"/>
      </w:pPr>
      <w:r>
        <w:rPr>
          <w:rFonts w:ascii="Calibri" w:hAnsi="Calibri"/>
          <w:b/>
          <w:i w:val="0"/>
          <w:sz w:val="21"/>
        </w:rPr>
        <w:t>Supplementary Table S3. Cohort construction and consistency checks.</w:t>
      </w:r>
    </w:p>
    <w:tbl>
      <w:tblPr>
        <w:tblStyle w:val="TableGrid"/>
        <w:tblW w:type="auto" w:w="0"/>
        <w:tblLook w:firstColumn="1" w:firstRow="1" w:lastColumn="0" w:lastRow="0" w:noHBand="0" w:noVBand="1" w:val="04A0"/>
      </w:tblPr>
      <w:tblGrid>
        <w:gridCol w:w="7056"/>
        <w:gridCol w:w="7056"/>
      </w:tblGrid>
      <w:tr>
        <w:trPr>
          <w:tblHeader w:val="true"/>
          <w:cantSplit/>
          <w:tblHeader/>
        </w:trPr>
        <w:tc>
          <w:tcPr>
            <w:tcW w:type="dxa" w:w="6912"/>
            <w:vAlign w:val="center"/>
            <w:shd w:fill="F2F4F7"/>
            <w:tcMar>
              <w:top w:w="30" w:type="dxa"/>
              <w:start w:w="120" w:type="dxa"/>
              <w:bottom w:w="30" w:type="dxa"/>
              <w:end w:w="120" w:type="dxa"/>
            </w:tcMar>
          </w:tcPr>
          <w:p>
            <w:pPr>
              <w:spacing w:after="0" w:line="240" w:lineRule="auto" w:before="0"/>
              <w:jc w:val="center"/>
            </w:pPr>
            <w:r>
              <w:rPr>
                <w:sz w:val="17"/>
              </w:rPr>
            </w:r>
            <w:r>
              <w:rPr>
                <w:rFonts w:ascii="Calibri" w:hAnsi="Calibri"/>
                <w:b/>
                <w:i w:val="0"/>
                <w:sz w:val="17"/>
              </w:rPr>
              <w:t>Audit item</w:t>
            </w:r>
          </w:p>
        </w:tc>
        <w:tc>
          <w:tcPr>
            <w:tcW w:type="dxa" w:w="1584"/>
            <w:vAlign w:val="center"/>
            <w:shd w:fill="F2F4F7"/>
            <w:tcMar>
              <w:top w:w="30" w:type="dxa"/>
              <w:start w:w="120" w:type="dxa"/>
              <w:bottom w:w="30" w:type="dxa"/>
              <w:end w:w="120" w:type="dxa"/>
            </w:tcMar>
          </w:tcPr>
          <w:p>
            <w:pPr>
              <w:spacing w:after="0" w:line="240" w:lineRule="auto" w:before="0"/>
              <w:jc w:val="center"/>
            </w:pPr>
            <w:r>
              <w:rPr>
                <w:sz w:val="17"/>
              </w:rPr>
            </w:r>
            <w:r>
              <w:rPr>
                <w:rFonts w:ascii="Calibri" w:hAnsi="Calibri"/>
                <w:b/>
                <w:i w:val="0"/>
                <w:sz w:val="17"/>
              </w:rPr>
              <w:t>n</w:t>
            </w:r>
          </w:p>
        </w:tc>
      </w:tr>
      <w:tr>
        <w:trPr>
          <w:cantSplit/>
        </w:trPr>
        <w:tc>
          <w:tcPr>
            <w:tcW w:type="dxa" w:w="6912"/>
            <w:vAlign w:val="center"/>
            <w:tcMar>
              <w:top w:w="30" w:type="dxa"/>
              <w:start w:w="120" w:type="dxa"/>
              <w:bottom w:w="30" w:type="dxa"/>
              <w:end w:w="120" w:type="dxa"/>
            </w:tcMar>
          </w:tcPr>
          <w:p>
            <w:pPr>
              <w:spacing w:after="0" w:line="240" w:lineRule="auto" w:before="0"/>
              <w:jc w:val="left"/>
            </w:pPr>
            <w:r>
              <w:rPr>
                <w:sz w:val="17"/>
              </w:rPr>
            </w:r>
            <w:r>
              <w:rPr>
                <w:rFonts w:ascii="Calibri" w:hAnsi="Calibri"/>
                <w:b w:val="0"/>
                <w:i w:val="0"/>
                <w:sz w:val="17"/>
              </w:rPr>
              <w:t>Full exported rows</w:t>
            </w:r>
          </w:p>
        </w:tc>
        <w:tc>
          <w:tcPr>
            <w:tcW w:type="dxa" w:w="1584"/>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6274</w:t>
            </w:r>
          </w:p>
        </w:tc>
      </w:tr>
      <w:tr>
        <w:trPr>
          <w:cantSplit/>
        </w:trPr>
        <w:tc>
          <w:tcPr>
            <w:tcW w:type="dxa" w:w="6912"/>
            <w:vAlign w:val="center"/>
            <w:tcMar>
              <w:top w:w="30" w:type="dxa"/>
              <w:start w:w="120" w:type="dxa"/>
              <w:bottom w:w="30" w:type="dxa"/>
              <w:end w:w="120" w:type="dxa"/>
            </w:tcMar>
          </w:tcPr>
          <w:p>
            <w:pPr>
              <w:spacing w:after="0" w:line="240" w:lineRule="auto" w:before="0"/>
              <w:jc w:val="left"/>
            </w:pPr>
            <w:r>
              <w:rPr>
                <w:sz w:val="17"/>
              </w:rPr>
            </w:r>
            <w:r>
              <w:rPr>
                <w:rFonts w:ascii="Calibri" w:hAnsi="Calibri"/>
                <w:b w:val="0"/>
                <w:i w:val="0"/>
                <w:sz w:val="17"/>
              </w:rPr>
              <w:t>Primary analysis rows</w:t>
            </w:r>
          </w:p>
        </w:tc>
        <w:tc>
          <w:tcPr>
            <w:tcW w:type="dxa" w:w="1584"/>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3464</w:t>
            </w:r>
          </w:p>
        </w:tc>
      </w:tr>
      <w:tr>
        <w:trPr>
          <w:cantSplit/>
        </w:trPr>
        <w:tc>
          <w:tcPr>
            <w:tcW w:type="dxa" w:w="6912"/>
            <w:vAlign w:val="center"/>
            <w:tcMar>
              <w:top w:w="30" w:type="dxa"/>
              <w:start w:w="120" w:type="dxa"/>
              <w:bottom w:w="30" w:type="dxa"/>
              <w:end w:w="120" w:type="dxa"/>
            </w:tcMar>
          </w:tcPr>
          <w:p>
            <w:pPr>
              <w:spacing w:after="0" w:line="240" w:lineRule="auto" w:before="0"/>
              <w:jc w:val="left"/>
            </w:pPr>
            <w:r>
              <w:rPr>
                <w:sz w:val="17"/>
              </w:rPr>
            </w:r>
            <w:r>
              <w:rPr>
                <w:rFonts w:ascii="Calibri" w:hAnsi="Calibri"/>
                <w:b w:val="0"/>
                <w:i w:val="0"/>
                <w:sz w:val="17"/>
              </w:rPr>
              <w:t>Late-onset AKI rows excluded from primary recovery analysis</w:t>
            </w:r>
          </w:p>
        </w:tc>
        <w:tc>
          <w:tcPr>
            <w:tcW w:type="dxa" w:w="1584"/>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195</w:t>
            </w:r>
          </w:p>
        </w:tc>
      </w:tr>
      <w:tr>
        <w:trPr>
          <w:cantSplit/>
        </w:trPr>
        <w:tc>
          <w:tcPr>
            <w:tcW w:type="dxa" w:w="6912"/>
            <w:vAlign w:val="center"/>
            <w:tcMar>
              <w:top w:w="30" w:type="dxa"/>
              <w:start w:w="120" w:type="dxa"/>
              <w:bottom w:w="30" w:type="dxa"/>
              <w:end w:w="120" w:type="dxa"/>
            </w:tcMar>
          </w:tcPr>
          <w:p>
            <w:pPr>
              <w:spacing w:after="0" w:line="240" w:lineRule="auto" w:before="0"/>
              <w:jc w:val="left"/>
            </w:pPr>
            <w:r>
              <w:rPr>
                <w:sz w:val="17"/>
              </w:rPr>
            </w:r>
            <w:r>
              <w:rPr>
                <w:rFonts w:ascii="Calibri" w:hAnsi="Calibri"/>
                <w:b w:val="0"/>
                <w:i w:val="0"/>
                <w:sz w:val="17"/>
              </w:rPr>
              <w:t>Unobservable 48-72h rows excluded from primary analysis</w:t>
            </w:r>
          </w:p>
        </w:tc>
        <w:tc>
          <w:tcPr>
            <w:tcW w:type="dxa" w:w="1584"/>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2615</w:t>
            </w:r>
          </w:p>
        </w:tc>
      </w:tr>
      <w:tr>
        <w:trPr>
          <w:cantSplit/>
        </w:trPr>
        <w:tc>
          <w:tcPr>
            <w:tcW w:type="dxa" w:w="6912"/>
            <w:vAlign w:val="center"/>
            <w:tcMar>
              <w:top w:w="30" w:type="dxa"/>
              <w:start w:w="120" w:type="dxa"/>
              <w:bottom w:w="30" w:type="dxa"/>
              <w:end w:w="120" w:type="dxa"/>
            </w:tcMar>
          </w:tcPr>
          <w:p>
            <w:pPr>
              <w:spacing w:after="0" w:line="240" w:lineRule="auto" w:before="0"/>
              <w:jc w:val="left"/>
            </w:pPr>
            <w:r>
              <w:rPr>
                <w:sz w:val="17"/>
              </w:rPr>
            </w:r>
            <w:r>
              <w:rPr>
                <w:rFonts w:ascii="Calibri" w:hAnsi="Calibri"/>
                <w:b w:val="0"/>
                <w:i w:val="0"/>
                <w:sz w:val="17"/>
              </w:rPr>
              <w:t>Other/unclassified rows</w:t>
            </w:r>
          </w:p>
        </w:tc>
        <w:tc>
          <w:tcPr>
            <w:tcW w:type="dxa" w:w="1584"/>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0</w:t>
            </w:r>
          </w:p>
        </w:tc>
      </w:tr>
    </w:tbl>
    <w:p>
      <w:pPr>
        <w:spacing w:before="160" w:after="80"/>
      </w:pPr>
      <w:r>
        <w:rPr>
          <w:rFonts w:ascii="Calibri" w:hAnsi="Calibri"/>
          <w:b/>
          <w:i w:val="0"/>
          <w:sz w:val="21"/>
        </w:rPr>
        <w:t>Supplementary Table S4. Schoenfeld residual-based proportional hazards diagnostics.</w:t>
      </w:r>
    </w:p>
    <w:tbl>
      <w:tblPr>
        <w:tblStyle w:val="TableGrid"/>
        <w:tblW w:type="auto" w:w="0"/>
        <w:tblLook w:firstColumn="1" w:firstRow="1" w:lastColumn="0" w:lastRow="0" w:noHBand="0" w:noVBand="1" w:val="04A0"/>
      </w:tblPr>
      <w:tblGrid>
        <w:gridCol w:w="2352"/>
        <w:gridCol w:w="2352"/>
        <w:gridCol w:w="2352"/>
        <w:gridCol w:w="2352"/>
        <w:gridCol w:w="2352"/>
        <w:gridCol w:w="2352"/>
      </w:tblGrid>
      <w:tr>
        <w:trPr>
          <w:tblHeader w:val="true"/>
          <w:cantSplit/>
          <w:tblHeader/>
        </w:trPr>
        <w:tc>
          <w:tcPr>
            <w:tcW w:type="dxa" w:w="2016"/>
            <w:vAlign w:val="center"/>
            <w:shd w:fill="F2F4F7"/>
            <w:tcMar>
              <w:top w:w="30" w:type="dxa"/>
              <w:start w:w="120" w:type="dxa"/>
              <w:bottom w:w="30" w:type="dxa"/>
              <w:end w:w="120" w:type="dxa"/>
            </w:tcMar>
          </w:tcPr>
          <w:p>
            <w:pPr>
              <w:spacing w:after="0" w:line="240" w:lineRule="auto" w:before="0"/>
              <w:jc w:val="center"/>
            </w:pPr>
            <w:r>
              <w:rPr>
                <w:sz w:val="17"/>
              </w:rPr>
            </w:r>
            <w:r>
              <w:rPr>
                <w:rFonts w:ascii="Calibri" w:hAnsi="Calibri"/>
                <w:b/>
                <w:i w:val="0"/>
                <w:sz w:val="17"/>
              </w:rPr>
              <w:t>Endpoint</w:t>
            </w:r>
          </w:p>
        </w:tc>
        <w:tc>
          <w:tcPr>
            <w:tcW w:type="dxa" w:w="2592"/>
            <w:vAlign w:val="center"/>
            <w:shd w:fill="F2F4F7"/>
            <w:tcMar>
              <w:top w:w="30" w:type="dxa"/>
              <w:start w:w="120" w:type="dxa"/>
              <w:bottom w:w="30" w:type="dxa"/>
              <w:end w:w="120" w:type="dxa"/>
            </w:tcMar>
          </w:tcPr>
          <w:p>
            <w:pPr>
              <w:spacing w:after="0" w:line="240" w:lineRule="auto" w:before="0"/>
              <w:jc w:val="center"/>
            </w:pPr>
            <w:r>
              <w:rPr>
                <w:sz w:val="17"/>
              </w:rPr>
            </w:r>
            <w:r>
              <w:rPr>
                <w:rFonts w:ascii="Calibri" w:hAnsi="Calibri"/>
                <w:b/>
                <w:i w:val="0"/>
                <w:sz w:val="17"/>
              </w:rPr>
              <w:t>Model</w:t>
            </w:r>
          </w:p>
        </w:tc>
        <w:tc>
          <w:tcPr>
            <w:tcW w:type="dxa" w:w="3168"/>
            <w:vAlign w:val="center"/>
            <w:shd w:fill="F2F4F7"/>
            <w:tcMar>
              <w:top w:w="30" w:type="dxa"/>
              <w:start w:w="120" w:type="dxa"/>
              <w:bottom w:w="30" w:type="dxa"/>
              <w:end w:w="120" w:type="dxa"/>
            </w:tcMar>
          </w:tcPr>
          <w:p>
            <w:pPr>
              <w:spacing w:after="0" w:line="240" w:lineRule="auto" w:before="0"/>
              <w:jc w:val="center"/>
            </w:pPr>
            <w:r>
              <w:rPr>
                <w:sz w:val="17"/>
              </w:rPr>
            </w:r>
            <w:r>
              <w:rPr>
                <w:rFonts w:ascii="Calibri" w:hAnsi="Calibri"/>
                <w:b/>
                <w:i w:val="0"/>
                <w:sz w:val="17"/>
              </w:rPr>
              <w:t>Test term</w:t>
            </w:r>
          </w:p>
        </w:tc>
        <w:tc>
          <w:tcPr>
            <w:tcW w:type="dxa" w:w="1440"/>
            <w:vAlign w:val="center"/>
            <w:shd w:fill="F2F4F7"/>
            <w:tcMar>
              <w:top w:w="30" w:type="dxa"/>
              <w:start w:w="120" w:type="dxa"/>
              <w:bottom w:w="30" w:type="dxa"/>
              <w:end w:w="120" w:type="dxa"/>
            </w:tcMar>
          </w:tcPr>
          <w:p>
            <w:pPr>
              <w:spacing w:after="0" w:line="240" w:lineRule="auto" w:before="0"/>
              <w:jc w:val="center"/>
            </w:pPr>
            <w:r>
              <w:rPr>
                <w:sz w:val="17"/>
              </w:rPr>
            </w:r>
            <w:r>
              <w:rPr>
                <w:rFonts w:ascii="Calibri" w:hAnsi="Calibri"/>
                <w:b/>
                <w:i w:val="0"/>
                <w:sz w:val="17"/>
              </w:rPr>
              <w:t>Chi-square</w:t>
            </w:r>
          </w:p>
        </w:tc>
        <w:tc>
          <w:tcPr>
            <w:tcW w:type="dxa" w:w="864"/>
            <w:vAlign w:val="center"/>
            <w:shd w:fill="F2F4F7"/>
            <w:tcMar>
              <w:top w:w="30" w:type="dxa"/>
              <w:start w:w="120" w:type="dxa"/>
              <w:bottom w:w="30" w:type="dxa"/>
              <w:end w:w="120" w:type="dxa"/>
            </w:tcMar>
          </w:tcPr>
          <w:p>
            <w:pPr>
              <w:spacing w:after="0" w:line="240" w:lineRule="auto" w:before="0"/>
              <w:jc w:val="center"/>
            </w:pPr>
            <w:r>
              <w:rPr>
                <w:sz w:val="17"/>
              </w:rPr>
            </w:r>
            <w:r>
              <w:rPr>
                <w:rFonts w:ascii="Calibri" w:hAnsi="Calibri"/>
                <w:b/>
                <w:i w:val="0"/>
                <w:sz w:val="17"/>
              </w:rPr>
              <w:t>df</w:t>
            </w:r>
          </w:p>
        </w:tc>
        <w:tc>
          <w:tcPr>
            <w:tcW w:type="dxa" w:w="1296"/>
            <w:vAlign w:val="center"/>
            <w:shd w:fill="F2F4F7"/>
            <w:tcMar>
              <w:top w:w="30" w:type="dxa"/>
              <w:start w:w="120" w:type="dxa"/>
              <w:bottom w:w="30" w:type="dxa"/>
              <w:end w:w="120" w:type="dxa"/>
            </w:tcMar>
          </w:tcPr>
          <w:p>
            <w:pPr>
              <w:spacing w:after="0" w:line="240" w:lineRule="auto" w:before="0"/>
              <w:jc w:val="center"/>
            </w:pPr>
            <w:r>
              <w:rPr>
                <w:sz w:val="17"/>
              </w:rPr>
            </w:r>
            <w:r>
              <w:rPr>
                <w:rFonts w:ascii="Calibri" w:hAnsi="Calibri"/>
                <w:b/>
                <w:i w:val="0"/>
                <w:sz w:val="17"/>
              </w:rPr>
              <w:t>P value</w:t>
            </w:r>
          </w:p>
        </w:tc>
      </w:tr>
      <w:tr>
        <w:trPr>
          <w:cantSplit/>
        </w:trPr>
        <w:tc>
          <w:tcPr>
            <w:tcW w:type="dxa" w:w="2016"/>
            <w:vAlign w:val="center"/>
            <w:tcMar>
              <w:top w:w="30" w:type="dxa"/>
              <w:start w:w="120" w:type="dxa"/>
              <w:bottom w:w="30" w:type="dxa"/>
              <w:end w:w="120" w:type="dxa"/>
            </w:tcMar>
          </w:tcPr>
          <w:p>
            <w:pPr>
              <w:spacing w:after="0" w:line="240" w:lineRule="auto" w:before="0"/>
              <w:jc w:val="left"/>
            </w:pPr>
            <w:r>
              <w:rPr>
                <w:sz w:val="17"/>
              </w:rPr>
            </w:r>
            <w:r>
              <w:rPr>
                <w:rFonts w:ascii="Calibri" w:hAnsi="Calibri"/>
                <w:b w:val="0"/>
                <w:i w:val="0"/>
                <w:sz w:val="17"/>
              </w:rPr>
              <w:t>28-day mortality</w:t>
            </w:r>
          </w:p>
        </w:tc>
        <w:tc>
          <w:tcPr>
            <w:tcW w:type="dxa" w:w="2592"/>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Primary adjusted Cox</w:t>
            </w:r>
          </w:p>
        </w:tc>
        <w:tc>
          <w:tcPr>
            <w:tcW w:type="dxa" w:w="3168"/>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final_primary3_group</w:t>
            </w:r>
          </w:p>
        </w:tc>
        <w:tc>
          <w:tcPr>
            <w:tcW w:type="dxa" w:w="1440"/>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3.71</w:t>
            </w:r>
          </w:p>
        </w:tc>
        <w:tc>
          <w:tcPr>
            <w:tcW w:type="dxa" w:w="864"/>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2</w:t>
            </w:r>
          </w:p>
        </w:tc>
        <w:tc>
          <w:tcPr>
            <w:tcW w:type="dxa" w:w="1296"/>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0.157</w:t>
            </w:r>
          </w:p>
        </w:tc>
      </w:tr>
      <w:tr>
        <w:trPr>
          <w:cantSplit/>
        </w:trPr>
        <w:tc>
          <w:tcPr>
            <w:tcW w:type="dxa" w:w="2016"/>
            <w:vAlign w:val="center"/>
            <w:tcMar>
              <w:top w:w="30" w:type="dxa"/>
              <w:start w:w="120" w:type="dxa"/>
              <w:bottom w:w="30" w:type="dxa"/>
              <w:end w:w="120" w:type="dxa"/>
            </w:tcMar>
          </w:tcPr>
          <w:p>
            <w:pPr>
              <w:spacing w:after="0" w:line="240" w:lineRule="auto" w:before="0"/>
              <w:jc w:val="left"/>
            </w:pPr>
            <w:r>
              <w:rPr>
                <w:sz w:val="17"/>
              </w:rPr>
            </w:r>
            <w:r>
              <w:rPr>
                <w:rFonts w:ascii="Calibri" w:hAnsi="Calibri"/>
                <w:b w:val="0"/>
                <w:i w:val="0"/>
                <w:sz w:val="17"/>
              </w:rPr>
              <w:t>28-day mortality</w:t>
            </w:r>
          </w:p>
        </w:tc>
        <w:tc>
          <w:tcPr>
            <w:tcW w:type="dxa" w:w="2592"/>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Primary adjusted Cox</w:t>
            </w:r>
          </w:p>
        </w:tc>
        <w:tc>
          <w:tcPr>
            <w:tcW w:type="dxa" w:w="3168"/>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GLOBAL</w:t>
            </w:r>
          </w:p>
        </w:tc>
        <w:tc>
          <w:tcPr>
            <w:tcW w:type="dxa" w:w="1440"/>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32.45</w:t>
            </w:r>
          </w:p>
        </w:tc>
        <w:tc>
          <w:tcPr>
            <w:tcW w:type="dxa" w:w="864"/>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17</w:t>
            </w:r>
          </w:p>
        </w:tc>
        <w:tc>
          <w:tcPr>
            <w:tcW w:type="dxa" w:w="1296"/>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0.013</w:t>
            </w:r>
          </w:p>
        </w:tc>
      </w:tr>
      <w:tr>
        <w:trPr>
          <w:cantSplit/>
        </w:trPr>
        <w:tc>
          <w:tcPr>
            <w:tcW w:type="dxa" w:w="2016"/>
            <w:vAlign w:val="center"/>
            <w:tcMar>
              <w:top w:w="30" w:type="dxa"/>
              <w:start w:w="120" w:type="dxa"/>
              <w:bottom w:w="30" w:type="dxa"/>
              <w:end w:w="120" w:type="dxa"/>
            </w:tcMar>
          </w:tcPr>
          <w:p>
            <w:pPr>
              <w:spacing w:after="0" w:line="240" w:lineRule="auto" w:before="0"/>
              <w:jc w:val="left"/>
            </w:pPr>
            <w:r>
              <w:rPr>
                <w:sz w:val="17"/>
              </w:rPr>
            </w:r>
            <w:r>
              <w:rPr>
                <w:rFonts w:ascii="Calibri" w:hAnsi="Calibri"/>
                <w:b w:val="0"/>
                <w:i w:val="0"/>
                <w:sz w:val="17"/>
              </w:rPr>
              <w:t>1-year mortality</w:t>
            </w:r>
          </w:p>
        </w:tc>
        <w:tc>
          <w:tcPr>
            <w:tcW w:type="dxa" w:w="2592"/>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Primary adjusted Cox</w:t>
            </w:r>
          </w:p>
        </w:tc>
        <w:tc>
          <w:tcPr>
            <w:tcW w:type="dxa" w:w="3168"/>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final_primary3_group</w:t>
            </w:r>
          </w:p>
        </w:tc>
        <w:tc>
          <w:tcPr>
            <w:tcW w:type="dxa" w:w="1440"/>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18.50</w:t>
            </w:r>
          </w:p>
        </w:tc>
        <w:tc>
          <w:tcPr>
            <w:tcW w:type="dxa" w:w="864"/>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2</w:t>
            </w:r>
          </w:p>
        </w:tc>
        <w:tc>
          <w:tcPr>
            <w:tcW w:type="dxa" w:w="1296"/>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&lt;0.001</w:t>
            </w:r>
          </w:p>
        </w:tc>
      </w:tr>
      <w:tr>
        <w:trPr>
          <w:cantSplit/>
        </w:trPr>
        <w:tc>
          <w:tcPr>
            <w:tcW w:type="dxa" w:w="2016"/>
            <w:vAlign w:val="center"/>
            <w:tcMar>
              <w:top w:w="30" w:type="dxa"/>
              <w:start w:w="120" w:type="dxa"/>
              <w:bottom w:w="30" w:type="dxa"/>
              <w:end w:w="120" w:type="dxa"/>
            </w:tcMar>
          </w:tcPr>
          <w:p>
            <w:pPr>
              <w:spacing w:after="0" w:line="240" w:lineRule="auto" w:before="0"/>
              <w:jc w:val="left"/>
            </w:pPr>
            <w:r>
              <w:rPr>
                <w:sz w:val="17"/>
              </w:rPr>
            </w:r>
            <w:r>
              <w:rPr>
                <w:rFonts w:ascii="Calibri" w:hAnsi="Calibri"/>
                <w:b w:val="0"/>
                <w:i w:val="0"/>
                <w:sz w:val="17"/>
              </w:rPr>
              <w:t>1-year mortality</w:t>
            </w:r>
          </w:p>
        </w:tc>
        <w:tc>
          <w:tcPr>
            <w:tcW w:type="dxa" w:w="2592"/>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Primary adjusted Cox</w:t>
            </w:r>
          </w:p>
        </w:tc>
        <w:tc>
          <w:tcPr>
            <w:tcW w:type="dxa" w:w="3168"/>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GLOBAL</w:t>
            </w:r>
          </w:p>
        </w:tc>
        <w:tc>
          <w:tcPr>
            <w:tcW w:type="dxa" w:w="1440"/>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121.41</w:t>
            </w:r>
          </w:p>
        </w:tc>
        <w:tc>
          <w:tcPr>
            <w:tcW w:type="dxa" w:w="864"/>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17</w:t>
            </w:r>
          </w:p>
        </w:tc>
        <w:tc>
          <w:tcPr>
            <w:tcW w:type="dxa" w:w="1296"/>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&lt;0.001</w:t>
            </w:r>
          </w:p>
        </w:tc>
      </w:tr>
    </w:tbl>
    <w:p>
      <w:pPr>
        <w:spacing w:before="160" w:after="80"/>
      </w:pPr>
      <w:r>
        <w:rPr>
          <w:rFonts w:ascii="Calibri" w:hAnsi="Calibri"/>
          <w:b/>
          <w:i w:val="0"/>
          <w:sz w:val="21"/>
        </w:rPr>
        <w:t>Supplementary Table S5. Time-split Cox model for 1-year mortality.</w:t>
      </w:r>
    </w:p>
    <w:tbl>
      <w:tblPr>
        <w:tblStyle w:val="TableGrid"/>
        <w:tblW w:type="auto" w:w="0"/>
        <w:tblLook w:firstColumn="1" w:firstRow="1" w:lastColumn="0" w:lastRow="0" w:noHBand="0" w:noVBand="1" w:val="04A0"/>
      </w:tblPr>
      <w:tblGrid>
        <w:gridCol w:w="2352"/>
        <w:gridCol w:w="2352"/>
        <w:gridCol w:w="2352"/>
        <w:gridCol w:w="2352"/>
        <w:gridCol w:w="2352"/>
        <w:gridCol w:w="2352"/>
      </w:tblGrid>
      <w:tr>
        <w:trPr>
          <w:tblHeader w:val="true"/>
          <w:cantSplit/>
          <w:tblHeader/>
        </w:trPr>
        <w:tc>
          <w:tcPr>
            <w:tcW w:type="dxa" w:w="3600"/>
            <w:vAlign w:val="center"/>
            <w:shd w:fill="F2F4F7"/>
            <w:tcMar>
              <w:top w:w="30" w:type="dxa"/>
              <w:start w:w="120" w:type="dxa"/>
              <w:bottom w:w="30" w:type="dxa"/>
              <w:end w:w="120" w:type="dxa"/>
            </w:tcMar>
          </w:tcPr>
          <w:p>
            <w:pPr>
              <w:spacing w:after="0" w:line="240" w:lineRule="auto" w:before="0"/>
              <w:jc w:val="center"/>
            </w:pPr>
            <w:r>
              <w:rPr>
                <w:sz w:val="17"/>
              </w:rPr>
            </w:r>
            <w:r>
              <w:rPr>
                <w:rFonts w:ascii="Calibri" w:hAnsi="Calibri"/>
                <w:b/>
                <w:i w:val="0"/>
                <w:sz w:val="17"/>
              </w:rPr>
              <w:t>Comparison</w:t>
            </w:r>
          </w:p>
        </w:tc>
        <w:tc>
          <w:tcPr>
            <w:tcW w:type="dxa" w:w="1584"/>
            <w:vAlign w:val="center"/>
            <w:shd w:fill="F2F4F7"/>
            <w:tcMar>
              <w:top w:w="30" w:type="dxa"/>
              <w:start w:w="120" w:type="dxa"/>
              <w:bottom w:w="30" w:type="dxa"/>
              <w:end w:w="120" w:type="dxa"/>
            </w:tcMar>
          </w:tcPr>
          <w:p>
            <w:pPr>
              <w:spacing w:after="0" w:line="240" w:lineRule="auto" w:before="0"/>
              <w:jc w:val="center"/>
            </w:pPr>
            <w:r>
              <w:rPr>
                <w:sz w:val="17"/>
              </w:rPr>
            </w:r>
            <w:r>
              <w:rPr>
                <w:rFonts w:ascii="Calibri" w:hAnsi="Calibri"/>
                <w:b/>
                <w:i w:val="0"/>
                <w:sz w:val="17"/>
              </w:rPr>
              <w:t>Time interval</w:t>
            </w:r>
          </w:p>
        </w:tc>
        <w:tc>
          <w:tcPr>
            <w:tcW w:type="dxa" w:w="1440"/>
            <w:vAlign w:val="center"/>
            <w:shd w:fill="F2F4F7"/>
            <w:tcMar>
              <w:top w:w="30" w:type="dxa"/>
              <w:start w:w="120" w:type="dxa"/>
              <w:bottom w:w="30" w:type="dxa"/>
              <w:end w:w="120" w:type="dxa"/>
            </w:tcMar>
          </w:tcPr>
          <w:p>
            <w:pPr>
              <w:spacing w:after="0" w:line="240" w:lineRule="auto" w:before="0"/>
              <w:jc w:val="center"/>
            </w:pPr>
            <w:r>
              <w:rPr>
                <w:sz w:val="17"/>
              </w:rPr>
            </w:r>
            <w:r>
              <w:rPr>
                <w:rFonts w:ascii="Calibri" w:hAnsi="Calibri"/>
                <w:b/>
                <w:i w:val="0"/>
                <w:sz w:val="17"/>
              </w:rPr>
              <w:t>Adjusted HR</w:t>
            </w:r>
          </w:p>
        </w:tc>
        <w:tc>
          <w:tcPr>
            <w:tcW w:type="dxa" w:w="1440"/>
            <w:vAlign w:val="center"/>
            <w:shd w:fill="F2F4F7"/>
            <w:tcMar>
              <w:top w:w="30" w:type="dxa"/>
              <w:start w:w="120" w:type="dxa"/>
              <w:bottom w:w="30" w:type="dxa"/>
              <w:end w:w="120" w:type="dxa"/>
            </w:tcMar>
          </w:tcPr>
          <w:p>
            <w:pPr>
              <w:spacing w:after="0" w:line="240" w:lineRule="auto" w:before="0"/>
              <w:jc w:val="center"/>
            </w:pPr>
            <w:r>
              <w:rPr>
                <w:sz w:val="17"/>
              </w:rPr>
            </w:r>
            <w:r>
              <w:rPr>
                <w:rFonts w:ascii="Calibri" w:hAnsi="Calibri"/>
                <w:b/>
                <w:i w:val="0"/>
                <w:sz w:val="17"/>
              </w:rPr>
              <w:t>95% CI lower</w:t>
            </w:r>
          </w:p>
        </w:tc>
        <w:tc>
          <w:tcPr>
            <w:tcW w:type="dxa" w:w="1440"/>
            <w:vAlign w:val="center"/>
            <w:shd w:fill="F2F4F7"/>
            <w:tcMar>
              <w:top w:w="30" w:type="dxa"/>
              <w:start w:w="120" w:type="dxa"/>
              <w:bottom w:w="30" w:type="dxa"/>
              <w:end w:w="120" w:type="dxa"/>
            </w:tcMar>
          </w:tcPr>
          <w:p>
            <w:pPr>
              <w:spacing w:after="0" w:line="240" w:lineRule="auto" w:before="0"/>
              <w:jc w:val="center"/>
            </w:pPr>
            <w:r>
              <w:rPr>
                <w:sz w:val="17"/>
              </w:rPr>
            </w:r>
            <w:r>
              <w:rPr>
                <w:rFonts w:ascii="Calibri" w:hAnsi="Calibri"/>
                <w:b/>
                <w:i w:val="0"/>
                <w:sz w:val="17"/>
              </w:rPr>
              <w:t>95% CI upper</w:t>
            </w:r>
          </w:p>
        </w:tc>
        <w:tc>
          <w:tcPr>
            <w:tcW w:type="dxa" w:w="1152"/>
            <w:vAlign w:val="center"/>
            <w:shd w:fill="F2F4F7"/>
            <w:tcMar>
              <w:top w:w="30" w:type="dxa"/>
              <w:start w:w="120" w:type="dxa"/>
              <w:bottom w:w="30" w:type="dxa"/>
              <w:end w:w="120" w:type="dxa"/>
            </w:tcMar>
          </w:tcPr>
          <w:p>
            <w:pPr>
              <w:spacing w:after="0" w:line="240" w:lineRule="auto" w:before="0"/>
              <w:jc w:val="center"/>
            </w:pPr>
            <w:r>
              <w:rPr>
                <w:sz w:val="17"/>
              </w:rPr>
            </w:r>
            <w:r>
              <w:rPr>
                <w:rFonts w:ascii="Calibri" w:hAnsi="Calibri"/>
                <w:b/>
                <w:i w:val="0"/>
                <w:sz w:val="17"/>
              </w:rPr>
              <w:t>P value</w:t>
            </w:r>
          </w:p>
        </w:tc>
      </w:tr>
      <w:tr>
        <w:trPr>
          <w:cantSplit/>
        </w:trPr>
        <w:tc>
          <w:tcPr>
            <w:tcW w:type="dxa" w:w="3600"/>
            <w:vAlign w:val="center"/>
            <w:tcMar>
              <w:top w:w="30" w:type="dxa"/>
              <w:start w:w="120" w:type="dxa"/>
              <w:bottom w:w="30" w:type="dxa"/>
              <w:end w:w="120" w:type="dxa"/>
            </w:tcMar>
          </w:tcPr>
          <w:p>
            <w:pPr>
              <w:spacing w:after="0" w:line="240" w:lineRule="auto" w:before="0"/>
              <w:jc w:val="left"/>
            </w:pPr>
            <w:r>
              <w:rPr>
                <w:sz w:val="17"/>
              </w:rPr>
            </w:r>
            <w:r>
              <w:rPr>
                <w:rFonts w:ascii="Calibri" w:hAnsi="Calibri"/>
                <w:b w:val="0"/>
                <w:i w:val="0"/>
                <w:sz w:val="17"/>
              </w:rPr>
              <w:t>Transient AKI vs no early AKI</w:t>
            </w:r>
          </w:p>
        </w:tc>
        <w:tc>
          <w:tcPr>
            <w:tcW w:type="dxa" w:w="1584"/>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0-28 days</w:t>
            </w:r>
          </w:p>
        </w:tc>
        <w:tc>
          <w:tcPr>
            <w:tcW w:type="dxa" w:w="1440"/>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0.92</w:t>
            </w:r>
          </w:p>
        </w:tc>
        <w:tc>
          <w:tcPr>
            <w:tcW w:type="dxa" w:w="1440"/>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0.67</w:t>
            </w:r>
          </w:p>
        </w:tc>
        <w:tc>
          <w:tcPr>
            <w:tcW w:type="dxa" w:w="1440"/>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1.26</w:t>
            </w:r>
          </w:p>
        </w:tc>
        <w:tc>
          <w:tcPr>
            <w:tcW w:type="dxa" w:w="1152"/>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0.589</w:t>
            </w:r>
          </w:p>
        </w:tc>
      </w:tr>
      <w:tr>
        <w:trPr>
          <w:cantSplit/>
        </w:trPr>
        <w:tc>
          <w:tcPr>
            <w:tcW w:type="dxa" w:w="3600"/>
            <w:vAlign w:val="center"/>
            <w:tcMar>
              <w:top w:w="30" w:type="dxa"/>
              <w:start w:w="120" w:type="dxa"/>
              <w:bottom w:w="30" w:type="dxa"/>
              <w:end w:w="120" w:type="dxa"/>
            </w:tcMar>
          </w:tcPr>
          <w:p>
            <w:pPr>
              <w:spacing w:after="0" w:line="240" w:lineRule="auto" w:before="0"/>
              <w:jc w:val="left"/>
            </w:pPr>
            <w:r>
              <w:rPr>
                <w:sz w:val="17"/>
              </w:rPr>
            </w:r>
            <w:r>
              <w:rPr>
                <w:rFonts w:ascii="Calibri" w:hAnsi="Calibri"/>
                <w:b w:val="0"/>
                <w:i w:val="0"/>
                <w:sz w:val="17"/>
              </w:rPr>
              <w:t>Transient AKI vs no early AKI</w:t>
            </w:r>
          </w:p>
        </w:tc>
        <w:tc>
          <w:tcPr>
            <w:tcW w:type="dxa" w:w="1584"/>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29-90 days</w:t>
            </w:r>
          </w:p>
        </w:tc>
        <w:tc>
          <w:tcPr>
            <w:tcW w:type="dxa" w:w="1440"/>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1.56</w:t>
            </w:r>
          </w:p>
        </w:tc>
        <w:tc>
          <w:tcPr>
            <w:tcW w:type="dxa" w:w="1440"/>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0.93</w:t>
            </w:r>
          </w:p>
        </w:tc>
        <w:tc>
          <w:tcPr>
            <w:tcW w:type="dxa" w:w="1440"/>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2.62</w:t>
            </w:r>
          </w:p>
        </w:tc>
        <w:tc>
          <w:tcPr>
            <w:tcW w:type="dxa" w:w="1152"/>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0.095</w:t>
            </w:r>
          </w:p>
        </w:tc>
      </w:tr>
      <w:tr>
        <w:trPr>
          <w:cantSplit/>
        </w:trPr>
        <w:tc>
          <w:tcPr>
            <w:tcW w:type="dxa" w:w="3600"/>
            <w:vAlign w:val="center"/>
            <w:tcMar>
              <w:top w:w="30" w:type="dxa"/>
              <w:start w:w="120" w:type="dxa"/>
              <w:bottom w:w="30" w:type="dxa"/>
              <w:end w:w="120" w:type="dxa"/>
            </w:tcMar>
          </w:tcPr>
          <w:p>
            <w:pPr>
              <w:spacing w:after="0" w:line="240" w:lineRule="auto" w:before="0"/>
              <w:jc w:val="left"/>
            </w:pPr>
            <w:r>
              <w:rPr>
                <w:sz w:val="17"/>
              </w:rPr>
            </w:r>
            <w:r>
              <w:rPr>
                <w:rFonts w:ascii="Calibri" w:hAnsi="Calibri"/>
                <w:b w:val="0"/>
                <w:i w:val="0"/>
                <w:sz w:val="17"/>
              </w:rPr>
              <w:t>Transient AKI vs no early AKI</w:t>
            </w:r>
          </w:p>
        </w:tc>
        <w:tc>
          <w:tcPr>
            <w:tcW w:type="dxa" w:w="1584"/>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91-365 days</w:t>
            </w:r>
          </w:p>
        </w:tc>
        <w:tc>
          <w:tcPr>
            <w:tcW w:type="dxa" w:w="1440"/>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0.79</w:t>
            </w:r>
          </w:p>
        </w:tc>
        <w:tc>
          <w:tcPr>
            <w:tcW w:type="dxa" w:w="1440"/>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0.54</w:t>
            </w:r>
          </w:p>
        </w:tc>
        <w:tc>
          <w:tcPr>
            <w:tcW w:type="dxa" w:w="1440"/>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1.13</w:t>
            </w:r>
          </w:p>
        </w:tc>
        <w:tc>
          <w:tcPr>
            <w:tcW w:type="dxa" w:w="1152"/>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0.198</w:t>
            </w:r>
          </w:p>
        </w:tc>
      </w:tr>
      <w:tr>
        <w:trPr>
          <w:cantSplit/>
        </w:trPr>
        <w:tc>
          <w:tcPr>
            <w:tcW w:type="dxa" w:w="3600"/>
            <w:vAlign w:val="center"/>
            <w:tcMar>
              <w:top w:w="30" w:type="dxa"/>
              <w:start w:w="120" w:type="dxa"/>
              <w:bottom w:w="30" w:type="dxa"/>
              <w:end w:w="120" w:type="dxa"/>
            </w:tcMar>
          </w:tcPr>
          <w:p>
            <w:pPr>
              <w:spacing w:after="0" w:line="240" w:lineRule="auto" w:before="0"/>
              <w:jc w:val="left"/>
            </w:pPr>
            <w:r>
              <w:rPr>
                <w:sz w:val="17"/>
              </w:rPr>
            </w:r>
            <w:r>
              <w:rPr>
                <w:rFonts w:ascii="Calibri" w:hAnsi="Calibri"/>
                <w:b w:val="0"/>
                <w:i w:val="0"/>
                <w:sz w:val="17"/>
              </w:rPr>
              <w:t>Persistent-pattern AKI vs no early AKI</w:t>
            </w:r>
          </w:p>
        </w:tc>
        <w:tc>
          <w:tcPr>
            <w:tcW w:type="dxa" w:w="1584"/>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0-28 days</w:t>
            </w:r>
          </w:p>
        </w:tc>
        <w:tc>
          <w:tcPr>
            <w:tcW w:type="dxa" w:w="1440"/>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1.62</w:t>
            </w:r>
          </w:p>
        </w:tc>
        <w:tc>
          <w:tcPr>
            <w:tcW w:type="dxa" w:w="1440"/>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1.23</w:t>
            </w:r>
          </w:p>
        </w:tc>
        <w:tc>
          <w:tcPr>
            <w:tcW w:type="dxa" w:w="1440"/>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2.14</w:t>
            </w:r>
          </w:p>
        </w:tc>
        <w:tc>
          <w:tcPr>
            <w:tcW w:type="dxa" w:w="1152"/>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&lt;0.001</w:t>
            </w:r>
          </w:p>
        </w:tc>
      </w:tr>
      <w:tr>
        <w:trPr>
          <w:cantSplit/>
        </w:trPr>
        <w:tc>
          <w:tcPr>
            <w:tcW w:type="dxa" w:w="3600"/>
            <w:vAlign w:val="center"/>
            <w:tcMar>
              <w:top w:w="30" w:type="dxa"/>
              <w:start w:w="120" w:type="dxa"/>
              <w:bottom w:w="30" w:type="dxa"/>
              <w:end w:w="120" w:type="dxa"/>
            </w:tcMar>
          </w:tcPr>
          <w:p>
            <w:pPr>
              <w:spacing w:after="0" w:line="240" w:lineRule="auto" w:before="0"/>
              <w:jc w:val="left"/>
            </w:pPr>
            <w:r>
              <w:rPr>
                <w:sz w:val="17"/>
              </w:rPr>
            </w:r>
            <w:r>
              <w:rPr>
                <w:rFonts w:ascii="Calibri" w:hAnsi="Calibri"/>
                <w:b w:val="0"/>
                <w:i w:val="0"/>
                <w:sz w:val="17"/>
              </w:rPr>
              <w:t>Persistent-pattern AKI vs no early AKI</w:t>
            </w:r>
          </w:p>
        </w:tc>
        <w:tc>
          <w:tcPr>
            <w:tcW w:type="dxa" w:w="1584"/>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29-90 days</w:t>
            </w:r>
          </w:p>
        </w:tc>
        <w:tc>
          <w:tcPr>
            <w:tcW w:type="dxa" w:w="1440"/>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1.50</w:t>
            </w:r>
          </w:p>
        </w:tc>
        <w:tc>
          <w:tcPr>
            <w:tcW w:type="dxa" w:w="1440"/>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0.92</w:t>
            </w:r>
          </w:p>
        </w:tc>
        <w:tc>
          <w:tcPr>
            <w:tcW w:type="dxa" w:w="1440"/>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2.45</w:t>
            </w:r>
          </w:p>
        </w:tc>
        <w:tc>
          <w:tcPr>
            <w:tcW w:type="dxa" w:w="1152"/>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0.104</w:t>
            </w:r>
          </w:p>
        </w:tc>
      </w:tr>
      <w:tr>
        <w:trPr>
          <w:cantSplit/>
        </w:trPr>
        <w:tc>
          <w:tcPr>
            <w:tcW w:type="dxa" w:w="3600"/>
            <w:vAlign w:val="center"/>
            <w:tcMar>
              <w:top w:w="30" w:type="dxa"/>
              <w:start w:w="120" w:type="dxa"/>
              <w:bottom w:w="30" w:type="dxa"/>
              <w:end w:w="120" w:type="dxa"/>
            </w:tcMar>
          </w:tcPr>
          <w:p>
            <w:pPr>
              <w:spacing w:after="0" w:line="240" w:lineRule="auto" w:before="0"/>
              <w:jc w:val="left"/>
            </w:pPr>
            <w:r>
              <w:rPr>
                <w:sz w:val="17"/>
              </w:rPr>
            </w:r>
            <w:r>
              <w:rPr>
                <w:rFonts w:ascii="Calibri" w:hAnsi="Calibri"/>
                <w:b w:val="0"/>
                <w:i w:val="0"/>
                <w:sz w:val="17"/>
              </w:rPr>
              <w:t>Persistent-pattern AKI vs no early AKI</w:t>
            </w:r>
          </w:p>
        </w:tc>
        <w:tc>
          <w:tcPr>
            <w:tcW w:type="dxa" w:w="1584"/>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91-365 days</w:t>
            </w:r>
          </w:p>
        </w:tc>
        <w:tc>
          <w:tcPr>
            <w:tcW w:type="dxa" w:w="1440"/>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0.86</w:t>
            </w:r>
          </w:p>
        </w:tc>
        <w:tc>
          <w:tcPr>
            <w:tcW w:type="dxa" w:w="1440"/>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0.62</w:t>
            </w:r>
          </w:p>
        </w:tc>
        <w:tc>
          <w:tcPr>
            <w:tcW w:type="dxa" w:w="1440"/>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1.19</w:t>
            </w:r>
          </w:p>
        </w:tc>
        <w:tc>
          <w:tcPr>
            <w:tcW w:type="dxa" w:w="1152"/>
            <w:vAlign w:val="center"/>
            <w:tcMar>
              <w:top w:w="30" w:type="dxa"/>
              <w:start w:w="120" w:type="dxa"/>
              <w:bottom w:w="30" w:type="dxa"/>
              <w:end w:w="120" w:type="dxa"/>
            </w:tcMar>
          </w:tcPr>
          <w:p>
            <w:pPr>
              <w:spacing w:after="0" w:line="240" w:lineRule="auto" w:before="0"/>
              <w:jc w:val="center"/>
            </w:pPr>
            <w:r>
              <w:rPr>
                <w:sz w:val="17"/>
              </w:rPr>
            </w:r>
            <w:r>
              <w:rPr>
                <w:rFonts w:ascii="Calibri" w:hAnsi="Calibri"/>
                <w:b w:val="0"/>
                <w:i w:val="0"/>
                <w:sz w:val="17"/>
              </w:rPr>
              <w:t>0.362</w:t>
            </w:r>
          </w:p>
        </w:tc>
      </w:tr>
    </w:tbl>
    <w:p>
      <w:pPr>
        <w:spacing w:after="0" w:line="252" w:lineRule="auto" w:before="0"/>
      </w:pPr>
      <w:r>
        <w:rPr>
          <w:rFonts w:ascii="Times New Roman" w:hAnsi="Times New Roman"/>
          <w:b w:val="0"/>
          <w:i w:val="0"/>
          <w:color w:val="555555"/>
          <w:sz w:val="17"/>
        </w:rPr>
        <w:t>The 1-year follow-up was split into 0-28 days, 29-90 days, and 91-365 days after the 72-hour landmark to address non-proportional hazards for the AKI trajectory exposure.</w:t>
      </w:r>
    </w:p>
    <w:p>
      <w:r>
        <w:br w:type="page"/>
      </w:r>
    </w:p>
    <w:p>
      <w:pPr>
        <w:spacing w:before="160" w:after="80"/>
      </w:pPr>
      <w:r>
        <w:rPr>
          <w:rFonts w:ascii="Calibri" w:hAnsi="Calibri"/>
          <w:b/>
          <w:i w:val="0"/>
          <w:sz w:val="21"/>
        </w:rPr>
        <w:t>Supplementary Table S6. Sensitivity analyses for adjusted Cox associations.</w:t>
      </w:r>
    </w:p>
    <w:p>
      <w:pPr>
        <w:spacing w:before="160" w:after="80"/>
      </w:pPr>
      <w:r>
        <w:rPr>
          <w:rFonts w:ascii="Times New Roman" w:hAnsi="Times New Roman"/>
          <w:sz w:val="20"/>
        </w:rPr>
        <w:t xml:space="preserve">The RRT-related sensitivity excludes positive first_day_rrt.dialysis_present records from -6 to +24 hours around ICU admission. The field can include dialysis access/equipment records, is not the dialysis_active field, and does not verify modality-specific treatment or all RRT through 72 hours. Missing indicators were retained as no documented indicator. Strict-cohort model counts are complete-case counts.</w:t>
      </w:r>
    </w:p>
    <w:tbl>
      <w:tblPr>
        <w:tblStyle w:val="TableGrid"/>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5" w:type="dxa"/>
          <w:bottom w:w="65" w:type="dxa"/>
          <w:left w:w="65" w:type="dxa"/>
          <w:right w:w="65" w:type="dxa"/>
        </w:tblCellMar>
      </w:tblPr>
      <w:tblGrid>
        <w:gridCol w:w="1584"/>
        <w:gridCol w:w="2376"/>
        <w:gridCol w:w="936"/>
        <w:gridCol w:w="936"/>
        <w:gridCol w:w="3240"/>
        <w:gridCol w:w="1152"/>
        <w:gridCol w:w="1152"/>
        <w:gridCol w:w="1152"/>
        <w:gridCol w:w="1584"/>
      </w:tblGrid>
      <w:tr>
        <w:trPr>
          <w:tblHeader w:val="true"/>
          <w:cantSplit/>
          <w:cantSplit/>
          <w:tblHeader/>
        </w:trPr>
        <w:tc>
          <w:tcPr>
            <w:tcW w:type="dxa" w:w="1584"/>
            <w:vAlign w:val="center"/>
            <w:shd w:fill="F2F4F7"/>
            <w:tcMar>
              <w:top w:w="80" w:type="dxa"/>
              <w:start w:w="120" w:type="dxa"/>
              <w:bottom w:w="80" w:type="dxa"/>
              <w:end w:w="120" w:type="dxa"/>
            </w:tcMar>
            <w:shd w:fill="EAEAEA"/>
          </w:tcPr>
          <w:p>
            <w:pPr>
              <w:spacing w:after="0" w:line="240" w:lineRule="auto" w:before="0"/>
              <w:jc w:val="left"/>
            </w:pPr>
            <w:r>
              <w:rPr>
                <w:sz w:val="18"/>
                <w:b/>
              </w:rPr>
            </w:r>
            <w:r>
              <w:rPr>
                <w:rFonts w:ascii="Calibri" w:hAnsi="Calibri"/>
                <w:b/>
                <w:i w:val="0"/>
                <w:sz w:val="18"/>
              </w:rPr>
              <w:t>Endpoint</w:t>
            </w:r>
          </w:p>
        </w:tc>
        <w:tc>
          <w:tcPr>
            <w:tcW w:type="dxa" w:w="2376"/>
            <w:vAlign w:val="center"/>
            <w:shd w:fill="F2F4F7"/>
            <w:tcMar>
              <w:top w:w="80" w:type="dxa"/>
              <w:start w:w="120" w:type="dxa"/>
              <w:bottom w:w="80" w:type="dxa"/>
              <w:end w:w="120" w:type="dxa"/>
            </w:tcMar>
            <w:shd w:fill="EAEAEA"/>
          </w:tcPr>
          <w:p>
            <w:pPr>
              <w:spacing w:after="0" w:line="240" w:lineRule="auto" w:before="0"/>
              <w:jc w:val="center"/>
            </w:pPr>
            <w:r>
              <w:rPr>
                <w:sz w:val="18"/>
                <w:b/>
              </w:rPr>
            </w:r>
            <w:r>
              <w:rPr>
                <w:rFonts w:ascii="Calibri" w:hAnsi="Calibri"/>
                <w:b/>
                <w:i w:val="0"/>
                <w:sz w:val="18"/>
              </w:rPr>
              <w:t>Sensitivity model</w:t>
            </w:r>
          </w:p>
        </w:tc>
        <w:tc>
          <w:tcPr>
            <w:tcW w:type="dxa" w:w="936"/>
            <w:vAlign w:val="center"/>
            <w:shd w:fill="F2F4F7"/>
            <w:tcMar>
              <w:top w:w="80" w:type="dxa"/>
              <w:start w:w="120" w:type="dxa"/>
              <w:bottom w:w="80" w:type="dxa"/>
              <w:end w:w="120" w:type="dxa"/>
            </w:tcMar>
            <w:shd w:fill="EAEAEA"/>
          </w:tcPr>
          <w:p>
            <w:pPr>
              <w:spacing w:after="0" w:line="240" w:lineRule="auto" w:before="0"/>
              <w:jc w:val="center"/>
            </w:pPr>
            <w:r>
              <w:rPr>
                <w:sz w:val="18"/>
                <w:b/>
              </w:rPr>
            </w:r>
            <w:r>
              <w:rPr>
                <w:rFonts w:ascii="Calibri" w:hAnsi="Calibri"/>
                <w:b/>
                <w:i w:val="0"/>
                <w:sz w:val="18"/>
              </w:rPr>
              <w:t>n used</w:t>
            </w:r>
          </w:p>
        </w:tc>
        <w:tc>
          <w:tcPr>
            <w:tcW w:type="dxa" w:w="936"/>
            <w:vAlign w:val="center"/>
            <w:shd w:fill="F2F4F7"/>
            <w:tcMar>
              <w:top w:w="80" w:type="dxa"/>
              <w:start w:w="120" w:type="dxa"/>
              <w:bottom w:w="80" w:type="dxa"/>
              <w:end w:w="120" w:type="dxa"/>
            </w:tcMar>
            <w:shd w:fill="EAEAEA"/>
          </w:tcPr>
          <w:p>
            <w:pPr>
              <w:spacing w:after="0" w:line="240" w:lineRule="auto" w:before="0"/>
              <w:jc w:val="center"/>
            </w:pPr>
            <w:r>
              <w:rPr>
                <w:sz w:val="18"/>
                <w:b/>
              </w:rPr>
            </w:r>
            <w:r>
              <w:rPr>
                <w:rFonts w:ascii="Calibri" w:hAnsi="Calibri"/>
                <w:b/>
                <w:i w:val="0"/>
                <w:sz w:val="18"/>
              </w:rPr>
              <w:t>Events</w:t>
            </w:r>
          </w:p>
        </w:tc>
        <w:tc>
          <w:tcPr>
            <w:tcW w:type="dxa" w:w="3240"/>
            <w:vAlign w:val="center"/>
            <w:shd w:fill="F2F4F7"/>
            <w:tcMar>
              <w:top w:w="80" w:type="dxa"/>
              <w:start w:w="120" w:type="dxa"/>
              <w:bottom w:w="80" w:type="dxa"/>
              <w:end w:w="120" w:type="dxa"/>
            </w:tcMar>
            <w:shd w:fill="EAEAEA"/>
          </w:tcPr>
          <w:p>
            <w:pPr>
              <w:spacing w:after="0" w:line="240" w:lineRule="auto" w:before="0"/>
              <w:jc w:val="center"/>
            </w:pPr>
            <w:r>
              <w:rPr>
                <w:sz w:val="18"/>
                <w:b/>
              </w:rPr>
            </w:r>
            <w:r>
              <w:rPr>
                <w:rFonts w:ascii="Calibri" w:hAnsi="Calibri"/>
                <w:b/>
                <w:i w:val="0"/>
                <w:sz w:val="18"/>
              </w:rPr>
              <w:t>Comparison</w:t>
            </w:r>
          </w:p>
        </w:tc>
        <w:tc>
          <w:tcPr>
            <w:tcW w:type="dxa" w:w="1152"/>
            <w:vAlign w:val="center"/>
            <w:shd w:fill="F2F4F7"/>
            <w:tcMar>
              <w:top w:w="80" w:type="dxa"/>
              <w:start w:w="120" w:type="dxa"/>
              <w:bottom w:w="80" w:type="dxa"/>
              <w:end w:w="120" w:type="dxa"/>
            </w:tcMar>
            <w:shd w:fill="EAEAEA"/>
          </w:tcPr>
          <w:p>
            <w:pPr>
              <w:spacing w:after="0" w:line="240" w:lineRule="auto" w:before="0"/>
              <w:jc w:val="center"/>
            </w:pPr>
            <w:r>
              <w:rPr>
                <w:sz w:val="18"/>
                <w:b/>
              </w:rPr>
            </w:r>
            <w:r>
              <w:rPr>
                <w:rFonts w:ascii="Calibri" w:hAnsi="Calibri"/>
                <w:b/>
                <w:i w:val="0"/>
                <w:sz w:val="18"/>
              </w:rPr>
              <w:t>Adjusted HR</w:t>
            </w:r>
          </w:p>
        </w:tc>
        <w:tc>
          <w:tcPr>
            <w:tcW w:type="dxa" w:w="1152"/>
            <w:vAlign w:val="center"/>
            <w:shd w:fill="F2F4F7"/>
            <w:tcMar>
              <w:top w:w="80" w:type="dxa"/>
              <w:start w:w="120" w:type="dxa"/>
              <w:bottom w:w="80" w:type="dxa"/>
              <w:end w:w="120" w:type="dxa"/>
            </w:tcMar>
            <w:shd w:fill="EAEAEA"/>
          </w:tcPr>
          <w:p>
            <w:pPr>
              <w:spacing w:after="0" w:line="240" w:lineRule="auto" w:before="0"/>
              <w:jc w:val="center"/>
            </w:pPr>
            <w:r>
              <w:rPr>
                <w:sz w:val="18"/>
                <w:b/>
              </w:rPr>
            </w:r>
            <w:r>
              <w:rPr>
                <w:rFonts w:ascii="Calibri" w:hAnsi="Calibri"/>
                <w:b/>
                <w:i w:val="0"/>
                <w:sz w:val="18"/>
              </w:rPr>
              <w:t>95% CI lower</w:t>
            </w:r>
          </w:p>
        </w:tc>
        <w:tc>
          <w:tcPr>
            <w:tcW w:type="dxa" w:w="1152"/>
            <w:vAlign w:val="center"/>
            <w:shd w:fill="F2F4F7"/>
            <w:tcMar>
              <w:top w:w="80" w:type="dxa"/>
              <w:start w:w="120" w:type="dxa"/>
              <w:bottom w:w="80" w:type="dxa"/>
              <w:end w:w="120" w:type="dxa"/>
            </w:tcMar>
            <w:shd w:fill="EAEAEA"/>
          </w:tcPr>
          <w:p>
            <w:pPr>
              <w:spacing w:after="0" w:line="240" w:lineRule="auto" w:before="0"/>
              <w:jc w:val="center"/>
            </w:pPr>
            <w:r>
              <w:rPr>
                <w:sz w:val="18"/>
                <w:b/>
              </w:rPr>
            </w:r>
            <w:r>
              <w:rPr>
                <w:rFonts w:ascii="Calibri" w:hAnsi="Calibri"/>
                <w:b/>
                <w:i w:val="0"/>
                <w:sz w:val="18"/>
              </w:rPr>
              <w:t>95% CI upper</w:t>
            </w:r>
          </w:p>
        </w:tc>
        <w:tc>
          <w:tcPr>
            <w:tcW w:type="dxa" w:w="1584"/>
            <w:vAlign w:val="center"/>
            <w:shd w:fill="F2F4F7"/>
            <w:tcMar>
              <w:top w:w="80" w:type="dxa"/>
              <w:start w:w="120" w:type="dxa"/>
              <w:bottom w:w="80" w:type="dxa"/>
              <w:end w:w="120" w:type="dxa"/>
            </w:tcMar>
            <w:shd w:fill="EAEAEA"/>
          </w:tcPr>
          <w:p>
            <w:pPr>
              <w:spacing w:after="0" w:line="240" w:lineRule="auto" w:before="0"/>
              <w:jc w:val="center"/>
            </w:pPr>
            <w:r>
              <w:rPr>
                <w:sz w:val="18"/>
                <w:b/>
              </w:rPr>
            </w:r>
            <w:r>
              <w:rPr>
                <w:rFonts w:ascii="Calibri" w:hAnsi="Calibri"/>
                <w:b/>
                <w:i w:val="0"/>
                <w:sz w:val="18"/>
              </w:rPr>
              <w:t>P value</w:t>
            </w:r>
          </w:p>
        </w:tc>
      </w:tr>
      <w:tr>
        <w:trPr>
          <w:cantSplit/>
          <w:cantSplit/>
        </w:trPr>
        <w:tc>
          <w:tcPr>
            <w:tcW w:type="dxa" w:w="1584"/>
            <w:vAlign w:val="center"/>
            <w:tcMar>
              <w:top w:w="80" w:type="dxa"/>
              <w:start w:w="120" w:type="dxa"/>
              <w:bottom w:w="80" w:type="dxa"/>
              <w:end w:w="120" w:type="dxa"/>
            </w:tcMar>
          </w:tcPr>
          <w:p>
            <w:pPr>
              <w:spacing w:after="0" w:line="240" w:lineRule="auto" w:before="0"/>
              <w:jc w:val="left"/>
            </w:pPr>
            <w:r>
              <w:rPr>
                <w:sz w:val="18"/>
              </w:rPr>
            </w:r>
            <w:r>
              <w:rPr>
                <w:rFonts w:ascii="Calibri" w:hAnsi="Calibri"/>
                <w:b w:val="0"/>
                <w:i w:val="0"/>
                <w:sz w:val="18"/>
              </w:rPr>
              <w:t>28-day mortality</w:t>
            </w:r>
          </w:p>
        </w:tc>
        <w:tc>
          <w:tcPr>
            <w:tcW w:type="dxa" w:w="237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Strict ICU-through-72h cohort</w:t>
            </w:r>
          </w:p>
        </w:tc>
        <w:tc>
          <w:tcPr>
            <w:tcW w:type="dxa" w:w="93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2594</w:t>
            </w:r>
          </w:p>
        </w:tc>
        <w:tc>
          <w:tcPr>
            <w:tcW w:type="dxa" w:w="93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656</w:t>
            </w:r>
          </w:p>
        </w:tc>
        <w:tc>
          <w:tcPr>
            <w:tcW w:type="dxa" w:w="3240"/>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Transient AKI vs no early AKI</w:t>
            </w:r>
          </w:p>
        </w:tc>
        <w:tc>
          <w:tcPr>
            <w:tcW w:type="dxa" w:w="1152"/>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0.91</w:t>
            </w:r>
          </w:p>
        </w:tc>
        <w:tc>
          <w:tcPr>
            <w:tcW w:type="dxa" w:w="1152"/>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0.64</w:t>
            </w:r>
          </w:p>
        </w:tc>
        <w:tc>
          <w:tcPr>
            <w:tcW w:type="dxa" w:w="1152"/>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1.30</w:t>
            </w:r>
          </w:p>
        </w:tc>
        <w:tc>
          <w:tcPr>
            <w:tcW w:type="dxa" w:w="1584"/>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0.618</w:t>
            </w:r>
          </w:p>
        </w:tc>
      </w:tr>
      <w:tr>
        <w:trPr>
          <w:cantSplit/>
          <w:cantSplit/>
        </w:trPr>
        <w:tc>
          <w:tcPr>
            <w:tcW w:type="dxa" w:w="1584"/>
            <w:vAlign w:val="center"/>
            <w:tcMar>
              <w:top w:w="80" w:type="dxa"/>
              <w:start w:w="120" w:type="dxa"/>
              <w:bottom w:w="80" w:type="dxa"/>
              <w:end w:w="120" w:type="dxa"/>
            </w:tcMar>
          </w:tcPr>
          <w:p>
            <w:pPr>
              <w:spacing w:after="0" w:line="240" w:lineRule="auto" w:before="0"/>
              <w:jc w:val="left"/>
            </w:pPr>
            <w:r>
              <w:rPr>
                <w:sz w:val="18"/>
              </w:rPr>
            </w:r>
            <w:r>
              <w:rPr>
                <w:rFonts w:ascii="Calibri" w:hAnsi="Calibri"/>
                <w:b w:val="0"/>
                <w:i w:val="0"/>
                <w:sz w:val="18"/>
              </w:rPr>
              <w:t>28-day mortality</w:t>
            </w:r>
          </w:p>
        </w:tc>
        <w:tc>
          <w:tcPr>
            <w:tcW w:type="dxa" w:w="237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Strict ICU-through-72h cohort</w:t>
            </w:r>
          </w:p>
        </w:tc>
        <w:tc>
          <w:tcPr>
            <w:tcW w:type="dxa" w:w="93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2594</w:t>
            </w:r>
          </w:p>
        </w:tc>
        <w:tc>
          <w:tcPr>
            <w:tcW w:type="dxa" w:w="93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656</w:t>
            </w:r>
          </w:p>
        </w:tc>
        <w:tc>
          <w:tcPr>
            <w:tcW w:type="dxa" w:w="3240"/>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Persistent-pattern AKI vs no early AKI</w:t>
            </w:r>
          </w:p>
        </w:tc>
        <w:tc>
          <w:tcPr>
            <w:tcW w:type="dxa" w:w="1152"/>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1.34</w:t>
            </w:r>
          </w:p>
        </w:tc>
        <w:tc>
          <w:tcPr>
            <w:tcW w:type="dxa" w:w="1152"/>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0.99</w:t>
            </w:r>
          </w:p>
        </w:tc>
        <w:tc>
          <w:tcPr>
            <w:tcW w:type="dxa" w:w="1152"/>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1.83</w:t>
            </w:r>
          </w:p>
        </w:tc>
        <w:tc>
          <w:tcPr>
            <w:tcW w:type="dxa" w:w="1584"/>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0.058</w:t>
            </w:r>
          </w:p>
        </w:tc>
      </w:tr>
      <w:tr>
        <w:trPr>
          <w:cantSplit/>
          <w:cantSplit/>
        </w:trPr>
        <w:tc>
          <w:tcPr>
            <w:tcW w:type="dxa" w:w="1584"/>
            <w:vAlign w:val="center"/>
            <w:tcMar>
              <w:top w:w="80" w:type="dxa"/>
              <w:start w:w="120" w:type="dxa"/>
              <w:bottom w:w="80" w:type="dxa"/>
              <w:end w:w="120" w:type="dxa"/>
            </w:tcMar>
          </w:tcPr>
          <w:p>
            <w:pPr>
              <w:spacing w:after="0" w:line="240" w:lineRule="auto" w:before="0"/>
              <w:jc w:val="left"/>
            </w:pPr>
            <w:r>
              <w:rPr>
                <w:sz w:val="18"/>
              </w:rPr>
            </w:r>
            <w:r>
              <w:rPr>
                <w:rFonts w:ascii="Calibri" w:hAnsi="Calibri"/>
                <w:b w:val="0"/>
                <w:i w:val="0"/>
                <w:sz w:val="18"/>
              </w:rPr>
              <w:t>1-year mortality</w:t>
            </w:r>
          </w:p>
        </w:tc>
        <w:tc>
          <w:tcPr>
            <w:tcW w:type="dxa" w:w="237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Strict ICU-through-72h cohort</w:t>
            </w:r>
          </w:p>
        </w:tc>
        <w:tc>
          <w:tcPr>
            <w:tcW w:type="dxa" w:w="93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2594</w:t>
            </w:r>
          </w:p>
        </w:tc>
        <w:tc>
          <w:tcPr>
            <w:tcW w:type="dxa" w:w="93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1084</w:t>
            </w:r>
          </w:p>
        </w:tc>
        <w:tc>
          <w:tcPr>
            <w:tcW w:type="dxa" w:w="3240"/>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Transient AKI vs no early AKI</w:t>
            </w:r>
          </w:p>
        </w:tc>
        <w:tc>
          <w:tcPr>
            <w:tcW w:type="dxa" w:w="1152"/>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0.95</w:t>
            </w:r>
          </w:p>
        </w:tc>
        <w:tc>
          <w:tcPr>
            <w:tcW w:type="dxa" w:w="1152"/>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0.74</w:t>
            </w:r>
          </w:p>
        </w:tc>
        <w:tc>
          <w:tcPr>
            <w:tcW w:type="dxa" w:w="1152"/>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1.22</w:t>
            </w:r>
          </w:p>
        </w:tc>
        <w:tc>
          <w:tcPr>
            <w:tcW w:type="dxa" w:w="1584"/>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0.674</w:t>
            </w:r>
          </w:p>
        </w:tc>
      </w:tr>
      <w:tr>
        <w:trPr>
          <w:cantSplit/>
          <w:cantSplit/>
        </w:trPr>
        <w:tc>
          <w:tcPr>
            <w:tcW w:type="dxa" w:w="1584"/>
            <w:vAlign w:val="center"/>
            <w:tcMar>
              <w:top w:w="80" w:type="dxa"/>
              <w:start w:w="120" w:type="dxa"/>
              <w:bottom w:w="80" w:type="dxa"/>
              <w:end w:w="120" w:type="dxa"/>
            </w:tcMar>
          </w:tcPr>
          <w:p>
            <w:pPr>
              <w:spacing w:after="0" w:line="240" w:lineRule="auto" w:before="0"/>
              <w:jc w:val="left"/>
            </w:pPr>
            <w:r>
              <w:rPr>
                <w:sz w:val="18"/>
              </w:rPr>
            </w:r>
            <w:r>
              <w:rPr>
                <w:rFonts w:ascii="Calibri" w:hAnsi="Calibri"/>
                <w:b w:val="0"/>
                <w:i w:val="0"/>
                <w:sz w:val="18"/>
              </w:rPr>
              <w:t>1-year mortality</w:t>
            </w:r>
          </w:p>
        </w:tc>
        <w:tc>
          <w:tcPr>
            <w:tcW w:type="dxa" w:w="237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Strict ICU-through-72h cohort</w:t>
            </w:r>
          </w:p>
        </w:tc>
        <w:tc>
          <w:tcPr>
            <w:tcW w:type="dxa" w:w="93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2594</w:t>
            </w:r>
          </w:p>
        </w:tc>
        <w:tc>
          <w:tcPr>
            <w:tcW w:type="dxa" w:w="93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1084</w:t>
            </w:r>
          </w:p>
        </w:tc>
        <w:tc>
          <w:tcPr>
            <w:tcW w:type="dxa" w:w="3240"/>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Persistent-pattern AKI vs no early AKI</w:t>
            </w:r>
          </w:p>
        </w:tc>
        <w:tc>
          <w:tcPr>
            <w:tcW w:type="dxa" w:w="1152"/>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1.18</w:t>
            </w:r>
          </w:p>
        </w:tc>
        <w:tc>
          <w:tcPr>
            <w:tcW w:type="dxa" w:w="1152"/>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0.95</w:t>
            </w:r>
          </w:p>
        </w:tc>
        <w:tc>
          <w:tcPr>
            <w:tcW w:type="dxa" w:w="1152"/>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1.47</w:t>
            </w:r>
          </w:p>
        </w:tc>
        <w:tc>
          <w:tcPr>
            <w:tcW w:type="dxa" w:w="1584"/>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0.143</w:t>
            </w:r>
          </w:p>
        </w:tc>
      </w:tr>
      <w:tr>
        <w:trPr>
          <w:cantSplit/>
          <w:cantSplit/>
        </w:trPr>
        <w:tc>
          <w:tcPr>
            <w:tcW w:type="dxa" w:w="1584"/>
            <w:vAlign w:val="center"/>
            <w:tcMar>
              <w:top w:w="80" w:type="dxa"/>
              <w:start w:w="120" w:type="dxa"/>
              <w:bottom w:w="80" w:type="dxa"/>
              <w:end w:w="120" w:type="dxa"/>
            </w:tcMar>
          </w:tcPr>
          <w:p>
            <w:pPr>
              <w:spacing w:after="0" w:line="240" w:lineRule="auto" w:before="0"/>
              <w:jc w:val="left"/>
            </w:pPr>
            <w:r>
              <w:rPr>
                <w:sz w:val="18"/>
              </w:rPr>
            </w:r>
            <w:r>
              <w:rPr>
                <w:rFonts w:ascii="Calibri" w:hAnsi="Calibri"/>
                <w:b w:val="0"/>
                <w:i w:val="0"/>
                <w:sz w:val="18"/>
              </w:rPr>
              <w:t>28-day mortality</w:t>
            </w:r>
          </w:p>
        </w:tc>
        <w:tc>
          <w:tcPr>
            <w:tcW w:type="dxa" w:w="2376"/>
            <w:vAlign w:val="center"/>
            <w:tcMar>
              <w:top w:w="80" w:type="dxa"/>
              <w:start w:w="120" w:type="dxa"/>
              <w:bottom w:w="80" w:type="dxa"/>
              <w:end w:w="120" w:type="dxa"/>
            </w:tcMar>
          </w:tcPr>
          <w:p>
            <w:pPr>
              <w:spacing w:after="0" w:line="240" w:lineRule="auto" w:before="0"/>
              <w:jc w:val="center"/>
            </w:pPr>
            <w:r>
              <w:rPr>
                <w:sz w:val="18"/>
              </w:rPr>
              <w:t xml:space="preserve">Excluding first-day RRT-related records</w:t>
            </w:r>
          </w:p>
        </w:tc>
        <w:tc>
          <w:tcPr>
            <w:tcW w:type="dxa" w:w="93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3189</w:t>
            </w:r>
          </w:p>
        </w:tc>
        <w:tc>
          <w:tcPr>
            <w:tcW w:type="dxa" w:w="93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644</w:t>
            </w:r>
          </w:p>
        </w:tc>
        <w:tc>
          <w:tcPr>
            <w:tcW w:type="dxa" w:w="3240"/>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Transient AKI vs no early AKI</w:t>
            </w:r>
          </w:p>
        </w:tc>
        <w:tc>
          <w:tcPr>
            <w:tcW w:type="dxa" w:w="1152"/>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0.88</w:t>
            </w:r>
          </w:p>
        </w:tc>
        <w:tc>
          <w:tcPr>
            <w:tcW w:type="dxa" w:w="1152"/>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0.64</w:t>
            </w:r>
          </w:p>
        </w:tc>
        <w:tc>
          <w:tcPr>
            <w:tcW w:type="dxa" w:w="1152"/>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1.21</w:t>
            </w:r>
          </w:p>
        </w:tc>
        <w:tc>
          <w:tcPr>
            <w:tcW w:type="dxa" w:w="1584"/>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0.429</w:t>
            </w:r>
          </w:p>
        </w:tc>
      </w:tr>
      <w:tr>
        <w:trPr>
          <w:cantSplit/>
          <w:cantSplit/>
        </w:trPr>
        <w:tc>
          <w:tcPr>
            <w:tcW w:type="dxa" w:w="1584"/>
            <w:vAlign w:val="center"/>
            <w:tcMar>
              <w:top w:w="80" w:type="dxa"/>
              <w:start w:w="120" w:type="dxa"/>
              <w:bottom w:w="80" w:type="dxa"/>
              <w:end w:w="120" w:type="dxa"/>
            </w:tcMar>
          </w:tcPr>
          <w:p>
            <w:pPr>
              <w:spacing w:after="0" w:line="240" w:lineRule="auto" w:before="0"/>
              <w:jc w:val="left"/>
            </w:pPr>
            <w:r>
              <w:rPr>
                <w:sz w:val="18"/>
              </w:rPr>
            </w:r>
            <w:r>
              <w:rPr>
                <w:rFonts w:ascii="Calibri" w:hAnsi="Calibri"/>
                <w:b w:val="0"/>
                <w:i w:val="0"/>
                <w:sz w:val="18"/>
              </w:rPr>
              <w:t>28-day mortality</w:t>
            </w:r>
          </w:p>
        </w:tc>
        <w:tc>
          <w:tcPr>
            <w:tcW w:type="dxa" w:w="2376"/>
            <w:vAlign w:val="center"/>
            <w:tcMar>
              <w:top w:w="80" w:type="dxa"/>
              <w:start w:w="120" w:type="dxa"/>
              <w:bottom w:w="80" w:type="dxa"/>
              <w:end w:w="120" w:type="dxa"/>
            </w:tcMar>
          </w:tcPr>
          <w:p>
            <w:pPr>
              <w:spacing w:after="0" w:line="240" w:lineRule="auto" w:before="0"/>
              <w:jc w:val="center"/>
            </w:pPr>
            <w:r>
              <w:rPr>
                <w:sz w:val="18"/>
              </w:rPr>
              <w:t xml:space="preserve">Excluding first-day RRT-related records</w:t>
            </w:r>
          </w:p>
        </w:tc>
        <w:tc>
          <w:tcPr>
            <w:tcW w:type="dxa" w:w="93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3189</w:t>
            </w:r>
          </w:p>
        </w:tc>
        <w:tc>
          <w:tcPr>
            <w:tcW w:type="dxa" w:w="93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644</w:t>
            </w:r>
          </w:p>
        </w:tc>
        <w:tc>
          <w:tcPr>
            <w:tcW w:type="dxa" w:w="3240"/>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Persistent-pattern AKI vs no early AKI</w:t>
            </w:r>
          </w:p>
        </w:tc>
        <w:tc>
          <w:tcPr>
            <w:tcW w:type="dxa" w:w="1152"/>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1.53</w:t>
            </w:r>
          </w:p>
        </w:tc>
        <w:tc>
          <w:tcPr>
            <w:tcW w:type="dxa" w:w="1152"/>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1.15</w:t>
            </w:r>
          </w:p>
        </w:tc>
        <w:tc>
          <w:tcPr>
            <w:tcW w:type="dxa" w:w="1152"/>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2.03</w:t>
            </w:r>
          </w:p>
        </w:tc>
        <w:tc>
          <w:tcPr>
            <w:tcW w:type="dxa" w:w="1584"/>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0.003</w:t>
            </w:r>
          </w:p>
        </w:tc>
      </w:tr>
      <w:tr>
        <w:trPr>
          <w:cantSplit/>
          <w:cantSplit/>
        </w:trPr>
        <w:tc>
          <w:tcPr>
            <w:tcW w:type="dxa" w:w="1584"/>
            <w:vAlign w:val="center"/>
            <w:tcMar>
              <w:top w:w="80" w:type="dxa"/>
              <w:start w:w="120" w:type="dxa"/>
              <w:bottom w:w="80" w:type="dxa"/>
              <w:end w:w="120" w:type="dxa"/>
            </w:tcMar>
          </w:tcPr>
          <w:p>
            <w:pPr>
              <w:spacing w:after="0" w:line="240" w:lineRule="auto" w:before="0"/>
              <w:jc w:val="left"/>
            </w:pPr>
            <w:r>
              <w:rPr>
                <w:sz w:val="18"/>
              </w:rPr>
            </w:r>
            <w:r>
              <w:rPr>
                <w:rFonts w:ascii="Calibri" w:hAnsi="Calibri"/>
                <w:b w:val="0"/>
                <w:i w:val="0"/>
                <w:sz w:val="18"/>
              </w:rPr>
              <w:t>1-year mortality</w:t>
            </w:r>
          </w:p>
        </w:tc>
        <w:tc>
          <w:tcPr>
            <w:tcW w:type="dxa" w:w="2376"/>
            <w:vAlign w:val="center"/>
            <w:tcMar>
              <w:top w:w="80" w:type="dxa"/>
              <w:start w:w="120" w:type="dxa"/>
              <w:bottom w:w="80" w:type="dxa"/>
              <w:end w:w="120" w:type="dxa"/>
            </w:tcMar>
          </w:tcPr>
          <w:p>
            <w:pPr>
              <w:spacing w:after="0" w:line="240" w:lineRule="auto" w:before="0"/>
              <w:jc w:val="center"/>
            </w:pPr>
            <w:r>
              <w:rPr>
                <w:sz w:val="18"/>
              </w:rPr>
              <w:t xml:space="preserve">Excluding first-day RRT-related records</w:t>
            </w:r>
          </w:p>
        </w:tc>
        <w:tc>
          <w:tcPr>
            <w:tcW w:type="dxa" w:w="93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3189</w:t>
            </w:r>
          </w:p>
        </w:tc>
        <w:tc>
          <w:tcPr>
            <w:tcW w:type="dxa" w:w="93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1137</w:t>
            </w:r>
          </w:p>
        </w:tc>
        <w:tc>
          <w:tcPr>
            <w:tcW w:type="dxa" w:w="3240"/>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Transient AKI vs no early AKI</w:t>
            </w:r>
          </w:p>
        </w:tc>
        <w:tc>
          <w:tcPr>
            <w:tcW w:type="dxa" w:w="1152"/>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0.93</w:t>
            </w:r>
          </w:p>
        </w:tc>
        <w:tc>
          <w:tcPr>
            <w:tcW w:type="dxa" w:w="1152"/>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0.75</w:t>
            </w:r>
          </w:p>
        </w:tc>
        <w:tc>
          <w:tcPr>
            <w:tcW w:type="dxa" w:w="1152"/>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1.16</w:t>
            </w:r>
          </w:p>
        </w:tc>
        <w:tc>
          <w:tcPr>
            <w:tcW w:type="dxa" w:w="1584"/>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0.532</w:t>
            </w:r>
          </w:p>
        </w:tc>
      </w:tr>
      <w:tr>
        <w:trPr>
          <w:cantSplit/>
          <w:cantSplit/>
        </w:trPr>
        <w:tc>
          <w:tcPr>
            <w:tcW w:type="dxa" w:w="1584"/>
            <w:vAlign w:val="center"/>
            <w:tcMar>
              <w:top w:w="80" w:type="dxa"/>
              <w:start w:w="120" w:type="dxa"/>
              <w:bottom w:w="80" w:type="dxa"/>
              <w:end w:w="120" w:type="dxa"/>
            </w:tcMar>
          </w:tcPr>
          <w:p>
            <w:pPr>
              <w:spacing w:after="0" w:line="240" w:lineRule="auto" w:before="0"/>
              <w:jc w:val="left"/>
            </w:pPr>
            <w:r>
              <w:rPr>
                <w:sz w:val="18"/>
              </w:rPr>
            </w:r>
            <w:r>
              <w:rPr>
                <w:rFonts w:ascii="Calibri" w:hAnsi="Calibri"/>
                <w:b w:val="0"/>
                <w:i w:val="0"/>
                <w:sz w:val="18"/>
              </w:rPr>
              <w:t>1-year mortality</w:t>
            </w:r>
          </w:p>
        </w:tc>
        <w:tc>
          <w:tcPr>
            <w:tcW w:type="dxa" w:w="2376"/>
            <w:vAlign w:val="center"/>
            <w:tcMar>
              <w:top w:w="80" w:type="dxa"/>
              <w:start w:w="120" w:type="dxa"/>
              <w:bottom w:w="80" w:type="dxa"/>
              <w:end w:w="120" w:type="dxa"/>
            </w:tcMar>
          </w:tcPr>
          <w:p>
            <w:pPr>
              <w:spacing w:after="0" w:line="240" w:lineRule="auto" w:before="0"/>
              <w:jc w:val="center"/>
            </w:pPr>
            <w:r>
              <w:rPr>
                <w:sz w:val="18"/>
              </w:rPr>
              <w:t xml:space="preserve">Excluding first-day RRT-related records</w:t>
            </w:r>
          </w:p>
        </w:tc>
        <w:tc>
          <w:tcPr>
            <w:tcW w:type="dxa" w:w="93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3189</w:t>
            </w:r>
          </w:p>
        </w:tc>
        <w:tc>
          <w:tcPr>
            <w:tcW w:type="dxa" w:w="93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1137</w:t>
            </w:r>
          </w:p>
        </w:tc>
        <w:tc>
          <w:tcPr>
            <w:tcW w:type="dxa" w:w="3240"/>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Persistent-pattern AKI vs no early AKI</w:t>
            </w:r>
          </w:p>
        </w:tc>
        <w:tc>
          <w:tcPr>
            <w:tcW w:type="dxa" w:w="1152"/>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1.29</w:t>
            </w:r>
          </w:p>
        </w:tc>
        <w:tc>
          <w:tcPr>
            <w:tcW w:type="dxa" w:w="1152"/>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1.06</w:t>
            </w:r>
          </w:p>
        </w:tc>
        <w:tc>
          <w:tcPr>
            <w:tcW w:type="dxa" w:w="1152"/>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1.58</w:t>
            </w:r>
          </w:p>
        </w:tc>
        <w:tc>
          <w:tcPr>
            <w:tcW w:type="dxa" w:w="1584"/>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0.011</w:t>
            </w:r>
          </w:p>
        </w:tc>
      </w:tr>
      <w:tr>
        <w:trPr>
          <w:cantSplit/>
          <w:cantSplit/>
        </w:trPr>
        <w:tc>
          <w:tcPr>
            <w:tcW w:type="dxa" w:w="1584"/>
            <w:vAlign w:val="center"/>
            <w:tcMar>
              <w:top w:w="80" w:type="dxa"/>
              <w:start w:w="120" w:type="dxa"/>
              <w:bottom w:w="80" w:type="dxa"/>
              <w:end w:w="120" w:type="dxa"/>
            </w:tcMar>
          </w:tcPr>
          <w:p>
            <w:pPr>
              <w:spacing w:after="0" w:line="240" w:lineRule="auto" w:before="0"/>
              <w:jc w:val="left"/>
            </w:pPr>
            <w:r>
              <w:rPr>
                <w:sz w:val="18"/>
              </w:rPr>
            </w:r>
            <w:r>
              <w:rPr>
                <w:rFonts w:ascii="Calibri" w:hAnsi="Calibri"/>
                <w:b w:val="0"/>
                <w:i w:val="0"/>
                <w:sz w:val="18"/>
              </w:rPr>
              <w:t>28-day mortality</w:t>
            </w:r>
          </w:p>
        </w:tc>
        <w:tc>
          <w:tcPr>
            <w:tcW w:type="dxa" w:w="237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Expanded comorbidity adjustment</w:t>
            </w:r>
          </w:p>
        </w:tc>
        <w:tc>
          <w:tcPr>
            <w:tcW w:type="dxa" w:w="93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3441</w:t>
            </w:r>
          </w:p>
        </w:tc>
        <w:tc>
          <w:tcPr>
            <w:tcW w:type="dxa" w:w="93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730</w:t>
            </w:r>
          </w:p>
        </w:tc>
        <w:tc>
          <w:tcPr>
            <w:tcW w:type="dxa" w:w="3240"/>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Transient AKI vs no early AKI</w:t>
            </w:r>
          </w:p>
        </w:tc>
        <w:tc>
          <w:tcPr>
            <w:tcW w:type="dxa" w:w="1152"/>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0.94</w:t>
            </w:r>
          </w:p>
        </w:tc>
        <w:tc>
          <w:tcPr>
            <w:tcW w:type="dxa" w:w="1152"/>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0.69</w:t>
            </w:r>
          </w:p>
        </w:tc>
        <w:tc>
          <w:tcPr>
            <w:tcW w:type="dxa" w:w="1152"/>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1.30</w:t>
            </w:r>
          </w:p>
        </w:tc>
        <w:tc>
          <w:tcPr>
            <w:tcW w:type="dxa" w:w="1584"/>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0.726</w:t>
            </w:r>
          </w:p>
        </w:tc>
      </w:tr>
      <w:tr>
        <w:trPr>
          <w:cantSplit/>
          <w:cantSplit/>
        </w:trPr>
        <w:tc>
          <w:tcPr>
            <w:tcW w:type="dxa" w:w="1584"/>
            <w:vAlign w:val="center"/>
            <w:tcMar>
              <w:top w:w="80" w:type="dxa"/>
              <w:start w:w="120" w:type="dxa"/>
              <w:bottom w:w="80" w:type="dxa"/>
              <w:end w:w="120" w:type="dxa"/>
            </w:tcMar>
          </w:tcPr>
          <w:p>
            <w:pPr>
              <w:spacing w:after="0" w:line="240" w:lineRule="auto" w:before="0"/>
              <w:jc w:val="left"/>
            </w:pPr>
            <w:r>
              <w:rPr>
                <w:sz w:val="18"/>
              </w:rPr>
            </w:r>
            <w:r>
              <w:rPr>
                <w:rFonts w:ascii="Calibri" w:hAnsi="Calibri"/>
                <w:b w:val="0"/>
                <w:i w:val="0"/>
                <w:sz w:val="18"/>
              </w:rPr>
              <w:t>28-day mortality</w:t>
            </w:r>
          </w:p>
        </w:tc>
        <w:tc>
          <w:tcPr>
            <w:tcW w:type="dxa" w:w="237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Expanded comorbidity adjustment</w:t>
            </w:r>
          </w:p>
        </w:tc>
        <w:tc>
          <w:tcPr>
            <w:tcW w:type="dxa" w:w="93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3441</w:t>
            </w:r>
          </w:p>
        </w:tc>
        <w:tc>
          <w:tcPr>
            <w:tcW w:type="dxa" w:w="93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730</w:t>
            </w:r>
          </w:p>
        </w:tc>
        <w:tc>
          <w:tcPr>
            <w:tcW w:type="dxa" w:w="3240"/>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Persistent-pattern AKI vs no early AKI</w:t>
            </w:r>
          </w:p>
        </w:tc>
        <w:tc>
          <w:tcPr>
            <w:tcW w:type="dxa" w:w="1152"/>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1.69</w:t>
            </w:r>
          </w:p>
        </w:tc>
        <w:tc>
          <w:tcPr>
            <w:tcW w:type="dxa" w:w="1152"/>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1.28</w:t>
            </w:r>
          </w:p>
        </w:tc>
        <w:tc>
          <w:tcPr>
            <w:tcW w:type="dxa" w:w="1152"/>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2.24</w:t>
            </w:r>
          </w:p>
        </w:tc>
        <w:tc>
          <w:tcPr>
            <w:tcW w:type="dxa" w:w="1584"/>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&lt;0.001</w:t>
            </w:r>
          </w:p>
        </w:tc>
      </w:tr>
      <w:tr>
        <w:trPr>
          <w:cantSplit/>
          <w:cantSplit/>
        </w:trPr>
        <w:tc>
          <w:tcPr>
            <w:tcW w:type="dxa" w:w="1584"/>
            <w:vAlign w:val="center"/>
            <w:tcMar>
              <w:top w:w="80" w:type="dxa"/>
              <w:start w:w="120" w:type="dxa"/>
              <w:bottom w:w="80" w:type="dxa"/>
              <w:end w:w="120" w:type="dxa"/>
            </w:tcMar>
          </w:tcPr>
          <w:p>
            <w:pPr>
              <w:spacing w:after="0" w:line="240" w:lineRule="auto" w:before="0"/>
              <w:jc w:val="left"/>
            </w:pPr>
            <w:r>
              <w:rPr>
                <w:sz w:val="18"/>
              </w:rPr>
            </w:r>
            <w:r>
              <w:rPr>
                <w:rFonts w:ascii="Calibri" w:hAnsi="Calibri"/>
                <w:b w:val="0"/>
                <w:i w:val="0"/>
                <w:sz w:val="18"/>
              </w:rPr>
              <w:t>1-year mortality</w:t>
            </w:r>
          </w:p>
        </w:tc>
        <w:tc>
          <w:tcPr>
            <w:tcW w:type="dxa" w:w="237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Expanded comorbidity adjustment</w:t>
            </w:r>
          </w:p>
        </w:tc>
        <w:tc>
          <w:tcPr>
            <w:tcW w:type="dxa" w:w="93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3441</w:t>
            </w:r>
          </w:p>
        </w:tc>
        <w:tc>
          <w:tcPr>
            <w:tcW w:type="dxa" w:w="93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1285</w:t>
            </w:r>
          </w:p>
        </w:tc>
        <w:tc>
          <w:tcPr>
            <w:tcW w:type="dxa" w:w="3240"/>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Transient AKI vs no early AKI</w:t>
            </w:r>
          </w:p>
        </w:tc>
        <w:tc>
          <w:tcPr>
            <w:tcW w:type="dxa" w:w="1152"/>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0.99</w:t>
            </w:r>
          </w:p>
        </w:tc>
        <w:tc>
          <w:tcPr>
            <w:tcW w:type="dxa" w:w="1152"/>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0.79</w:t>
            </w:r>
          </w:p>
        </w:tc>
        <w:tc>
          <w:tcPr>
            <w:tcW w:type="dxa" w:w="1152"/>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1.23</w:t>
            </w:r>
          </w:p>
        </w:tc>
        <w:tc>
          <w:tcPr>
            <w:tcW w:type="dxa" w:w="1584"/>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0.924</w:t>
            </w:r>
          </w:p>
        </w:tc>
      </w:tr>
      <w:tr>
        <w:trPr>
          <w:cantSplit/>
          <w:cantSplit/>
        </w:trPr>
        <w:tc>
          <w:tcPr>
            <w:tcW w:type="dxa" w:w="1584"/>
            <w:vAlign w:val="center"/>
            <w:tcMar>
              <w:top w:w="80" w:type="dxa"/>
              <w:start w:w="120" w:type="dxa"/>
              <w:bottom w:w="80" w:type="dxa"/>
              <w:end w:w="120" w:type="dxa"/>
            </w:tcMar>
          </w:tcPr>
          <w:p>
            <w:pPr>
              <w:spacing w:after="0" w:line="240" w:lineRule="auto" w:before="0"/>
              <w:jc w:val="left"/>
            </w:pPr>
            <w:r>
              <w:rPr>
                <w:sz w:val="18"/>
              </w:rPr>
            </w:r>
            <w:r>
              <w:rPr>
                <w:rFonts w:ascii="Calibri" w:hAnsi="Calibri"/>
                <w:b w:val="0"/>
                <w:i w:val="0"/>
                <w:sz w:val="18"/>
              </w:rPr>
              <w:t>1-year mortality</w:t>
            </w:r>
          </w:p>
        </w:tc>
        <w:tc>
          <w:tcPr>
            <w:tcW w:type="dxa" w:w="237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Expanded comorbidity adjustment</w:t>
            </w:r>
          </w:p>
        </w:tc>
        <w:tc>
          <w:tcPr>
            <w:tcW w:type="dxa" w:w="93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3441</w:t>
            </w:r>
          </w:p>
        </w:tc>
        <w:tc>
          <w:tcPr>
            <w:tcW w:type="dxa" w:w="93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1285</w:t>
            </w:r>
          </w:p>
        </w:tc>
        <w:tc>
          <w:tcPr>
            <w:tcW w:type="dxa" w:w="3240"/>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Persistent-pattern AKI vs no early AKI</w:t>
            </w:r>
          </w:p>
        </w:tc>
        <w:tc>
          <w:tcPr>
            <w:tcW w:type="dxa" w:w="1152"/>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1.43</w:t>
            </w:r>
          </w:p>
        </w:tc>
        <w:tc>
          <w:tcPr>
            <w:tcW w:type="dxa" w:w="1152"/>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1.17</w:t>
            </w:r>
          </w:p>
        </w:tc>
        <w:tc>
          <w:tcPr>
            <w:tcW w:type="dxa" w:w="1152"/>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1.74</w:t>
            </w:r>
          </w:p>
        </w:tc>
        <w:tc>
          <w:tcPr>
            <w:tcW w:type="dxa" w:w="1584"/>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&lt;0.001</w:t>
            </w:r>
          </w:p>
        </w:tc>
      </w:tr>
    </w:tbl>
    <w:p>
      <w:pPr>
        <w:pageBreakBefore/>
        <w:spacing w:before="160" w:after="80"/>
      </w:pPr>
      <w:r>
        <w:rPr>
          <w:rFonts w:ascii="Calibri" w:hAnsi="Calibri"/>
          <w:b/>
          <w:i w:val="0"/>
          <w:sz w:val="21"/>
        </w:rPr>
        <w:t xml:space="preserve">Supplementary Table S7. Late-onset and unobservable trajectories and four-group Cox sensitivity analysis.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5" w:type="dxa"/>
          <w:bottom w:w="65" w:type="dxa"/>
          <w:left w:w="65" w:type="dxa"/>
          <w:right w:w="65" w:type="dxa"/>
        </w:tblCellMar>
      </w:tblPr>
      <w:tblGrid>
        <w:gridCol w:w="5040"/>
        <w:gridCol w:w="1440"/>
        <w:gridCol w:w="3816"/>
        <w:gridCol w:w="3816"/>
      </w:tblGrid>
      <w:tr>
        <w:trPr>
          <w:tblHeader/>
          <w:cantSplit/>
          <w:cantSplit/>
          <w:tblHeader/>
        </w:trPr>
        <w:tc>
          <w:tcPr>
            <w:tcW w:type="dxa" w:w="5040"/>
            <w:vAlign w:val="center"/>
            <w:shd w:fill="EAEAEA"/>
          </w:tcPr>
          <w:p>
            <w:pPr>
              <w:spacing w:before="0" w:after="0" w:line="240" w:lineRule="auto"/>
              <w:jc w:val="left"/>
            </w:pPr>
            <w:r>
              <w:rPr>
                <w:sz w:val="20"/>
                <w:b/>
              </w:rPr>
              <w:t>Trajectory</w:t>
            </w:r>
          </w:p>
        </w:tc>
        <w:tc>
          <w:tcPr>
            <w:tcW w:type="dxa" w:w="1440"/>
            <w:vAlign w:val="center"/>
            <w:shd w:fill="EAEAEA"/>
          </w:tcPr>
          <w:p>
            <w:pPr>
              <w:spacing w:before="0" w:after="0" w:line="240" w:lineRule="auto"/>
              <w:jc w:val="center"/>
            </w:pPr>
            <w:r>
              <w:rPr>
                <w:sz w:val="20"/>
                <w:b/>
              </w:rPr>
              <w:t>n</w:t>
            </w:r>
          </w:p>
        </w:tc>
        <w:tc>
          <w:tcPr>
            <w:tcW w:type="dxa" w:w="3816"/>
            <w:vAlign w:val="center"/>
            <w:shd w:fill="EAEAEA"/>
          </w:tcPr>
          <w:p>
            <w:pPr>
              <w:spacing w:before="0" w:after="0" w:line="240" w:lineRule="auto"/>
              <w:jc w:val="center"/>
            </w:pPr>
            <w:r>
              <w:rPr>
                <w:sz w:val="20"/>
                <w:b/>
              </w:rPr>
              <w:t>28-day deaths, n (%)</w:t>
            </w:r>
          </w:p>
        </w:tc>
        <w:tc>
          <w:tcPr>
            <w:tcW w:type="dxa" w:w="3816"/>
            <w:vAlign w:val="center"/>
            <w:shd w:fill="EAEAEA"/>
          </w:tcPr>
          <w:p>
            <w:pPr>
              <w:spacing w:before="0" w:after="0" w:line="240" w:lineRule="auto"/>
              <w:jc w:val="center"/>
            </w:pPr>
            <w:r>
              <w:rPr>
                <w:sz w:val="20"/>
                <w:b/>
              </w:rPr>
              <w:t>1-year deaths, n (%)</w:t>
            </w:r>
          </w:p>
        </w:tc>
      </w:tr>
      <w:tr>
        <w:trPr>
          <w:cantSplit/>
          <w:cantSplit/>
        </w:trPr>
        <w:tc>
          <w:tcPr>
            <w:tcW w:type="dxa" w:w="5040"/>
            <w:vAlign w:val="center"/>
          </w:tcPr>
          <w:p>
            <w:pPr>
              <w:spacing w:before="0" w:after="0" w:line="240" w:lineRule="auto"/>
              <w:jc w:val="left"/>
            </w:pPr>
            <w:r>
              <w:rPr>
                <w:sz w:val="20"/>
              </w:rPr>
              <w:t>No early AKI</w:t>
            </w:r>
          </w:p>
        </w:tc>
        <w:tc>
          <w:tcPr>
            <w:tcW w:type="dxa" w:w="1440"/>
            <w:vAlign w:val="center"/>
          </w:tcPr>
          <w:p>
            <w:pPr>
              <w:spacing w:before="0" w:after="0" w:line="240" w:lineRule="auto"/>
              <w:jc w:val="center"/>
            </w:pPr>
            <w:r>
              <w:rPr>
                <w:sz w:val="20"/>
              </w:rPr>
              <w:t>422</w:t>
            </w:r>
          </w:p>
        </w:tc>
        <w:tc>
          <w:tcPr>
            <w:tcW w:type="dxa" w:w="3816"/>
            <w:vAlign w:val="center"/>
          </w:tcPr>
          <w:p>
            <w:pPr>
              <w:spacing w:before="0" w:after="0" w:line="240" w:lineRule="auto"/>
              <w:jc w:val="center"/>
            </w:pPr>
            <w:r>
              <w:rPr>
                <w:sz w:val="20"/>
              </w:rPr>
              <w:t>57 (13.51)</w:t>
            </w:r>
          </w:p>
        </w:tc>
        <w:tc>
          <w:tcPr>
            <w:tcW w:type="dxa" w:w="3816"/>
            <w:vAlign w:val="center"/>
          </w:tcPr>
          <w:p>
            <w:pPr>
              <w:spacing w:before="0" w:after="0" w:line="240" w:lineRule="auto"/>
              <w:jc w:val="center"/>
            </w:pPr>
            <w:r>
              <w:rPr>
                <w:sz w:val="20"/>
              </w:rPr>
              <w:t>120 (28.44)</w:t>
            </w:r>
          </w:p>
        </w:tc>
      </w:tr>
      <w:tr>
        <w:trPr>
          <w:cantSplit/>
          <w:cantSplit/>
        </w:trPr>
        <w:tc>
          <w:tcPr>
            <w:tcW w:type="dxa" w:w="5040"/>
            <w:vAlign w:val="center"/>
          </w:tcPr>
          <w:p>
            <w:pPr>
              <w:spacing w:before="0" w:after="0" w:line="240" w:lineRule="auto"/>
              <w:jc w:val="left"/>
            </w:pPr>
            <w:r>
              <w:rPr>
                <w:sz w:val="20"/>
              </w:rPr>
              <w:t>Transient AKI</w:t>
            </w:r>
          </w:p>
        </w:tc>
        <w:tc>
          <w:tcPr>
            <w:tcW w:type="dxa" w:w="1440"/>
            <w:vAlign w:val="center"/>
          </w:tcPr>
          <w:p>
            <w:pPr>
              <w:spacing w:before="0" w:after="0" w:line="240" w:lineRule="auto"/>
              <w:jc w:val="center"/>
            </w:pPr>
            <w:r>
              <w:rPr>
                <w:sz w:val="20"/>
              </w:rPr>
              <w:t>892</w:t>
            </w:r>
          </w:p>
        </w:tc>
        <w:tc>
          <w:tcPr>
            <w:tcW w:type="dxa" w:w="3816"/>
            <w:vAlign w:val="center"/>
          </w:tcPr>
          <w:p>
            <w:pPr>
              <w:spacing w:before="0" w:after="0" w:line="240" w:lineRule="auto"/>
              <w:jc w:val="center"/>
            </w:pPr>
            <w:r>
              <w:rPr>
                <w:sz w:val="20"/>
              </w:rPr>
              <w:t>123 (13.79)</w:t>
            </w:r>
          </w:p>
        </w:tc>
        <w:tc>
          <w:tcPr>
            <w:tcW w:type="dxa" w:w="3816"/>
            <w:vAlign w:val="center"/>
          </w:tcPr>
          <w:p>
            <w:pPr>
              <w:spacing w:before="0" w:after="0" w:line="240" w:lineRule="auto"/>
              <w:jc w:val="center"/>
            </w:pPr>
            <w:r>
              <w:rPr>
                <w:sz w:val="20"/>
              </w:rPr>
              <w:t>273 (30.61)</w:t>
            </w:r>
          </w:p>
        </w:tc>
      </w:tr>
      <w:tr>
        <w:trPr>
          <w:cantSplit/>
          <w:cantSplit/>
        </w:trPr>
        <w:tc>
          <w:tcPr>
            <w:tcW w:type="dxa" w:w="5040"/>
            <w:vAlign w:val="center"/>
          </w:tcPr>
          <w:p>
            <w:pPr>
              <w:spacing w:before="0" w:after="0" w:line="240" w:lineRule="auto"/>
              <w:jc w:val="left"/>
            </w:pPr>
            <w:r>
              <w:rPr>
                <w:sz w:val="20"/>
              </w:rPr>
              <w:t>Persistent-pattern AKI</w:t>
            </w:r>
          </w:p>
        </w:tc>
        <w:tc>
          <w:tcPr>
            <w:tcW w:type="dxa" w:w="1440"/>
            <w:vAlign w:val="center"/>
          </w:tcPr>
          <w:p>
            <w:pPr>
              <w:spacing w:before="0" w:after="0" w:line="240" w:lineRule="auto"/>
              <w:jc w:val="center"/>
            </w:pPr>
            <w:r>
              <w:rPr>
                <w:sz w:val="20"/>
              </w:rPr>
              <w:t>2150</w:t>
            </w:r>
          </w:p>
        </w:tc>
        <w:tc>
          <w:tcPr>
            <w:tcW w:type="dxa" w:w="3816"/>
            <w:vAlign w:val="center"/>
          </w:tcPr>
          <w:p>
            <w:pPr>
              <w:spacing w:before="0" w:after="0" w:line="240" w:lineRule="auto"/>
              <w:jc w:val="center"/>
            </w:pPr>
            <w:r>
              <w:rPr>
                <w:sz w:val="20"/>
              </w:rPr>
              <w:t>553 (25.72)</w:t>
            </w:r>
          </w:p>
        </w:tc>
        <w:tc>
          <w:tcPr>
            <w:tcW w:type="dxa" w:w="3816"/>
            <w:vAlign w:val="center"/>
          </w:tcPr>
          <w:p>
            <w:pPr>
              <w:spacing w:before="0" w:after="0" w:line="240" w:lineRule="auto"/>
              <w:jc w:val="center"/>
            </w:pPr>
            <w:r>
              <w:rPr>
                <w:sz w:val="20"/>
              </w:rPr>
              <w:t>901 (41.91)</w:t>
            </w:r>
          </w:p>
        </w:tc>
      </w:tr>
      <w:tr>
        <w:trPr>
          <w:cantSplit/>
          <w:cantSplit/>
        </w:trPr>
        <w:tc>
          <w:tcPr>
            <w:tcW w:type="dxa" w:w="5040"/>
            <w:vAlign w:val="center"/>
          </w:tcPr>
          <w:p>
            <w:pPr>
              <w:spacing w:before="0" w:after="0" w:line="240" w:lineRule="auto"/>
              <w:jc w:val="left"/>
            </w:pPr>
            <w:r>
              <w:rPr>
                <w:sz w:val="20"/>
              </w:rPr>
              <w:t>Late-onset AKI</w:t>
            </w:r>
          </w:p>
        </w:tc>
        <w:tc>
          <w:tcPr>
            <w:tcW w:type="dxa" w:w="1440"/>
            <w:vAlign w:val="center"/>
          </w:tcPr>
          <w:p>
            <w:pPr>
              <w:spacing w:before="0" w:after="0" w:line="240" w:lineRule="auto"/>
              <w:jc w:val="center"/>
            </w:pPr>
            <w:r>
              <w:rPr>
                <w:sz w:val="20"/>
              </w:rPr>
              <w:t>195</w:t>
            </w:r>
          </w:p>
        </w:tc>
        <w:tc>
          <w:tcPr>
            <w:tcW w:type="dxa" w:w="3816"/>
            <w:vAlign w:val="center"/>
          </w:tcPr>
          <w:p>
            <w:pPr>
              <w:spacing w:before="0" w:after="0" w:line="240" w:lineRule="auto"/>
              <w:jc w:val="center"/>
            </w:pPr>
            <w:r>
              <w:rPr>
                <w:sz w:val="20"/>
              </w:rPr>
              <w:t>35 (17.95)</w:t>
            </w:r>
          </w:p>
        </w:tc>
        <w:tc>
          <w:tcPr>
            <w:tcW w:type="dxa" w:w="3816"/>
            <w:vAlign w:val="center"/>
          </w:tcPr>
          <w:p>
            <w:pPr>
              <w:spacing w:before="0" w:after="0" w:line="240" w:lineRule="auto"/>
              <w:jc w:val="center"/>
            </w:pPr>
            <w:r>
              <w:rPr>
                <w:sz w:val="20"/>
              </w:rPr>
              <w:t>61 (31.28)</w:t>
            </w:r>
          </w:p>
        </w:tc>
      </w:tr>
      <w:tr>
        <w:trPr>
          <w:cantSplit/>
          <w:cantSplit/>
        </w:trPr>
        <w:tc>
          <w:tcPr>
            <w:tcW w:type="dxa" w:w="5040"/>
            <w:vAlign w:val="center"/>
          </w:tcPr>
          <w:p>
            <w:pPr>
              <w:spacing w:before="0" w:after="0" w:line="240" w:lineRule="auto"/>
              <w:jc w:val="left"/>
            </w:pPr>
            <w:r>
              <w:rPr>
                <w:sz w:val="20"/>
              </w:rPr>
              <w:t>Unobservable trajectory</w:t>
            </w:r>
          </w:p>
        </w:tc>
        <w:tc>
          <w:tcPr>
            <w:tcW w:type="dxa" w:w="1440"/>
            <w:vAlign w:val="center"/>
          </w:tcPr>
          <w:p>
            <w:pPr>
              <w:spacing w:before="0" w:after="0" w:line="240" w:lineRule="auto"/>
              <w:jc w:val="center"/>
            </w:pPr>
            <w:r>
              <w:rPr>
                <w:sz w:val="20"/>
              </w:rPr>
              <w:t>2615</w:t>
            </w:r>
          </w:p>
        </w:tc>
        <w:tc>
          <w:tcPr>
            <w:tcW w:type="dxa" w:w="3816"/>
            <w:vAlign w:val="center"/>
          </w:tcPr>
          <w:p>
            <w:pPr>
              <w:spacing w:before="0" w:after="0" w:line="240" w:lineRule="auto"/>
              <w:jc w:val="center"/>
            </w:pPr>
            <w:r>
              <w:rPr>
                <w:sz w:val="20"/>
              </w:rPr>
              <w:t>227 (8.68)</w:t>
            </w:r>
          </w:p>
        </w:tc>
        <w:tc>
          <w:tcPr>
            <w:tcW w:type="dxa" w:w="3816"/>
            <w:vAlign w:val="center"/>
          </w:tcPr>
          <w:p>
            <w:pPr>
              <w:spacing w:before="0" w:after="0" w:line="240" w:lineRule="auto"/>
              <w:jc w:val="center"/>
            </w:pPr>
            <w:r>
              <w:rPr>
                <w:sz w:val="20"/>
              </w:rPr>
              <w:t>600 (22.94)</w:t>
            </w:r>
          </w:p>
        </w:tc>
      </w:tr>
    </w:tbl>
    <w:p>
      <w:r>
        <w:t>Crude counts use all landmark survivors. Adjusted four-group models below exclude unobservable trajectories and use 3651 complete cases; no early AKI is the reference. HRs for one year are average associations.</w:t>
      </w:r>
    </w:p>
    <w:tbl>
      <w:tblPr>
        <w:tblStyle w:val="TableGrid"/>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5" w:type="dxa"/>
          <w:bottom w:w="65" w:type="dxa"/>
          <w:left w:w="65" w:type="dxa"/>
          <w:right w:w="65" w:type="dxa"/>
        </w:tblCellMar>
      </w:tblPr>
      <w:tblGrid>
        <w:gridCol w:w="1584"/>
        <w:gridCol w:w="2376"/>
        <w:gridCol w:w="936"/>
        <w:gridCol w:w="936"/>
        <w:gridCol w:w="3240"/>
        <w:gridCol w:w="1152"/>
        <w:gridCol w:w="1152"/>
        <w:gridCol w:w="1152"/>
        <w:gridCol w:w="1584"/>
      </w:tblGrid>
      <w:tr>
        <w:trPr>
          <w:tblHeader w:val="true"/>
          <w:cantSplit/>
          <w:cantSplit/>
          <w:tblHeader/>
        </w:trPr>
        <w:tc>
          <w:tcPr>
            <w:tcW w:type="dxa" w:w="1584"/>
            <w:vAlign w:val="center"/>
            <w:shd w:fill="F2F4F7"/>
            <w:tcMar>
              <w:top w:w="80" w:type="dxa"/>
              <w:start w:w="120" w:type="dxa"/>
              <w:bottom w:w="80" w:type="dxa"/>
              <w:end w:w="120" w:type="dxa"/>
            </w:tcMar>
            <w:shd w:fill="EAEAEA"/>
          </w:tcPr>
          <w:p>
            <w:pPr>
              <w:spacing w:before="0" w:after="0" w:line="240" w:lineRule="auto"/>
              <w:jc w:val="left"/>
            </w:pPr>
            <w:r>
              <w:rPr>
                <w:sz w:val="18"/>
                <w:b/>
              </w:rPr>
              <w:t>Endpoint</w:t>
            </w:r>
          </w:p>
        </w:tc>
        <w:tc>
          <w:tcPr>
            <w:tcW w:type="dxa" w:w="2376"/>
            <w:vAlign w:val="center"/>
            <w:shd w:fill="F2F4F7"/>
            <w:tcMar>
              <w:top w:w="80" w:type="dxa"/>
              <w:start w:w="120" w:type="dxa"/>
              <w:bottom w:w="80" w:type="dxa"/>
              <w:end w:w="120" w:type="dxa"/>
            </w:tcMar>
            <w:shd w:fill="EAEAEA"/>
          </w:tcPr>
          <w:p>
            <w:pPr>
              <w:spacing w:before="0" w:after="0" w:line="240" w:lineRule="auto"/>
              <w:jc w:val="center"/>
            </w:pPr>
            <w:r>
              <w:rPr>
                <w:sz w:val="18"/>
                <w:b/>
              </w:rPr>
              <w:t>Model</w:t>
            </w:r>
          </w:p>
        </w:tc>
        <w:tc>
          <w:tcPr>
            <w:tcW w:type="dxa" w:w="936"/>
            <w:vAlign w:val="center"/>
            <w:shd w:fill="F2F4F7"/>
            <w:tcMar>
              <w:top w:w="80" w:type="dxa"/>
              <w:start w:w="120" w:type="dxa"/>
              <w:bottom w:w="80" w:type="dxa"/>
              <w:end w:w="120" w:type="dxa"/>
            </w:tcMar>
            <w:shd w:fill="EAEAEA"/>
          </w:tcPr>
          <w:p>
            <w:pPr>
              <w:spacing w:before="0" w:after="0" w:line="240" w:lineRule="auto"/>
              <w:jc w:val="center"/>
            </w:pPr>
            <w:r>
              <w:rPr>
                <w:sz w:val="18"/>
                <w:b/>
              </w:rPr>
              <w:t>n used</w:t>
            </w:r>
          </w:p>
        </w:tc>
        <w:tc>
          <w:tcPr>
            <w:tcW w:type="dxa" w:w="936"/>
            <w:vAlign w:val="center"/>
            <w:shd w:fill="F2F4F7"/>
            <w:tcMar>
              <w:top w:w="80" w:type="dxa"/>
              <w:start w:w="120" w:type="dxa"/>
              <w:bottom w:w="80" w:type="dxa"/>
              <w:end w:w="120" w:type="dxa"/>
            </w:tcMar>
            <w:shd w:fill="EAEAEA"/>
          </w:tcPr>
          <w:p>
            <w:pPr>
              <w:spacing w:before="0" w:after="0" w:line="240" w:lineRule="auto"/>
              <w:jc w:val="center"/>
            </w:pPr>
            <w:r>
              <w:rPr>
                <w:sz w:val="18"/>
                <w:b/>
              </w:rPr>
              <w:t>Events</w:t>
            </w:r>
          </w:p>
        </w:tc>
        <w:tc>
          <w:tcPr>
            <w:tcW w:type="dxa" w:w="3240"/>
            <w:vAlign w:val="center"/>
            <w:shd w:fill="F2F4F7"/>
            <w:tcMar>
              <w:top w:w="80" w:type="dxa"/>
              <w:start w:w="120" w:type="dxa"/>
              <w:bottom w:w="80" w:type="dxa"/>
              <w:end w:w="120" w:type="dxa"/>
            </w:tcMar>
            <w:shd w:fill="EAEAEA"/>
          </w:tcPr>
          <w:p>
            <w:pPr>
              <w:spacing w:before="0" w:after="0" w:line="240" w:lineRule="auto"/>
              <w:jc w:val="center"/>
            </w:pPr>
            <w:r>
              <w:rPr>
                <w:sz w:val="18"/>
                <w:b/>
              </w:rPr>
              <w:t>Comparison</w:t>
            </w:r>
          </w:p>
        </w:tc>
        <w:tc>
          <w:tcPr>
            <w:tcW w:type="dxa" w:w="1152"/>
            <w:vAlign w:val="center"/>
            <w:shd w:fill="F2F4F7"/>
            <w:tcMar>
              <w:top w:w="80" w:type="dxa"/>
              <w:start w:w="120" w:type="dxa"/>
              <w:bottom w:w="80" w:type="dxa"/>
              <w:end w:w="120" w:type="dxa"/>
            </w:tcMar>
            <w:shd w:fill="EAEAEA"/>
          </w:tcPr>
          <w:p>
            <w:pPr>
              <w:spacing w:before="0" w:after="0" w:line="240" w:lineRule="auto"/>
              <w:jc w:val="center"/>
            </w:pPr>
            <w:r>
              <w:rPr>
                <w:sz w:val="18"/>
                <w:b/>
              </w:rPr>
              <w:t>Adjusted HR</w:t>
            </w:r>
          </w:p>
        </w:tc>
        <w:tc>
          <w:tcPr>
            <w:tcW w:type="dxa" w:w="1152"/>
            <w:vAlign w:val="center"/>
            <w:shd w:fill="F2F4F7"/>
            <w:tcMar>
              <w:top w:w="80" w:type="dxa"/>
              <w:start w:w="120" w:type="dxa"/>
              <w:bottom w:w="80" w:type="dxa"/>
              <w:end w:w="120" w:type="dxa"/>
            </w:tcMar>
            <w:shd w:fill="EAEAEA"/>
          </w:tcPr>
          <w:p>
            <w:pPr>
              <w:spacing w:before="0" w:after="0" w:line="240" w:lineRule="auto"/>
              <w:jc w:val="center"/>
            </w:pPr>
            <w:r>
              <w:rPr>
                <w:sz w:val="18"/>
                <w:b/>
              </w:rPr>
              <w:t>CI lower</w:t>
            </w:r>
          </w:p>
        </w:tc>
        <w:tc>
          <w:tcPr>
            <w:tcW w:type="dxa" w:w="1152"/>
            <w:vAlign w:val="center"/>
            <w:shd w:fill="F2F4F7"/>
            <w:tcMar>
              <w:top w:w="80" w:type="dxa"/>
              <w:start w:w="120" w:type="dxa"/>
              <w:bottom w:w="80" w:type="dxa"/>
              <w:end w:w="120" w:type="dxa"/>
            </w:tcMar>
            <w:shd w:fill="EAEAEA"/>
          </w:tcPr>
          <w:p>
            <w:pPr>
              <w:spacing w:before="0" w:after="0" w:line="240" w:lineRule="auto"/>
              <w:jc w:val="center"/>
            </w:pPr>
            <w:r>
              <w:rPr>
                <w:sz w:val="18"/>
                <w:b/>
              </w:rPr>
              <w:t>CI upper</w:t>
            </w:r>
          </w:p>
        </w:tc>
        <w:tc>
          <w:tcPr>
            <w:tcW w:type="dxa" w:w="1584"/>
            <w:vAlign w:val="center"/>
            <w:shd w:fill="F2F4F7"/>
            <w:tcMar>
              <w:top w:w="80" w:type="dxa"/>
              <w:start w:w="120" w:type="dxa"/>
              <w:bottom w:w="80" w:type="dxa"/>
              <w:end w:w="120" w:type="dxa"/>
            </w:tcMar>
            <w:shd w:fill="EAEAEA"/>
          </w:tcPr>
          <w:p>
            <w:pPr>
              <w:spacing w:before="0" w:after="0" w:line="240" w:lineRule="auto"/>
              <w:jc w:val="center"/>
            </w:pPr>
            <w:r>
              <w:rPr>
                <w:sz w:val="18"/>
                <w:b/>
              </w:rPr>
              <w:t>P value</w:t>
            </w:r>
          </w:p>
        </w:tc>
      </w:tr>
      <w:tr>
        <w:trPr>
          <w:cantSplit/>
          <w:cantSplit/>
        </w:trPr>
        <w:tc>
          <w:tcPr>
            <w:tcW w:type="dxa" w:w="1584"/>
            <w:vAlign w:val="center"/>
            <w:tcMar>
              <w:top w:w="80" w:type="dxa"/>
              <w:start w:w="120" w:type="dxa"/>
              <w:bottom w:w="80" w:type="dxa"/>
              <w:end w:w="120" w:type="dxa"/>
            </w:tcMar>
          </w:tcPr>
          <w:p>
            <w:pPr>
              <w:spacing w:after="0" w:line="240" w:lineRule="auto" w:before="0"/>
              <w:jc w:val="left"/>
            </w:pPr>
            <w:r>
              <w:rPr>
                <w:sz w:val="18"/>
              </w:rPr>
            </w:r>
            <w:r>
              <w:rPr>
                <w:rFonts w:ascii="Calibri" w:hAnsi="Calibri"/>
                <w:b w:val="0"/>
                <w:i w:val="0"/>
                <w:sz w:val="18"/>
              </w:rPr>
              <w:t>28-day mortality</w:t>
            </w:r>
          </w:p>
        </w:tc>
        <w:tc>
          <w:tcPr>
            <w:tcW w:type="dxa" w:w="237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Four-group late-observed cohort</w:t>
            </w:r>
          </w:p>
        </w:tc>
        <w:tc>
          <w:tcPr>
            <w:tcW w:type="dxa" w:w="93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3651</w:t>
            </w:r>
          </w:p>
        </w:tc>
        <w:tc>
          <w:tcPr>
            <w:tcW w:type="dxa" w:w="93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768</w:t>
            </w:r>
          </w:p>
        </w:tc>
        <w:tc>
          <w:tcPr>
            <w:tcW w:type="dxa" w:w="3240"/>
            <w:vAlign w:val="center"/>
            <w:tcMar>
              <w:top w:w="80" w:type="dxa"/>
              <w:start w:w="120" w:type="dxa"/>
              <w:bottom w:w="80" w:type="dxa"/>
              <w:end w:w="120" w:type="dxa"/>
            </w:tcMar>
          </w:tcPr>
          <w:p>
            <w:pPr>
              <w:spacing w:before="0" w:after="0" w:line="240" w:lineRule="auto"/>
              <w:jc w:val="center"/>
            </w:pPr>
            <w:r>
              <w:rPr>
                <w:sz w:val="18"/>
              </w:rPr>
              <w:t>Transient AKI vs no early AKI</w:t>
            </w:r>
          </w:p>
        </w:tc>
        <w:tc>
          <w:tcPr>
            <w:tcW w:type="dxa" w:w="1152"/>
            <w:vAlign w:val="center"/>
            <w:tcMar>
              <w:top w:w="80" w:type="dxa"/>
              <w:start w:w="120" w:type="dxa"/>
              <w:bottom w:w="80" w:type="dxa"/>
              <w:end w:w="120" w:type="dxa"/>
            </w:tcMar>
          </w:tcPr>
          <w:p>
            <w:pPr>
              <w:spacing w:before="0" w:after="0" w:line="240" w:lineRule="auto"/>
              <w:jc w:val="center"/>
            </w:pPr>
            <w:r>
              <w:rPr>
                <w:sz w:val="18"/>
              </w:rPr>
              <w:t>0.91</w:t>
            </w:r>
          </w:p>
        </w:tc>
        <w:tc>
          <w:tcPr>
            <w:tcW w:type="dxa" w:w="1152"/>
            <w:vAlign w:val="center"/>
            <w:tcMar>
              <w:top w:w="80" w:type="dxa"/>
              <w:start w:w="120" w:type="dxa"/>
              <w:bottom w:w="80" w:type="dxa"/>
              <w:end w:w="120" w:type="dxa"/>
            </w:tcMar>
          </w:tcPr>
          <w:p>
            <w:pPr>
              <w:spacing w:before="0" w:after="0" w:line="240" w:lineRule="auto"/>
              <w:jc w:val="center"/>
            </w:pPr>
            <w:r>
              <w:rPr>
                <w:sz w:val="18"/>
              </w:rPr>
              <w:t>0.66</w:t>
            </w:r>
          </w:p>
        </w:tc>
        <w:tc>
          <w:tcPr>
            <w:tcW w:type="dxa" w:w="1152"/>
            <w:vAlign w:val="center"/>
            <w:tcMar>
              <w:top w:w="80" w:type="dxa"/>
              <w:start w:w="120" w:type="dxa"/>
              <w:bottom w:w="80" w:type="dxa"/>
              <w:end w:w="120" w:type="dxa"/>
            </w:tcMar>
          </w:tcPr>
          <w:p>
            <w:pPr>
              <w:spacing w:before="0" w:after="0" w:line="240" w:lineRule="auto"/>
              <w:jc w:val="center"/>
            </w:pPr>
            <w:r>
              <w:rPr>
                <w:sz w:val="18"/>
              </w:rPr>
              <w:t>1.25</w:t>
            </w:r>
          </w:p>
        </w:tc>
        <w:tc>
          <w:tcPr>
            <w:tcW w:type="dxa" w:w="1584"/>
            <w:vAlign w:val="center"/>
            <w:tcMar>
              <w:top w:w="80" w:type="dxa"/>
              <w:start w:w="120" w:type="dxa"/>
              <w:bottom w:w="80" w:type="dxa"/>
              <w:end w:w="120" w:type="dxa"/>
            </w:tcMar>
          </w:tcPr>
          <w:p>
            <w:pPr>
              <w:spacing w:before="0" w:after="0" w:line="240" w:lineRule="auto"/>
              <w:jc w:val="center"/>
            </w:pPr>
            <w:r>
              <w:rPr>
                <w:sz w:val="18"/>
              </w:rPr>
              <w:t>0.556</w:t>
            </w:r>
          </w:p>
        </w:tc>
      </w:tr>
      <w:tr>
        <w:trPr>
          <w:cantSplit/>
          <w:cantSplit/>
        </w:trPr>
        <w:tc>
          <w:tcPr>
            <w:tcW w:type="dxa" w:w="1584"/>
            <w:vAlign w:val="center"/>
            <w:tcMar>
              <w:top w:w="80" w:type="dxa"/>
              <w:start w:w="120" w:type="dxa"/>
              <w:bottom w:w="80" w:type="dxa"/>
              <w:end w:w="120" w:type="dxa"/>
            </w:tcMar>
          </w:tcPr>
          <w:p>
            <w:pPr>
              <w:spacing w:after="0" w:line="240" w:lineRule="auto" w:before="0"/>
              <w:jc w:val="left"/>
            </w:pPr>
            <w:r>
              <w:rPr>
                <w:sz w:val="18"/>
              </w:rPr>
            </w:r>
            <w:r>
              <w:rPr>
                <w:rFonts w:ascii="Calibri" w:hAnsi="Calibri"/>
                <w:b w:val="0"/>
                <w:i w:val="0"/>
                <w:sz w:val="18"/>
              </w:rPr>
              <w:t>28-day mortality</w:t>
            </w:r>
          </w:p>
        </w:tc>
        <w:tc>
          <w:tcPr>
            <w:tcW w:type="dxa" w:w="237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Four-group late-observed cohort</w:t>
            </w:r>
          </w:p>
        </w:tc>
        <w:tc>
          <w:tcPr>
            <w:tcW w:type="dxa" w:w="93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3651</w:t>
            </w:r>
          </w:p>
        </w:tc>
        <w:tc>
          <w:tcPr>
            <w:tcW w:type="dxa" w:w="93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768</w:t>
            </w:r>
          </w:p>
        </w:tc>
        <w:tc>
          <w:tcPr>
            <w:tcW w:type="dxa" w:w="3240"/>
            <w:vAlign w:val="center"/>
            <w:tcMar>
              <w:top w:w="80" w:type="dxa"/>
              <w:start w:w="120" w:type="dxa"/>
              <w:bottom w:w="80" w:type="dxa"/>
              <w:end w:w="120" w:type="dxa"/>
            </w:tcMar>
          </w:tcPr>
          <w:p>
            <w:pPr>
              <w:spacing w:before="0" w:after="0" w:line="240" w:lineRule="auto"/>
              <w:jc w:val="center"/>
            </w:pPr>
            <w:r>
              <w:rPr>
                <w:sz w:val="18"/>
              </w:rPr>
              <w:t>Persistent-pattern AKI vs no early AKI</w:t>
            </w:r>
          </w:p>
        </w:tc>
        <w:tc>
          <w:tcPr>
            <w:tcW w:type="dxa" w:w="1152"/>
            <w:vAlign w:val="center"/>
            <w:tcMar>
              <w:top w:w="80" w:type="dxa"/>
              <w:start w:w="120" w:type="dxa"/>
              <w:bottom w:w="80" w:type="dxa"/>
              <w:end w:w="120" w:type="dxa"/>
            </w:tcMar>
          </w:tcPr>
          <w:p>
            <w:pPr>
              <w:spacing w:before="0" w:after="0" w:line="240" w:lineRule="auto"/>
              <w:jc w:val="center"/>
            </w:pPr>
            <w:r>
              <w:rPr>
                <w:sz w:val="18"/>
              </w:rPr>
              <w:t>1.54</w:t>
            </w:r>
          </w:p>
        </w:tc>
        <w:tc>
          <w:tcPr>
            <w:tcW w:type="dxa" w:w="1152"/>
            <w:vAlign w:val="center"/>
            <w:tcMar>
              <w:top w:w="80" w:type="dxa"/>
              <w:start w:w="120" w:type="dxa"/>
              <w:bottom w:w="80" w:type="dxa"/>
              <w:end w:w="120" w:type="dxa"/>
            </w:tcMar>
          </w:tcPr>
          <w:p>
            <w:pPr>
              <w:spacing w:before="0" w:after="0" w:line="240" w:lineRule="auto"/>
              <w:jc w:val="center"/>
            </w:pPr>
            <w:r>
              <w:rPr>
                <w:sz w:val="18"/>
              </w:rPr>
              <w:t>1.17</w:t>
            </w:r>
          </w:p>
        </w:tc>
        <w:tc>
          <w:tcPr>
            <w:tcW w:type="dxa" w:w="1152"/>
            <w:vAlign w:val="center"/>
            <w:tcMar>
              <w:top w:w="80" w:type="dxa"/>
              <w:start w:w="120" w:type="dxa"/>
              <w:bottom w:w="80" w:type="dxa"/>
              <w:end w:w="120" w:type="dxa"/>
            </w:tcMar>
          </w:tcPr>
          <w:p>
            <w:pPr>
              <w:spacing w:before="0" w:after="0" w:line="240" w:lineRule="auto"/>
              <w:jc w:val="center"/>
            </w:pPr>
            <w:r>
              <w:rPr>
                <w:sz w:val="18"/>
              </w:rPr>
              <w:t>2.03</w:t>
            </w:r>
          </w:p>
        </w:tc>
        <w:tc>
          <w:tcPr>
            <w:tcW w:type="dxa" w:w="1584"/>
            <w:vAlign w:val="center"/>
            <w:tcMar>
              <w:top w:w="80" w:type="dxa"/>
              <w:start w:w="120" w:type="dxa"/>
              <w:bottom w:w="80" w:type="dxa"/>
              <w:end w:w="120" w:type="dxa"/>
            </w:tcMar>
          </w:tcPr>
          <w:p>
            <w:pPr>
              <w:spacing w:before="0" w:after="0" w:line="240" w:lineRule="auto"/>
              <w:jc w:val="center"/>
            </w:pPr>
            <w:r>
              <w:rPr>
                <w:sz w:val="18"/>
              </w:rPr>
              <w:t>0.002</w:t>
            </w:r>
          </w:p>
        </w:tc>
      </w:tr>
      <w:tr>
        <w:trPr>
          <w:cantSplit/>
          <w:cantSplit/>
        </w:trPr>
        <w:tc>
          <w:tcPr>
            <w:tcW w:type="dxa" w:w="1584"/>
            <w:vAlign w:val="center"/>
            <w:tcMar>
              <w:top w:w="80" w:type="dxa"/>
              <w:start w:w="120" w:type="dxa"/>
              <w:bottom w:w="80" w:type="dxa"/>
              <w:end w:w="120" w:type="dxa"/>
            </w:tcMar>
          </w:tcPr>
          <w:p>
            <w:pPr>
              <w:spacing w:after="0" w:line="240" w:lineRule="auto" w:before="0"/>
              <w:jc w:val="left"/>
            </w:pPr>
            <w:r>
              <w:rPr>
                <w:sz w:val="18"/>
              </w:rPr>
            </w:r>
            <w:r>
              <w:rPr>
                <w:rFonts w:ascii="Calibri" w:hAnsi="Calibri"/>
                <w:b w:val="0"/>
                <w:i w:val="0"/>
                <w:sz w:val="18"/>
              </w:rPr>
              <w:t>28-day mortality</w:t>
            </w:r>
          </w:p>
        </w:tc>
        <w:tc>
          <w:tcPr>
            <w:tcW w:type="dxa" w:w="237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Four-group late-observed cohort</w:t>
            </w:r>
          </w:p>
        </w:tc>
        <w:tc>
          <w:tcPr>
            <w:tcW w:type="dxa" w:w="93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3651</w:t>
            </w:r>
          </w:p>
        </w:tc>
        <w:tc>
          <w:tcPr>
            <w:tcW w:type="dxa" w:w="93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768</w:t>
            </w:r>
          </w:p>
        </w:tc>
        <w:tc>
          <w:tcPr>
            <w:tcW w:type="dxa" w:w="3240"/>
            <w:vAlign w:val="center"/>
            <w:tcMar>
              <w:top w:w="80" w:type="dxa"/>
              <w:start w:w="120" w:type="dxa"/>
              <w:bottom w:w="80" w:type="dxa"/>
              <w:end w:w="120" w:type="dxa"/>
            </w:tcMar>
          </w:tcPr>
          <w:p>
            <w:pPr>
              <w:spacing w:before="0" w:after="0" w:line="240" w:lineRule="auto"/>
              <w:jc w:val="center"/>
            </w:pPr>
            <w:r>
              <w:rPr>
                <w:sz w:val="18"/>
              </w:rPr>
              <w:t>Late-onset AKI vs no early AKI</w:t>
            </w:r>
          </w:p>
        </w:tc>
        <w:tc>
          <w:tcPr>
            <w:tcW w:type="dxa" w:w="1152"/>
            <w:vAlign w:val="center"/>
            <w:tcMar>
              <w:top w:w="80" w:type="dxa"/>
              <w:start w:w="120" w:type="dxa"/>
              <w:bottom w:w="80" w:type="dxa"/>
              <w:end w:w="120" w:type="dxa"/>
            </w:tcMar>
          </w:tcPr>
          <w:p>
            <w:pPr>
              <w:spacing w:before="0" w:after="0" w:line="240" w:lineRule="auto"/>
              <w:jc w:val="center"/>
            </w:pPr>
            <w:r>
              <w:rPr>
                <w:sz w:val="18"/>
              </w:rPr>
              <w:t>1.23</w:t>
            </w:r>
          </w:p>
        </w:tc>
        <w:tc>
          <w:tcPr>
            <w:tcW w:type="dxa" w:w="1152"/>
            <w:vAlign w:val="center"/>
            <w:tcMar>
              <w:top w:w="80" w:type="dxa"/>
              <w:start w:w="120" w:type="dxa"/>
              <w:bottom w:w="80" w:type="dxa"/>
              <w:end w:w="120" w:type="dxa"/>
            </w:tcMar>
          </w:tcPr>
          <w:p>
            <w:pPr>
              <w:spacing w:before="0" w:after="0" w:line="240" w:lineRule="auto"/>
              <w:jc w:val="center"/>
            </w:pPr>
            <w:r>
              <w:rPr>
                <w:sz w:val="18"/>
              </w:rPr>
              <w:t>0.81</w:t>
            </w:r>
          </w:p>
        </w:tc>
        <w:tc>
          <w:tcPr>
            <w:tcW w:type="dxa" w:w="1152"/>
            <w:vAlign w:val="center"/>
            <w:tcMar>
              <w:top w:w="80" w:type="dxa"/>
              <w:start w:w="120" w:type="dxa"/>
              <w:bottom w:w="80" w:type="dxa"/>
              <w:end w:w="120" w:type="dxa"/>
            </w:tcMar>
          </w:tcPr>
          <w:p>
            <w:pPr>
              <w:spacing w:before="0" w:after="0" w:line="240" w:lineRule="auto"/>
              <w:jc w:val="center"/>
            </w:pPr>
            <w:r>
              <w:rPr>
                <w:sz w:val="18"/>
              </w:rPr>
              <w:t>1.88</w:t>
            </w:r>
          </w:p>
        </w:tc>
        <w:tc>
          <w:tcPr>
            <w:tcW w:type="dxa" w:w="1584"/>
            <w:vAlign w:val="center"/>
            <w:tcMar>
              <w:top w:w="80" w:type="dxa"/>
              <w:start w:w="120" w:type="dxa"/>
              <w:bottom w:w="80" w:type="dxa"/>
              <w:end w:w="120" w:type="dxa"/>
            </w:tcMar>
          </w:tcPr>
          <w:p>
            <w:pPr>
              <w:spacing w:before="0" w:after="0" w:line="240" w:lineRule="auto"/>
              <w:jc w:val="center"/>
            </w:pPr>
            <w:r>
              <w:rPr>
                <w:sz w:val="18"/>
              </w:rPr>
              <w:t>0.327</w:t>
            </w:r>
          </w:p>
        </w:tc>
      </w:tr>
      <w:tr>
        <w:trPr>
          <w:cantSplit/>
          <w:cantSplit/>
        </w:trPr>
        <w:tc>
          <w:tcPr>
            <w:tcW w:type="dxa" w:w="1584"/>
            <w:vAlign w:val="center"/>
            <w:tcMar>
              <w:top w:w="80" w:type="dxa"/>
              <w:start w:w="120" w:type="dxa"/>
              <w:bottom w:w="80" w:type="dxa"/>
              <w:end w:w="120" w:type="dxa"/>
            </w:tcMar>
          </w:tcPr>
          <w:p>
            <w:pPr>
              <w:spacing w:after="0" w:line="240" w:lineRule="auto" w:before="0"/>
              <w:jc w:val="left"/>
            </w:pPr>
            <w:r>
              <w:rPr>
                <w:sz w:val="18"/>
              </w:rPr>
            </w:r>
            <w:r>
              <w:rPr>
                <w:rFonts w:ascii="Calibri" w:hAnsi="Calibri"/>
                <w:b w:val="0"/>
                <w:i w:val="0"/>
                <w:sz w:val="18"/>
              </w:rPr>
              <w:t>1-year mortality</w:t>
            </w:r>
          </w:p>
        </w:tc>
        <w:tc>
          <w:tcPr>
            <w:tcW w:type="dxa" w:w="237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Four-group late-observed cohort</w:t>
            </w:r>
          </w:p>
        </w:tc>
        <w:tc>
          <w:tcPr>
            <w:tcW w:type="dxa" w:w="93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3651</w:t>
            </w:r>
          </w:p>
        </w:tc>
        <w:tc>
          <w:tcPr>
            <w:tcW w:type="dxa" w:w="93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1352</w:t>
            </w:r>
          </w:p>
        </w:tc>
        <w:tc>
          <w:tcPr>
            <w:tcW w:type="dxa" w:w="3240"/>
            <w:vAlign w:val="center"/>
            <w:tcMar>
              <w:top w:w="80" w:type="dxa"/>
              <w:start w:w="120" w:type="dxa"/>
              <w:bottom w:w="80" w:type="dxa"/>
              <w:end w:w="120" w:type="dxa"/>
            </w:tcMar>
          </w:tcPr>
          <w:p>
            <w:pPr>
              <w:spacing w:before="0" w:after="0" w:line="240" w:lineRule="auto"/>
              <w:jc w:val="center"/>
            </w:pPr>
            <w:r>
              <w:rPr>
                <w:sz w:val="18"/>
              </w:rPr>
              <w:t>Transient AKI vs no early AKI</w:t>
            </w:r>
          </w:p>
        </w:tc>
        <w:tc>
          <w:tcPr>
            <w:tcW w:type="dxa" w:w="1152"/>
            <w:vAlign w:val="center"/>
            <w:tcMar>
              <w:top w:w="80" w:type="dxa"/>
              <w:start w:w="120" w:type="dxa"/>
              <w:bottom w:w="80" w:type="dxa"/>
              <w:end w:w="120" w:type="dxa"/>
            </w:tcMar>
          </w:tcPr>
          <w:p>
            <w:pPr>
              <w:spacing w:before="0" w:after="0" w:line="240" w:lineRule="auto"/>
              <w:jc w:val="center"/>
            </w:pPr>
            <w:r>
              <w:rPr>
                <w:sz w:val="18"/>
              </w:rPr>
              <w:t>0.97</w:t>
            </w:r>
          </w:p>
        </w:tc>
        <w:tc>
          <w:tcPr>
            <w:tcW w:type="dxa" w:w="1152"/>
            <w:vAlign w:val="center"/>
            <w:tcMar>
              <w:top w:w="80" w:type="dxa"/>
              <w:start w:w="120" w:type="dxa"/>
              <w:bottom w:w="80" w:type="dxa"/>
              <w:end w:w="120" w:type="dxa"/>
            </w:tcMar>
          </w:tcPr>
          <w:p>
            <w:pPr>
              <w:spacing w:before="0" w:after="0" w:line="240" w:lineRule="auto"/>
              <w:jc w:val="center"/>
            </w:pPr>
            <w:r>
              <w:rPr>
                <w:sz w:val="18"/>
              </w:rPr>
              <w:t>0.78</w:t>
            </w:r>
          </w:p>
        </w:tc>
        <w:tc>
          <w:tcPr>
            <w:tcW w:type="dxa" w:w="1152"/>
            <w:vAlign w:val="center"/>
            <w:tcMar>
              <w:top w:w="80" w:type="dxa"/>
              <w:start w:w="120" w:type="dxa"/>
              <w:bottom w:w="80" w:type="dxa"/>
              <w:end w:w="120" w:type="dxa"/>
            </w:tcMar>
          </w:tcPr>
          <w:p>
            <w:pPr>
              <w:spacing w:before="0" w:after="0" w:line="240" w:lineRule="auto"/>
              <w:jc w:val="center"/>
            </w:pPr>
            <w:r>
              <w:rPr>
                <w:sz w:val="18"/>
              </w:rPr>
              <w:t>1.20</w:t>
            </w:r>
          </w:p>
        </w:tc>
        <w:tc>
          <w:tcPr>
            <w:tcW w:type="dxa" w:w="1584"/>
            <w:vAlign w:val="center"/>
            <w:tcMar>
              <w:top w:w="80" w:type="dxa"/>
              <w:start w:w="120" w:type="dxa"/>
              <w:bottom w:w="80" w:type="dxa"/>
              <w:end w:w="120" w:type="dxa"/>
            </w:tcMar>
          </w:tcPr>
          <w:p>
            <w:pPr>
              <w:spacing w:before="0" w:after="0" w:line="240" w:lineRule="auto"/>
              <w:jc w:val="center"/>
            </w:pPr>
            <w:r>
              <w:rPr>
                <w:sz w:val="18"/>
              </w:rPr>
              <w:t>0.759</w:t>
            </w:r>
          </w:p>
        </w:tc>
      </w:tr>
      <w:tr>
        <w:trPr>
          <w:cantSplit/>
          <w:cantSplit/>
        </w:trPr>
        <w:tc>
          <w:tcPr>
            <w:tcW w:type="dxa" w:w="1584"/>
            <w:vAlign w:val="center"/>
            <w:tcMar>
              <w:top w:w="80" w:type="dxa"/>
              <w:start w:w="120" w:type="dxa"/>
              <w:bottom w:w="80" w:type="dxa"/>
              <w:end w:w="120" w:type="dxa"/>
            </w:tcMar>
          </w:tcPr>
          <w:p>
            <w:pPr>
              <w:spacing w:after="0" w:line="240" w:lineRule="auto" w:before="0"/>
              <w:jc w:val="left"/>
            </w:pPr>
            <w:r>
              <w:rPr>
                <w:sz w:val="18"/>
              </w:rPr>
            </w:r>
            <w:r>
              <w:rPr>
                <w:rFonts w:ascii="Calibri" w:hAnsi="Calibri"/>
                <w:b w:val="0"/>
                <w:i w:val="0"/>
                <w:sz w:val="18"/>
              </w:rPr>
              <w:t>1-year mortality</w:t>
            </w:r>
          </w:p>
        </w:tc>
        <w:tc>
          <w:tcPr>
            <w:tcW w:type="dxa" w:w="237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Four-group late-observed cohort</w:t>
            </w:r>
          </w:p>
        </w:tc>
        <w:tc>
          <w:tcPr>
            <w:tcW w:type="dxa" w:w="93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3651</w:t>
            </w:r>
          </w:p>
        </w:tc>
        <w:tc>
          <w:tcPr>
            <w:tcW w:type="dxa" w:w="93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1352</w:t>
            </w:r>
          </w:p>
        </w:tc>
        <w:tc>
          <w:tcPr>
            <w:tcW w:type="dxa" w:w="3240"/>
            <w:vAlign w:val="center"/>
            <w:tcMar>
              <w:top w:w="80" w:type="dxa"/>
              <w:start w:w="120" w:type="dxa"/>
              <w:bottom w:w="80" w:type="dxa"/>
              <w:end w:w="120" w:type="dxa"/>
            </w:tcMar>
          </w:tcPr>
          <w:p>
            <w:pPr>
              <w:spacing w:before="0" w:after="0" w:line="240" w:lineRule="auto"/>
              <w:jc w:val="center"/>
            </w:pPr>
            <w:r>
              <w:rPr>
                <w:sz w:val="18"/>
              </w:rPr>
              <w:t>Persistent-pattern AKI vs no early AKI</w:t>
            </w:r>
          </w:p>
        </w:tc>
        <w:tc>
          <w:tcPr>
            <w:tcW w:type="dxa" w:w="1152"/>
            <w:vAlign w:val="center"/>
            <w:tcMar>
              <w:top w:w="80" w:type="dxa"/>
              <w:start w:w="120" w:type="dxa"/>
              <w:bottom w:w="80" w:type="dxa"/>
              <w:end w:w="120" w:type="dxa"/>
            </w:tcMar>
          </w:tcPr>
          <w:p>
            <w:pPr>
              <w:spacing w:before="0" w:after="0" w:line="240" w:lineRule="auto"/>
              <w:jc w:val="center"/>
            </w:pPr>
            <w:r>
              <w:rPr>
                <w:sz w:val="18"/>
              </w:rPr>
              <w:t>1.32</w:t>
            </w:r>
          </w:p>
        </w:tc>
        <w:tc>
          <w:tcPr>
            <w:tcW w:type="dxa" w:w="1152"/>
            <w:vAlign w:val="center"/>
            <w:tcMar>
              <w:top w:w="80" w:type="dxa"/>
              <w:start w:w="120" w:type="dxa"/>
              <w:bottom w:w="80" w:type="dxa"/>
              <w:end w:w="120" w:type="dxa"/>
            </w:tcMar>
          </w:tcPr>
          <w:p>
            <w:pPr>
              <w:spacing w:before="0" w:after="0" w:line="240" w:lineRule="auto"/>
              <w:jc w:val="center"/>
            </w:pPr>
            <w:r>
              <w:rPr>
                <w:sz w:val="18"/>
              </w:rPr>
              <w:t>1.09</w:t>
            </w:r>
          </w:p>
        </w:tc>
        <w:tc>
          <w:tcPr>
            <w:tcW w:type="dxa" w:w="1152"/>
            <w:vAlign w:val="center"/>
            <w:tcMar>
              <w:top w:w="80" w:type="dxa"/>
              <w:start w:w="120" w:type="dxa"/>
              <w:bottom w:w="80" w:type="dxa"/>
              <w:end w:w="120" w:type="dxa"/>
            </w:tcMar>
          </w:tcPr>
          <w:p>
            <w:pPr>
              <w:spacing w:before="0" w:after="0" w:line="240" w:lineRule="auto"/>
              <w:jc w:val="center"/>
            </w:pPr>
            <w:r>
              <w:rPr>
                <w:sz w:val="18"/>
              </w:rPr>
              <w:t>1.61</w:t>
            </w:r>
          </w:p>
        </w:tc>
        <w:tc>
          <w:tcPr>
            <w:tcW w:type="dxa" w:w="1584"/>
            <w:vAlign w:val="center"/>
            <w:tcMar>
              <w:top w:w="80" w:type="dxa"/>
              <w:start w:w="120" w:type="dxa"/>
              <w:bottom w:w="80" w:type="dxa"/>
              <w:end w:w="120" w:type="dxa"/>
            </w:tcMar>
          </w:tcPr>
          <w:p>
            <w:pPr>
              <w:spacing w:before="0" w:after="0" w:line="240" w:lineRule="auto"/>
              <w:jc w:val="center"/>
            </w:pPr>
            <w:r>
              <w:rPr>
                <w:sz w:val="18"/>
              </w:rPr>
              <w:t>0.005</w:t>
            </w:r>
          </w:p>
        </w:tc>
      </w:tr>
      <w:tr>
        <w:trPr>
          <w:cantSplit/>
          <w:cantSplit/>
        </w:trPr>
        <w:tc>
          <w:tcPr>
            <w:tcW w:type="dxa" w:w="1584"/>
            <w:vAlign w:val="center"/>
            <w:tcMar>
              <w:top w:w="80" w:type="dxa"/>
              <w:start w:w="120" w:type="dxa"/>
              <w:bottom w:w="80" w:type="dxa"/>
              <w:end w:w="120" w:type="dxa"/>
            </w:tcMar>
          </w:tcPr>
          <w:p>
            <w:pPr>
              <w:spacing w:after="0" w:line="240" w:lineRule="auto" w:before="0"/>
              <w:jc w:val="left"/>
            </w:pPr>
            <w:r>
              <w:rPr>
                <w:sz w:val="18"/>
              </w:rPr>
            </w:r>
            <w:r>
              <w:rPr>
                <w:rFonts w:ascii="Calibri" w:hAnsi="Calibri"/>
                <w:b w:val="0"/>
                <w:i w:val="0"/>
                <w:sz w:val="18"/>
              </w:rPr>
              <w:t>1-year mortality</w:t>
            </w:r>
          </w:p>
        </w:tc>
        <w:tc>
          <w:tcPr>
            <w:tcW w:type="dxa" w:w="237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Four-group late-observed cohort</w:t>
            </w:r>
          </w:p>
        </w:tc>
        <w:tc>
          <w:tcPr>
            <w:tcW w:type="dxa" w:w="93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3651</w:t>
            </w:r>
          </w:p>
        </w:tc>
        <w:tc>
          <w:tcPr>
            <w:tcW w:type="dxa" w:w="936"/>
            <w:vAlign w:val="center"/>
            <w:tcMar>
              <w:top w:w="80" w:type="dxa"/>
              <w:start w:w="120" w:type="dxa"/>
              <w:bottom w:w="80" w:type="dxa"/>
              <w:end w:w="120" w:type="dxa"/>
            </w:tcMar>
          </w:tcPr>
          <w:p>
            <w:pPr>
              <w:spacing w:after="0" w:line="240" w:lineRule="auto" w:before="0"/>
              <w:jc w:val="center"/>
            </w:pPr>
            <w:r>
              <w:rPr>
                <w:sz w:val="18"/>
              </w:rPr>
            </w:r>
            <w:r>
              <w:rPr>
                <w:rFonts w:ascii="Calibri" w:hAnsi="Calibri"/>
                <w:b w:val="0"/>
                <w:i w:val="0"/>
                <w:sz w:val="18"/>
              </w:rPr>
              <w:t>1352</w:t>
            </w:r>
          </w:p>
        </w:tc>
        <w:tc>
          <w:tcPr>
            <w:tcW w:type="dxa" w:w="3240"/>
            <w:vAlign w:val="center"/>
            <w:tcMar>
              <w:top w:w="80" w:type="dxa"/>
              <w:start w:w="120" w:type="dxa"/>
              <w:bottom w:w="80" w:type="dxa"/>
              <w:end w:w="120" w:type="dxa"/>
            </w:tcMar>
          </w:tcPr>
          <w:p>
            <w:pPr>
              <w:spacing w:before="0" w:after="0" w:line="240" w:lineRule="auto"/>
              <w:jc w:val="center"/>
            </w:pPr>
            <w:r>
              <w:rPr>
                <w:sz w:val="18"/>
              </w:rPr>
              <w:t>Late-onset AKI vs no early AKI</w:t>
            </w:r>
          </w:p>
        </w:tc>
        <w:tc>
          <w:tcPr>
            <w:tcW w:type="dxa" w:w="1152"/>
            <w:vAlign w:val="center"/>
            <w:tcMar>
              <w:top w:w="80" w:type="dxa"/>
              <w:start w:w="120" w:type="dxa"/>
              <w:bottom w:w="80" w:type="dxa"/>
              <w:end w:w="120" w:type="dxa"/>
            </w:tcMar>
          </w:tcPr>
          <w:p>
            <w:pPr>
              <w:spacing w:before="0" w:after="0" w:line="240" w:lineRule="auto"/>
              <w:jc w:val="center"/>
            </w:pPr>
            <w:r>
              <w:rPr>
                <w:sz w:val="18"/>
              </w:rPr>
              <w:t>1.01</w:t>
            </w:r>
          </w:p>
        </w:tc>
        <w:tc>
          <w:tcPr>
            <w:tcW w:type="dxa" w:w="1152"/>
            <w:vAlign w:val="center"/>
            <w:tcMar>
              <w:top w:w="80" w:type="dxa"/>
              <w:start w:w="120" w:type="dxa"/>
              <w:bottom w:w="80" w:type="dxa"/>
              <w:end w:w="120" w:type="dxa"/>
            </w:tcMar>
          </w:tcPr>
          <w:p>
            <w:pPr>
              <w:spacing w:before="0" w:after="0" w:line="240" w:lineRule="auto"/>
              <w:jc w:val="center"/>
            </w:pPr>
            <w:r>
              <w:rPr>
                <w:sz w:val="18"/>
              </w:rPr>
              <w:t>0.74</w:t>
            </w:r>
          </w:p>
        </w:tc>
        <w:tc>
          <w:tcPr>
            <w:tcW w:type="dxa" w:w="1152"/>
            <w:vAlign w:val="center"/>
            <w:tcMar>
              <w:top w:w="80" w:type="dxa"/>
              <w:start w:w="120" w:type="dxa"/>
              <w:bottom w:w="80" w:type="dxa"/>
              <w:end w:w="120" w:type="dxa"/>
            </w:tcMar>
          </w:tcPr>
          <w:p>
            <w:pPr>
              <w:spacing w:before="0" w:after="0" w:line="240" w:lineRule="auto"/>
              <w:jc w:val="center"/>
            </w:pPr>
            <w:r>
              <w:rPr>
                <w:sz w:val="18"/>
              </w:rPr>
              <w:t>1.38</w:t>
            </w:r>
          </w:p>
        </w:tc>
        <w:tc>
          <w:tcPr>
            <w:tcW w:type="dxa" w:w="1584"/>
            <w:vAlign w:val="center"/>
            <w:tcMar>
              <w:top w:w="80" w:type="dxa"/>
              <w:start w:w="120" w:type="dxa"/>
              <w:bottom w:w="80" w:type="dxa"/>
              <w:end w:w="120" w:type="dxa"/>
            </w:tcMar>
          </w:tcPr>
          <w:p>
            <w:pPr>
              <w:spacing w:before="0" w:after="0" w:line="240" w:lineRule="auto"/>
              <w:jc w:val="center"/>
            </w:pPr>
            <w:r>
              <w:rPr>
                <w:sz w:val="18"/>
              </w:rPr>
              <w:t>0.932</w:t>
            </w:r>
          </w:p>
        </w:tc>
      </w:tr>
    </w:tbl>
    <w:p>
      <w:r>
        <w:br w:type="page"/>
      </w:r>
    </w:p>
    <w:p>
      <w:pPr>
        <w:spacing w:before="160" w:after="80"/>
      </w:pPr>
      <w:r>
        <w:rPr>
          <w:rFonts w:ascii="Calibri" w:hAnsi="Calibri"/>
          <w:b/>
          <w:i w:val="0"/>
          <w:sz w:val="21"/>
        </w:rPr>
        <w:t>Supplementary Table S8. Missingness of variables used in the analysis dataset.</w:t>
      </w:r>
    </w:p>
    <w:tbl>
      <w:tblPr>
        <w:tblStyle w:val="TableGrid"/>
        <w:tblW w:type="auto" w:w="0"/>
        <w:tblLook w:firstColumn="1" w:firstRow="1" w:lastColumn="0" w:lastRow="0" w:noHBand="0" w:noVBand="1" w:val="04A0"/>
      </w:tblPr>
      <w:tblGrid>
        <w:gridCol w:w="3528"/>
        <w:gridCol w:w="3528"/>
        <w:gridCol w:w="3528"/>
        <w:gridCol w:w="3528"/>
      </w:tblGrid>
      <w:tr>
        <w:trPr>
          <w:tblHeader w:val="true"/>
          <w:cantSplit/>
          <w:tblHeader/>
        </w:trPr>
        <w:tc>
          <w:tcPr>
            <w:tcW w:type="dxa" w:w="4608"/>
            <w:vAlign w:val="center"/>
            <w:shd w:fill="F2F4F7"/>
            <w:tcMar>
              <w:top w:w="80" w:type="dxa"/>
              <w:start w:w="120" w:type="dxa"/>
              <w:bottom w:w="80" w:type="dxa"/>
              <w:end w:w="120" w:type="dxa"/>
            </w:tcMar>
          </w:tcPr>
          <w:p>
            <w:pPr>
              <w:spacing w:after="0" w:line="252" w:lineRule="auto" w:before="0"/>
              <w:jc w:val="center"/>
            </w:pPr>
            <w:r>
              <w:rPr>
                <w:sz w:val="17"/>
              </w:rPr>
            </w:r>
            <w:r>
              <w:rPr>
                <w:rFonts w:ascii="Calibri" w:hAnsi="Calibri"/>
                <w:b/>
                <w:i w:val="0"/>
                <w:sz w:val="17"/>
              </w:rPr>
              <w:t>Variable</w:t>
            </w:r>
          </w:p>
        </w:tc>
        <w:tc>
          <w:tcPr>
            <w:tcW w:type="dxa" w:w="1584"/>
            <w:vAlign w:val="center"/>
            <w:shd w:fill="F2F4F7"/>
            <w:tcMar>
              <w:top w:w="80" w:type="dxa"/>
              <w:start w:w="120" w:type="dxa"/>
              <w:bottom w:w="80" w:type="dxa"/>
              <w:end w:w="120" w:type="dxa"/>
            </w:tcMar>
          </w:tcPr>
          <w:p>
            <w:pPr>
              <w:spacing w:after="0" w:line="252" w:lineRule="auto" w:before="0"/>
              <w:jc w:val="center"/>
            </w:pPr>
            <w:r>
              <w:rPr>
                <w:sz w:val="17"/>
              </w:rPr>
            </w:r>
            <w:r>
              <w:rPr>
                <w:rFonts w:ascii="Calibri" w:hAnsi="Calibri"/>
                <w:b/>
                <w:i w:val="0"/>
                <w:sz w:val="17"/>
              </w:rPr>
              <w:t>Total n</w:t>
            </w:r>
          </w:p>
        </w:tc>
        <w:tc>
          <w:tcPr>
            <w:tcW w:type="dxa" w:w="1584"/>
            <w:vAlign w:val="center"/>
            <w:shd w:fill="F2F4F7"/>
            <w:tcMar>
              <w:top w:w="80" w:type="dxa"/>
              <w:start w:w="120" w:type="dxa"/>
              <w:bottom w:w="80" w:type="dxa"/>
              <w:end w:w="120" w:type="dxa"/>
            </w:tcMar>
          </w:tcPr>
          <w:p>
            <w:pPr>
              <w:spacing w:after="0" w:line="252" w:lineRule="auto" w:before="0"/>
              <w:jc w:val="center"/>
            </w:pPr>
            <w:r>
              <w:rPr>
                <w:sz w:val="17"/>
              </w:rPr>
            </w:r>
            <w:r>
              <w:rPr>
                <w:rFonts w:ascii="Calibri" w:hAnsi="Calibri"/>
                <w:b/>
                <w:i w:val="0"/>
                <w:sz w:val="17"/>
              </w:rPr>
              <w:t>Missing n</w:t>
            </w:r>
          </w:p>
        </w:tc>
        <w:tc>
          <w:tcPr>
            <w:tcW w:type="dxa" w:w="1584"/>
            <w:vAlign w:val="center"/>
            <w:shd w:fill="F2F4F7"/>
            <w:tcMar>
              <w:top w:w="80" w:type="dxa"/>
              <w:start w:w="120" w:type="dxa"/>
              <w:bottom w:w="80" w:type="dxa"/>
              <w:end w:w="120" w:type="dxa"/>
            </w:tcMar>
          </w:tcPr>
          <w:p>
            <w:pPr>
              <w:spacing w:after="0" w:line="252" w:lineRule="auto" w:before="0"/>
              <w:jc w:val="center"/>
            </w:pPr>
            <w:r>
              <w:rPr>
                <w:sz w:val="17"/>
              </w:rPr>
            </w:r>
            <w:r>
              <w:rPr>
                <w:rFonts w:ascii="Calibri" w:hAnsi="Calibri"/>
                <w:b/>
                <w:i w:val="0"/>
                <w:sz w:val="17"/>
              </w:rPr>
              <w:t>Missing, %</w:t>
            </w:r>
          </w:p>
        </w:tc>
      </w:tr>
      <w:tr>
        <w:trPr>
          <w:cantSplit/>
        </w:trPr>
        <w:tc>
          <w:tcPr>
            <w:tcW w:type="dxa" w:w="4608"/>
            <w:vAlign w:val="center"/>
            <w:tcMar>
              <w:top w:w="80" w:type="dxa"/>
              <w:start w:w="120" w:type="dxa"/>
              <w:bottom w:w="80" w:type="dxa"/>
              <w:end w:w="120" w:type="dxa"/>
            </w:tcMar>
          </w:tcPr>
          <w:p>
            <w:pPr>
              <w:spacing w:after="0" w:line="252" w:lineRule="auto" w:before="0"/>
              <w:jc w:val="left"/>
            </w:pPr>
            <w:r>
              <w:rPr>
                <w:sz w:val="17"/>
              </w:rPr>
            </w:r>
            <w:r>
              <w:rPr>
                <w:rFonts w:ascii="Calibri" w:hAnsi="Calibri"/>
                <w:b w:val="0"/>
                <w:i w:val="0"/>
                <w:sz w:val="17"/>
              </w:rPr>
              <w:t>age</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3464</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0</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0.00</w:t>
            </w:r>
          </w:p>
        </w:tc>
      </w:tr>
      <w:tr>
        <w:trPr>
          <w:cantSplit/>
        </w:trPr>
        <w:tc>
          <w:tcPr>
            <w:tcW w:type="dxa" w:w="4608"/>
            <w:vAlign w:val="center"/>
            <w:tcMar>
              <w:top w:w="80" w:type="dxa"/>
              <w:start w:w="120" w:type="dxa"/>
              <w:bottom w:w="80" w:type="dxa"/>
              <w:end w:w="120" w:type="dxa"/>
            </w:tcMar>
          </w:tcPr>
          <w:p>
            <w:pPr>
              <w:spacing w:after="0" w:line="252" w:lineRule="auto" w:before="0"/>
              <w:jc w:val="left"/>
            </w:pPr>
            <w:r>
              <w:rPr>
                <w:sz w:val="17"/>
              </w:rPr>
            </w:r>
            <w:r>
              <w:rPr>
                <w:rFonts w:ascii="Calibri" w:hAnsi="Calibri"/>
                <w:b w:val="0"/>
                <w:i w:val="0"/>
                <w:sz w:val="17"/>
              </w:rPr>
              <w:t>gender</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3464</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0</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0.00</w:t>
            </w:r>
          </w:p>
        </w:tc>
      </w:tr>
      <w:tr>
        <w:trPr>
          <w:cantSplit/>
        </w:trPr>
        <w:tc>
          <w:tcPr>
            <w:tcW w:type="dxa" w:w="4608"/>
            <w:vAlign w:val="center"/>
            <w:tcMar>
              <w:top w:w="80" w:type="dxa"/>
              <w:start w:w="120" w:type="dxa"/>
              <w:bottom w:w="80" w:type="dxa"/>
              <w:end w:w="120" w:type="dxa"/>
            </w:tcMar>
          </w:tcPr>
          <w:p>
            <w:pPr>
              <w:spacing w:after="0" w:line="252" w:lineRule="auto" w:before="0"/>
              <w:jc w:val="left"/>
            </w:pPr>
            <w:r>
              <w:rPr>
                <w:sz w:val="17"/>
              </w:rPr>
            </w:r>
            <w:r>
              <w:rPr>
                <w:rFonts w:ascii="Calibri" w:hAnsi="Calibri"/>
                <w:b w:val="0"/>
                <w:i w:val="0"/>
                <w:sz w:val="17"/>
              </w:rPr>
              <w:t>race</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3464</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0</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0.00</w:t>
            </w:r>
          </w:p>
        </w:tc>
      </w:tr>
      <w:tr>
        <w:trPr>
          <w:cantSplit/>
        </w:trPr>
        <w:tc>
          <w:tcPr>
            <w:tcW w:type="dxa" w:w="4608"/>
            <w:vAlign w:val="center"/>
            <w:tcMar>
              <w:top w:w="80" w:type="dxa"/>
              <w:start w:w="120" w:type="dxa"/>
              <w:bottom w:w="80" w:type="dxa"/>
              <w:end w:w="120" w:type="dxa"/>
            </w:tcMar>
          </w:tcPr>
          <w:p>
            <w:pPr>
              <w:spacing w:after="0" w:line="252" w:lineRule="auto" w:before="0"/>
              <w:jc w:val="left"/>
            </w:pPr>
            <w:r>
              <w:rPr>
                <w:sz w:val="17"/>
              </w:rPr>
            </w:r>
            <w:r>
              <w:rPr>
                <w:rFonts w:ascii="Calibri" w:hAnsi="Calibri"/>
                <w:b w:val="0"/>
                <w:i w:val="0"/>
                <w:sz w:val="17"/>
              </w:rPr>
              <w:t>ami_type</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3464</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0</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0.00</w:t>
            </w:r>
          </w:p>
        </w:tc>
      </w:tr>
      <w:tr>
        <w:trPr>
          <w:cantSplit/>
        </w:trPr>
        <w:tc>
          <w:tcPr>
            <w:tcW w:type="dxa" w:w="4608"/>
            <w:vAlign w:val="center"/>
            <w:tcMar>
              <w:top w:w="80" w:type="dxa"/>
              <w:start w:w="120" w:type="dxa"/>
              <w:bottom w:w="80" w:type="dxa"/>
              <w:end w:w="120" w:type="dxa"/>
            </w:tcMar>
          </w:tcPr>
          <w:p>
            <w:pPr>
              <w:spacing w:after="0" w:line="252" w:lineRule="auto" w:before="0"/>
              <w:jc w:val="left"/>
            </w:pPr>
            <w:r>
              <w:rPr>
                <w:sz w:val="17"/>
              </w:rPr>
            </w:r>
            <w:r>
              <w:rPr>
                <w:rFonts w:ascii="Calibri" w:hAnsi="Calibri"/>
                <w:b w:val="0"/>
                <w:i w:val="0"/>
                <w:sz w:val="17"/>
              </w:rPr>
              <w:t>charlson_comorbidity_index</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3464</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0</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0.00</w:t>
            </w:r>
          </w:p>
        </w:tc>
      </w:tr>
      <w:tr>
        <w:trPr>
          <w:cantSplit/>
        </w:trPr>
        <w:tc>
          <w:tcPr>
            <w:tcW w:type="dxa" w:w="4608"/>
            <w:vAlign w:val="center"/>
            <w:tcMar>
              <w:top w:w="80" w:type="dxa"/>
              <w:start w:w="120" w:type="dxa"/>
              <w:bottom w:w="80" w:type="dxa"/>
              <w:end w:w="120" w:type="dxa"/>
            </w:tcMar>
          </w:tcPr>
          <w:p>
            <w:pPr>
              <w:spacing w:after="0" w:line="252" w:lineRule="auto" w:before="0"/>
              <w:jc w:val="left"/>
            </w:pPr>
            <w:r>
              <w:rPr>
                <w:sz w:val="17"/>
              </w:rPr>
            </w:r>
            <w:r>
              <w:rPr>
                <w:rFonts w:ascii="Calibri" w:hAnsi="Calibri"/>
                <w:b w:val="0"/>
                <w:i w:val="0"/>
                <w:sz w:val="17"/>
              </w:rPr>
              <w:t>nonrenal_sofa</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3464</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0</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0.00</w:t>
            </w:r>
          </w:p>
        </w:tc>
      </w:tr>
      <w:tr>
        <w:trPr>
          <w:cantSplit/>
        </w:trPr>
        <w:tc>
          <w:tcPr>
            <w:tcW w:type="dxa" w:w="4608"/>
            <w:vAlign w:val="center"/>
            <w:tcMar>
              <w:top w:w="80" w:type="dxa"/>
              <w:start w:w="120" w:type="dxa"/>
              <w:bottom w:w="80" w:type="dxa"/>
              <w:end w:w="120" w:type="dxa"/>
            </w:tcMar>
          </w:tcPr>
          <w:p>
            <w:pPr>
              <w:spacing w:after="0" w:line="252" w:lineRule="auto" w:before="0"/>
              <w:jc w:val="left"/>
            </w:pPr>
            <w:r>
              <w:rPr>
                <w:sz w:val="17"/>
              </w:rPr>
            </w:r>
            <w:r>
              <w:rPr>
                <w:rFonts w:ascii="Calibri" w:hAnsi="Calibri"/>
                <w:b w:val="0"/>
                <w:i w:val="0"/>
                <w:sz w:val="17"/>
              </w:rPr>
              <w:t>sapsii</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3464</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0</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0.00</w:t>
            </w:r>
          </w:p>
        </w:tc>
      </w:tr>
      <w:tr>
        <w:trPr>
          <w:cantSplit/>
        </w:trPr>
        <w:tc>
          <w:tcPr>
            <w:tcW w:type="dxa" w:w="4608"/>
            <w:vAlign w:val="center"/>
            <w:tcMar>
              <w:top w:w="80" w:type="dxa"/>
              <w:start w:w="120" w:type="dxa"/>
              <w:bottom w:w="80" w:type="dxa"/>
              <w:end w:w="120" w:type="dxa"/>
            </w:tcMar>
          </w:tcPr>
          <w:p>
            <w:pPr>
              <w:spacing w:after="0" w:line="252" w:lineRule="auto" w:before="0"/>
              <w:jc w:val="left"/>
            </w:pPr>
            <w:r>
              <w:rPr>
                <w:sz w:val="17"/>
              </w:rPr>
            </w:r>
            <w:r>
              <w:rPr>
                <w:rFonts w:ascii="Calibri" w:hAnsi="Calibri"/>
                <w:b w:val="0"/>
                <w:i w:val="0"/>
                <w:sz w:val="17"/>
              </w:rPr>
              <w:t>oasis</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3464</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0</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0.00</w:t>
            </w:r>
          </w:p>
        </w:tc>
      </w:tr>
      <w:tr>
        <w:trPr>
          <w:cantSplit/>
        </w:trPr>
        <w:tc>
          <w:tcPr>
            <w:tcW w:type="dxa" w:w="4608"/>
            <w:vAlign w:val="center"/>
            <w:tcMar>
              <w:top w:w="80" w:type="dxa"/>
              <w:start w:w="120" w:type="dxa"/>
              <w:bottom w:w="80" w:type="dxa"/>
              <w:end w:w="120" w:type="dxa"/>
            </w:tcMar>
          </w:tcPr>
          <w:p>
            <w:pPr>
              <w:spacing w:after="0" w:line="252" w:lineRule="auto" w:before="0"/>
              <w:jc w:val="left"/>
            </w:pPr>
            <w:r>
              <w:rPr>
                <w:sz w:val="17"/>
              </w:rPr>
            </w:r>
            <w:r>
              <w:rPr>
                <w:rFonts w:ascii="Calibri" w:hAnsi="Calibri"/>
                <w:b w:val="0"/>
                <w:i w:val="0"/>
                <w:sz w:val="17"/>
              </w:rPr>
              <w:t>heart_rate_mean</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3464</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5</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0.14</w:t>
            </w:r>
          </w:p>
        </w:tc>
      </w:tr>
      <w:tr>
        <w:trPr>
          <w:cantSplit/>
        </w:trPr>
        <w:tc>
          <w:tcPr>
            <w:tcW w:type="dxa" w:w="4608"/>
            <w:vAlign w:val="center"/>
            <w:tcMar>
              <w:top w:w="80" w:type="dxa"/>
              <w:start w:w="120" w:type="dxa"/>
              <w:bottom w:w="80" w:type="dxa"/>
              <w:end w:w="120" w:type="dxa"/>
            </w:tcMar>
          </w:tcPr>
          <w:p>
            <w:pPr>
              <w:spacing w:after="0" w:line="252" w:lineRule="auto" w:before="0"/>
              <w:jc w:val="left"/>
            </w:pPr>
            <w:r>
              <w:rPr>
                <w:sz w:val="17"/>
              </w:rPr>
            </w:r>
            <w:r>
              <w:rPr>
                <w:rFonts w:ascii="Calibri" w:hAnsi="Calibri"/>
                <w:b w:val="0"/>
                <w:i w:val="0"/>
                <w:sz w:val="17"/>
              </w:rPr>
              <w:t>mbp_mean</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3464</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5</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0.14</w:t>
            </w:r>
          </w:p>
        </w:tc>
      </w:tr>
      <w:tr>
        <w:trPr>
          <w:cantSplit/>
        </w:trPr>
        <w:tc>
          <w:tcPr>
            <w:tcW w:type="dxa" w:w="4608"/>
            <w:vAlign w:val="center"/>
            <w:tcMar>
              <w:top w:w="80" w:type="dxa"/>
              <w:start w:w="120" w:type="dxa"/>
              <w:bottom w:w="80" w:type="dxa"/>
              <w:end w:w="120" w:type="dxa"/>
            </w:tcMar>
          </w:tcPr>
          <w:p>
            <w:pPr>
              <w:spacing w:after="0" w:line="252" w:lineRule="auto" w:before="0"/>
              <w:jc w:val="left"/>
            </w:pPr>
            <w:r>
              <w:rPr>
                <w:sz w:val="17"/>
              </w:rPr>
            </w:r>
            <w:r>
              <w:rPr>
                <w:rFonts w:ascii="Calibri" w:hAnsi="Calibri"/>
                <w:b w:val="0"/>
                <w:i w:val="0"/>
                <w:sz w:val="17"/>
              </w:rPr>
              <w:t>resp_rate_mean</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3464</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6</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0.17</w:t>
            </w:r>
          </w:p>
        </w:tc>
      </w:tr>
      <w:tr>
        <w:trPr>
          <w:cantSplit/>
        </w:trPr>
        <w:tc>
          <w:tcPr>
            <w:tcW w:type="dxa" w:w="4608"/>
            <w:vAlign w:val="center"/>
            <w:tcMar>
              <w:top w:w="80" w:type="dxa"/>
              <w:start w:w="120" w:type="dxa"/>
              <w:bottom w:w="80" w:type="dxa"/>
              <w:end w:w="120" w:type="dxa"/>
            </w:tcMar>
          </w:tcPr>
          <w:p>
            <w:pPr>
              <w:spacing w:after="0" w:line="252" w:lineRule="auto" w:before="0"/>
              <w:jc w:val="left"/>
            </w:pPr>
            <w:r>
              <w:rPr>
                <w:sz w:val="17"/>
              </w:rPr>
            </w:r>
            <w:r>
              <w:rPr>
                <w:rFonts w:ascii="Calibri" w:hAnsi="Calibri"/>
                <w:b w:val="0"/>
                <w:i w:val="0"/>
                <w:sz w:val="17"/>
              </w:rPr>
              <w:t>spo2_mean</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3464</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5</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0.14</w:t>
            </w:r>
          </w:p>
        </w:tc>
      </w:tr>
      <w:tr>
        <w:trPr>
          <w:cantSplit/>
        </w:trPr>
        <w:tc>
          <w:tcPr>
            <w:tcW w:type="dxa" w:w="4608"/>
            <w:vAlign w:val="center"/>
            <w:tcMar>
              <w:top w:w="80" w:type="dxa"/>
              <w:start w:w="120" w:type="dxa"/>
              <w:bottom w:w="80" w:type="dxa"/>
              <w:end w:w="120" w:type="dxa"/>
            </w:tcMar>
          </w:tcPr>
          <w:p>
            <w:pPr>
              <w:spacing w:after="0" w:line="252" w:lineRule="auto" w:before="0"/>
              <w:jc w:val="left"/>
            </w:pPr>
            <w:r>
              <w:rPr>
                <w:sz w:val="17"/>
              </w:rPr>
            </w:r>
            <w:r>
              <w:rPr>
                <w:rFonts w:ascii="Calibri" w:hAnsi="Calibri"/>
                <w:b w:val="0"/>
                <w:i w:val="0"/>
                <w:sz w:val="17"/>
              </w:rPr>
              <w:t>creatinine_max</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3464</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9</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0.26</w:t>
            </w:r>
          </w:p>
        </w:tc>
      </w:tr>
      <w:tr>
        <w:trPr>
          <w:cantSplit/>
        </w:trPr>
        <w:tc>
          <w:tcPr>
            <w:tcW w:type="dxa" w:w="4608"/>
            <w:vAlign w:val="center"/>
            <w:tcMar>
              <w:top w:w="80" w:type="dxa"/>
              <w:start w:w="120" w:type="dxa"/>
              <w:bottom w:w="80" w:type="dxa"/>
              <w:end w:w="120" w:type="dxa"/>
            </w:tcMar>
          </w:tcPr>
          <w:p>
            <w:pPr>
              <w:spacing w:after="0" w:line="252" w:lineRule="auto" w:before="0"/>
              <w:jc w:val="left"/>
            </w:pPr>
            <w:r>
              <w:rPr>
                <w:sz w:val="17"/>
              </w:rPr>
            </w:r>
            <w:r>
              <w:rPr>
                <w:rFonts w:ascii="Calibri" w:hAnsi="Calibri"/>
                <w:b w:val="0"/>
                <w:i w:val="0"/>
                <w:sz w:val="17"/>
              </w:rPr>
              <w:t>bun_max</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3464</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11</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0.32</w:t>
            </w:r>
          </w:p>
        </w:tc>
      </w:tr>
      <w:tr>
        <w:trPr>
          <w:cantSplit/>
        </w:trPr>
        <w:tc>
          <w:tcPr>
            <w:tcW w:type="dxa" w:w="4608"/>
            <w:vAlign w:val="center"/>
            <w:tcMar>
              <w:top w:w="80" w:type="dxa"/>
              <w:start w:w="120" w:type="dxa"/>
              <w:bottom w:w="80" w:type="dxa"/>
              <w:end w:w="120" w:type="dxa"/>
            </w:tcMar>
          </w:tcPr>
          <w:p>
            <w:pPr>
              <w:spacing w:after="0" w:line="252" w:lineRule="auto" w:before="0"/>
              <w:jc w:val="left"/>
            </w:pPr>
            <w:r>
              <w:rPr>
                <w:sz w:val="17"/>
              </w:rPr>
            </w:r>
            <w:r>
              <w:rPr>
                <w:rFonts w:ascii="Calibri" w:hAnsi="Calibri"/>
                <w:b w:val="0"/>
                <w:i w:val="0"/>
                <w:sz w:val="17"/>
              </w:rPr>
              <w:t>hemoglobin_min</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3464</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10</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0.29</w:t>
            </w:r>
          </w:p>
        </w:tc>
      </w:tr>
      <w:tr>
        <w:trPr>
          <w:cantSplit/>
        </w:trPr>
        <w:tc>
          <w:tcPr>
            <w:tcW w:type="dxa" w:w="4608"/>
            <w:vAlign w:val="center"/>
            <w:tcMar>
              <w:top w:w="80" w:type="dxa"/>
              <w:start w:w="120" w:type="dxa"/>
              <w:bottom w:w="80" w:type="dxa"/>
              <w:end w:w="120" w:type="dxa"/>
            </w:tcMar>
          </w:tcPr>
          <w:p>
            <w:pPr>
              <w:spacing w:after="0" w:line="252" w:lineRule="auto" w:before="0"/>
              <w:jc w:val="left"/>
            </w:pPr>
            <w:r>
              <w:rPr>
                <w:sz w:val="17"/>
              </w:rPr>
            </w:r>
            <w:r>
              <w:rPr>
                <w:rFonts w:ascii="Calibri" w:hAnsi="Calibri"/>
                <w:b w:val="0"/>
                <w:i w:val="0"/>
                <w:sz w:val="17"/>
              </w:rPr>
              <w:t>wbc_max</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3464</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12</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0.35</w:t>
            </w:r>
          </w:p>
        </w:tc>
      </w:tr>
      <w:tr>
        <w:trPr>
          <w:cantSplit/>
        </w:trPr>
        <w:tc>
          <w:tcPr>
            <w:tcW w:type="dxa" w:w="4608"/>
            <w:vAlign w:val="center"/>
            <w:tcMar>
              <w:top w:w="80" w:type="dxa"/>
              <w:start w:w="120" w:type="dxa"/>
              <w:bottom w:w="80" w:type="dxa"/>
              <w:end w:w="120" w:type="dxa"/>
            </w:tcMar>
          </w:tcPr>
          <w:p>
            <w:pPr>
              <w:spacing w:after="0" w:line="252" w:lineRule="auto" w:before="0"/>
              <w:jc w:val="left"/>
            </w:pPr>
            <w:r>
              <w:rPr>
                <w:sz w:val="17"/>
              </w:rPr>
            </w:r>
            <w:r>
              <w:rPr>
                <w:rFonts w:ascii="Calibri" w:hAnsi="Calibri"/>
                <w:b w:val="0"/>
                <w:i w:val="0"/>
                <w:sz w:val="17"/>
              </w:rPr>
              <w:t>platelets_min</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3464</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11</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0.32</w:t>
            </w:r>
          </w:p>
        </w:tc>
      </w:tr>
      <w:tr>
        <w:trPr>
          <w:cantSplit/>
        </w:trPr>
        <w:tc>
          <w:tcPr>
            <w:tcW w:type="dxa" w:w="4608"/>
            <w:vAlign w:val="center"/>
            <w:tcMar>
              <w:top w:w="80" w:type="dxa"/>
              <w:start w:w="120" w:type="dxa"/>
              <w:bottom w:w="80" w:type="dxa"/>
              <w:end w:w="120" w:type="dxa"/>
            </w:tcMar>
          </w:tcPr>
          <w:p>
            <w:pPr>
              <w:spacing w:after="0" w:line="252" w:lineRule="auto" w:before="0"/>
              <w:jc w:val="left"/>
            </w:pPr>
            <w:r>
              <w:rPr>
                <w:sz w:val="17"/>
              </w:rPr>
            </w:r>
            <w:r>
              <w:rPr>
                <w:rFonts w:ascii="Calibri" w:hAnsi="Calibri"/>
                <w:b w:val="0"/>
                <w:i w:val="0"/>
                <w:sz w:val="17"/>
              </w:rPr>
              <w:t>bicarbonate_min</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3464</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10</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0.29</w:t>
            </w:r>
          </w:p>
        </w:tc>
      </w:tr>
      <w:tr>
        <w:trPr>
          <w:cantSplit/>
        </w:trPr>
        <w:tc>
          <w:tcPr>
            <w:tcW w:type="dxa" w:w="4608"/>
            <w:vAlign w:val="center"/>
            <w:tcMar>
              <w:top w:w="80" w:type="dxa"/>
              <w:start w:w="120" w:type="dxa"/>
              <w:bottom w:w="80" w:type="dxa"/>
              <w:end w:w="120" w:type="dxa"/>
            </w:tcMar>
          </w:tcPr>
          <w:p>
            <w:pPr>
              <w:spacing w:after="0" w:line="252" w:lineRule="auto" w:before="0"/>
              <w:jc w:val="left"/>
            </w:pPr>
            <w:r>
              <w:rPr>
                <w:sz w:val="17"/>
              </w:rPr>
            </w:r>
            <w:r>
              <w:rPr>
                <w:rFonts w:ascii="Calibri" w:hAnsi="Calibri"/>
                <w:b w:val="0"/>
                <w:i w:val="0"/>
                <w:sz w:val="17"/>
              </w:rPr>
              <w:t>aniongap_max</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3464</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11</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0.32</w:t>
            </w:r>
          </w:p>
        </w:tc>
      </w:tr>
      <w:tr>
        <w:trPr>
          <w:cantSplit/>
        </w:trPr>
        <w:tc>
          <w:tcPr>
            <w:tcW w:type="dxa" w:w="4608"/>
            <w:vAlign w:val="center"/>
            <w:tcMar>
              <w:top w:w="80" w:type="dxa"/>
              <w:start w:w="120" w:type="dxa"/>
              <w:bottom w:w="80" w:type="dxa"/>
              <w:end w:w="120" w:type="dxa"/>
            </w:tcMar>
          </w:tcPr>
          <w:p>
            <w:pPr>
              <w:spacing w:after="0" w:line="252" w:lineRule="auto" w:before="0"/>
              <w:jc w:val="left"/>
            </w:pPr>
            <w:r>
              <w:rPr>
                <w:sz w:val="17"/>
              </w:rPr>
            </w:r>
            <w:r>
              <w:rPr>
                <w:rFonts w:ascii="Calibri" w:hAnsi="Calibri"/>
                <w:b w:val="0"/>
                <w:i w:val="0"/>
                <w:sz w:val="17"/>
              </w:rPr>
              <w:t>sodium_min</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3464</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10</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0.29</w:t>
            </w:r>
          </w:p>
        </w:tc>
      </w:tr>
      <w:tr>
        <w:trPr>
          <w:cantSplit/>
        </w:trPr>
        <w:tc>
          <w:tcPr>
            <w:tcW w:type="dxa" w:w="4608"/>
            <w:vAlign w:val="center"/>
            <w:tcMar>
              <w:top w:w="80" w:type="dxa"/>
              <w:start w:w="120" w:type="dxa"/>
              <w:bottom w:w="80" w:type="dxa"/>
              <w:end w:w="120" w:type="dxa"/>
            </w:tcMar>
          </w:tcPr>
          <w:p>
            <w:pPr>
              <w:spacing w:after="0" w:line="252" w:lineRule="auto" w:before="0"/>
              <w:jc w:val="left"/>
            </w:pPr>
            <w:r>
              <w:rPr>
                <w:sz w:val="17"/>
              </w:rPr>
            </w:r>
            <w:r>
              <w:rPr>
                <w:rFonts w:ascii="Calibri" w:hAnsi="Calibri"/>
                <w:b w:val="0"/>
                <w:i w:val="0"/>
                <w:sz w:val="17"/>
              </w:rPr>
              <w:t>potassium_max</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3464</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10</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0.29</w:t>
            </w:r>
          </w:p>
        </w:tc>
      </w:tr>
      <w:tr>
        <w:trPr>
          <w:cantSplit/>
        </w:trPr>
        <w:tc>
          <w:tcPr>
            <w:tcW w:type="dxa" w:w="4608"/>
            <w:vAlign w:val="center"/>
            <w:tcMar>
              <w:top w:w="80" w:type="dxa"/>
              <w:start w:w="120" w:type="dxa"/>
              <w:bottom w:w="80" w:type="dxa"/>
              <w:end w:w="120" w:type="dxa"/>
            </w:tcMar>
          </w:tcPr>
          <w:p>
            <w:pPr>
              <w:spacing w:after="0" w:line="252" w:lineRule="auto" w:before="0"/>
              <w:jc w:val="left"/>
            </w:pPr>
            <w:r>
              <w:rPr>
                <w:sz w:val="17"/>
              </w:rPr>
            </w:r>
            <w:r>
              <w:rPr>
                <w:rFonts w:ascii="Calibri" w:hAnsi="Calibri"/>
                <w:b w:val="0"/>
                <w:i w:val="0"/>
                <w:sz w:val="17"/>
              </w:rPr>
              <w:t>vasoactive_use_72h</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3464</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0</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0.00</w:t>
            </w:r>
          </w:p>
        </w:tc>
      </w:tr>
      <w:tr>
        <w:trPr>
          <w:cantSplit/>
        </w:trPr>
        <w:tc>
          <w:tcPr>
            <w:tcW w:type="dxa" w:w="4608"/>
            <w:vAlign w:val="center"/>
            <w:tcMar>
              <w:top w:w="80" w:type="dxa"/>
              <w:start w:w="120" w:type="dxa"/>
              <w:bottom w:w="80" w:type="dxa"/>
              <w:end w:w="120" w:type="dxa"/>
            </w:tcMar>
          </w:tcPr>
          <w:p>
            <w:pPr>
              <w:spacing w:after="0" w:line="252" w:lineRule="auto" w:before="0"/>
              <w:jc w:val="left"/>
            </w:pPr>
            <w:r>
              <w:rPr>
                <w:sz w:val="17"/>
              </w:rPr>
            </w:r>
            <w:r>
              <w:rPr>
                <w:rFonts w:ascii="Calibri" w:hAnsi="Calibri"/>
                <w:b w:val="0"/>
                <w:i w:val="0"/>
                <w:sz w:val="17"/>
              </w:rPr>
              <w:t>invasive_vent_72h</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3464</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0</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0.00</w:t>
            </w:r>
          </w:p>
        </w:tc>
      </w:tr>
      <w:tr>
        <w:trPr>
          <w:cantSplit/>
        </w:trPr>
        <w:tc>
          <w:tcPr>
            <w:tcW w:type="dxa" w:w="4608"/>
            <w:vAlign w:val="center"/>
            <w:tcMar>
              <w:top w:w="80" w:type="dxa"/>
              <w:start w:w="120" w:type="dxa"/>
              <w:bottom w:w="80" w:type="dxa"/>
              <w:end w:w="120" w:type="dxa"/>
            </w:tcMar>
          </w:tcPr>
          <w:p>
            <w:pPr>
              <w:spacing w:after="0" w:line="252" w:lineRule="auto" w:before="0"/>
              <w:jc w:val="left"/>
            </w:pPr>
            <w:r>
              <w:rPr>
                <w:sz w:val="17"/>
              </w:rPr>
              <w:t xml:space="preserve">dialysis_present (after missing-to-zero coding)</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3464</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0</w:t>
            </w:r>
          </w:p>
        </w:tc>
        <w:tc>
          <w:tcPr>
            <w:tcW w:type="dxa" w:w="1584"/>
            <w:vAlign w:val="center"/>
            <w:tcMar>
              <w:top w:w="80" w:type="dxa"/>
              <w:start w:w="120" w:type="dxa"/>
              <w:bottom w:w="80" w:type="dxa"/>
              <w:end w:w="120" w:type="dxa"/>
            </w:tcMar>
          </w:tcPr>
          <w:p>
            <w:pPr>
              <w:spacing w:after="0" w:line="252" w:lineRule="auto" w:before="0"/>
              <w:jc w:val="center"/>
            </w:pPr>
            <w:r>
              <w:rPr>
                <w:sz w:val="17"/>
              </w:rPr>
            </w:r>
            <w:r>
              <w:rPr>
                <w:rFonts w:ascii="Calibri" w:hAnsi="Calibri"/>
                <w:b w:val="0"/>
                <w:i w:val="0"/>
                <w:sz w:val="17"/>
              </w:rPr>
              <w:t>0.00</w:t>
            </w:r>
          </w:p>
        </w:tc>
      </w:tr>
    </w:tbl>
    <w:p>
      <w:r>
        <w:rPr>
          <w:rFonts w:ascii="Times New Roman" w:hAnsi="Times New Roman"/>
          <w:sz w:val="17"/>
        </w:rPr>
        <w:t>Missingness refers to the retained analysis fields. The RRT-related field has zero missing values only after missing-to-zero coding; the raw trajectory extract had 3195/3464 absent records (420/422, 855/892 and 1920/2150 by AKI group). Absence of documentation is not confirmed absence of treatment. Biomarkers not retained in these extracts are not quantified by this table.</w:t>
      </w:r>
    </w:p>
    <w:p>
      <w:r>
        <w:rPr>
          <w:b/>
          <w:sz w:val="24"/>
        </w:rPr>
        <w:t>Supplementary Table S9. Subgroup interaction Cox analysis.</w:t>
      </w:r>
    </w:p>
    <w:p>
      <w:pPr>
        <w:spacing w:after="120"/>
      </w:pPr>
      <w:r>
        <w:t>Exploratory subgroup interaction Cox models for 28-day and 1-year mortality in the primary analysis cohort. No early AKI was the reference group. Interaction P values were obtained by likelihood-ratio tests comparing models with and without the AKI recovery status by subgroup interaction term.</w:t>
      </w:r>
    </w:p>
    <w:tbl>
      <w:tblPr>
        <w:tblStyle w:val="TableGrid"/>
        <w:tblW w:type="auto" w:w="0"/>
        <w:tblLayout w:type="fixed"/>
        <w:tblLook w:firstColumn="1" w:firstRow="1" w:lastColumn="0" w:lastRow="0" w:noHBand="0" w:noVBand="1" w:val="04A0"/>
      </w:tblPr>
      <w:tblGrid>
        <w:gridCol w:w="1764"/>
        <w:gridCol w:w="1764"/>
        <w:gridCol w:w="1764"/>
        <w:gridCol w:w="1764"/>
        <w:gridCol w:w="1764"/>
        <w:gridCol w:w="1764"/>
        <w:gridCol w:w="1764"/>
        <w:gridCol w:w="1764"/>
      </w:tblGrid>
      <w:tr>
        <w:trPr>
          <w:cantSplit/>
          <w:tblHeader/>
        </w:trPr>
        <w:tc>
          <w:tcPr>
            <w:tcW w:type="dxa" w:w="1238"/>
            <w:vAlign w:val="center"/>
            <w:shd w:fill="F2F4F7"/>
            <w:tcMar>
              <w:top w:w="80" w:type="dxa"/>
              <w:start w:w="100" w:type="dxa"/>
              <w:bottom w:w="80" w:type="dxa"/>
              <w:end w:w="100" w:type="dxa"/>
            </w:tcMar>
          </w:tcPr>
          <w:p>
            <w:pPr>
              <w:jc w:val="center"/>
            </w:pPr>
            <w:r/>
            <w:r>
              <w:rPr>
                <w:rFonts w:ascii="Calibri" w:hAnsi="Calibri"/>
                <w:b/>
                <w:sz w:val="16"/>
              </w:rPr>
              <w:t>Endpoint</w:t>
            </w:r>
          </w:p>
        </w:tc>
        <w:tc>
          <w:tcPr>
            <w:tcW w:type="dxa" w:w="1728"/>
            <w:vAlign w:val="center"/>
            <w:shd w:fill="F2F4F7"/>
            <w:tcMar>
              <w:top w:w="80" w:type="dxa"/>
              <w:start w:w="100" w:type="dxa"/>
              <w:bottom w:w="80" w:type="dxa"/>
              <w:end w:w="100" w:type="dxa"/>
            </w:tcMar>
          </w:tcPr>
          <w:p>
            <w:pPr>
              <w:jc w:val="center"/>
            </w:pPr>
            <w:r/>
            <w:r>
              <w:rPr>
                <w:rFonts w:ascii="Calibri" w:hAnsi="Calibri"/>
                <w:b/>
                <w:sz w:val="16"/>
              </w:rPr>
              <w:t>Subgroup</w:t>
            </w:r>
          </w:p>
        </w:tc>
        <w:tc>
          <w:tcPr>
            <w:tcW w:type="dxa" w:w="1555"/>
            <w:vAlign w:val="center"/>
            <w:shd w:fill="F2F4F7"/>
            <w:tcMar>
              <w:top w:w="80" w:type="dxa"/>
              <w:start w:w="100" w:type="dxa"/>
              <w:bottom w:w="80" w:type="dxa"/>
              <w:end w:w="100" w:type="dxa"/>
            </w:tcMar>
          </w:tcPr>
          <w:p>
            <w:pPr>
              <w:jc w:val="center"/>
            </w:pPr>
            <w:r/>
            <w:r>
              <w:rPr>
                <w:rFonts w:ascii="Calibri" w:hAnsi="Calibri"/>
                <w:b/>
                <w:sz w:val="16"/>
              </w:rPr>
              <w:t>Level</w:t>
            </w:r>
          </w:p>
        </w:tc>
        <w:tc>
          <w:tcPr>
            <w:tcW w:type="dxa" w:w="1066"/>
            <w:vAlign w:val="center"/>
            <w:shd w:fill="F2F4F7"/>
            <w:tcMar>
              <w:top w:w="80" w:type="dxa"/>
              <w:start w:w="100" w:type="dxa"/>
              <w:bottom w:w="80" w:type="dxa"/>
              <w:end w:w="100" w:type="dxa"/>
            </w:tcMar>
          </w:tcPr>
          <w:p>
            <w:pPr>
              <w:jc w:val="center"/>
            </w:pPr>
            <w:r/>
            <w:r>
              <w:rPr>
                <w:rFonts w:ascii="Calibri" w:hAnsi="Calibri"/>
                <w:b/>
                <w:sz w:val="16"/>
              </w:rPr>
              <w:t>No. of patients</w:t>
            </w:r>
          </w:p>
        </w:tc>
        <w:tc>
          <w:tcPr>
            <w:tcW w:type="dxa" w:w="1037"/>
            <w:vAlign w:val="center"/>
            <w:shd w:fill="F2F4F7"/>
            <w:tcMar>
              <w:top w:w="80" w:type="dxa"/>
              <w:start w:w="100" w:type="dxa"/>
              <w:bottom w:w="80" w:type="dxa"/>
              <w:end w:w="100" w:type="dxa"/>
            </w:tcMar>
          </w:tcPr>
          <w:p>
            <w:pPr>
              <w:jc w:val="center"/>
            </w:pPr>
            <w:r/>
            <w:r>
              <w:rPr>
                <w:rFonts w:ascii="Calibri" w:hAnsi="Calibri"/>
                <w:b/>
                <w:sz w:val="16"/>
              </w:rPr>
              <w:t>No. of deaths</w:t>
            </w:r>
          </w:p>
        </w:tc>
        <w:tc>
          <w:tcPr>
            <w:tcW w:type="dxa" w:w="2448"/>
            <w:vAlign w:val="center"/>
            <w:shd w:fill="F2F4F7"/>
            <w:tcMar>
              <w:top w:w="80" w:type="dxa"/>
              <w:start w:w="100" w:type="dxa"/>
              <w:bottom w:w="80" w:type="dxa"/>
              <w:end w:w="100" w:type="dxa"/>
            </w:tcMar>
          </w:tcPr>
          <w:p>
            <w:pPr>
              <w:jc w:val="center"/>
            </w:pPr>
            <w:r/>
            <w:r>
              <w:rPr>
                <w:rFonts w:ascii="Calibri" w:hAnsi="Calibri"/>
                <w:b/>
                <w:sz w:val="16"/>
              </w:rPr>
              <w:t>Transient AKI vs no early AKI, adjusted HR (95% CI)</w:t>
            </w:r>
          </w:p>
        </w:tc>
        <w:tc>
          <w:tcPr>
            <w:tcW w:type="dxa" w:w="2664"/>
            <w:vAlign w:val="center"/>
            <w:shd w:fill="F2F4F7"/>
            <w:tcMar>
              <w:top w:w="80" w:type="dxa"/>
              <w:start w:w="100" w:type="dxa"/>
              <w:bottom w:w="80" w:type="dxa"/>
              <w:end w:w="100" w:type="dxa"/>
            </w:tcMar>
          </w:tcPr>
          <w:p>
            <w:pPr>
              <w:jc w:val="center"/>
            </w:pPr>
            <w:r/>
            <w:r>
              <w:rPr>
                <w:rFonts w:ascii="Calibri" w:hAnsi="Calibri"/>
                <w:b/>
                <w:sz w:val="16"/>
              </w:rPr>
              <w:t>Persistent-pattern AKI vs no early AKI, adjusted HR (95% CI)</w:t>
            </w:r>
          </w:p>
        </w:tc>
        <w:tc>
          <w:tcPr>
            <w:tcW w:type="dxa" w:w="1066"/>
            <w:vAlign w:val="center"/>
            <w:shd w:fill="F2F4F7"/>
            <w:tcMar>
              <w:top w:w="80" w:type="dxa"/>
              <w:start w:w="100" w:type="dxa"/>
              <w:bottom w:w="80" w:type="dxa"/>
              <w:end w:w="100" w:type="dxa"/>
            </w:tcMar>
          </w:tcPr>
          <w:p>
            <w:pPr>
              <w:jc w:val="center"/>
            </w:pPr>
            <w:r/>
            <w:r>
              <w:rPr>
                <w:rFonts w:ascii="Calibri" w:hAnsi="Calibri"/>
                <w:b/>
                <w:sz w:val="16"/>
              </w:rPr>
              <w:t>P for interaction</w:t>
            </w:r>
          </w:p>
        </w:tc>
      </w:tr>
      <w:tr>
        <w:trPr>
          <w:cantSplit/>
        </w:trPr>
        <w:tc>
          <w:tcPr>
            <w:tcW w:type="dxa" w:w="1238"/>
            <w:vAlign w:val="center"/>
            <w:tcMar>
              <w:top w:w="80" w:type="dxa"/>
              <w:start w:w="100" w:type="dxa"/>
              <w:bottom w:w="80" w:type="dxa"/>
              <w:end w:w="100" w:type="dxa"/>
            </w:tcMar>
          </w:tcPr>
          <w:p>
            <w:pPr>
              <w:jc w:val="left"/>
            </w:pPr>
            <w:r/>
            <w:r>
              <w:rPr>
                <w:rFonts w:ascii="Calibri" w:hAnsi="Calibri"/>
                <w:b w:val="0"/>
                <w:sz w:val="17"/>
              </w:rPr>
              <w:t>28-day mortality</w:t>
            </w:r>
          </w:p>
        </w:tc>
        <w:tc>
          <w:tcPr>
            <w:tcW w:type="dxa" w:w="1728"/>
            <w:vAlign w:val="center"/>
            <w:tcMar>
              <w:top w:w="80" w:type="dxa"/>
              <w:start w:w="100" w:type="dxa"/>
              <w:bottom w:w="80" w:type="dxa"/>
              <w:end w:w="100" w:type="dxa"/>
            </w:tcMar>
          </w:tcPr>
          <w:p>
            <w:pPr>
              <w:jc w:val="left"/>
            </w:pPr>
            <w:r/>
            <w:r>
              <w:rPr>
                <w:rFonts w:ascii="Calibri" w:hAnsi="Calibri"/>
                <w:b w:val="0"/>
                <w:sz w:val="17"/>
              </w:rPr>
              <w:t>Age</w:t>
            </w:r>
          </w:p>
        </w:tc>
        <w:tc>
          <w:tcPr>
            <w:tcW w:type="dxa" w:w="1555"/>
            <w:vAlign w:val="center"/>
            <w:tcMar>
              <w:top w:w="80" w:type="dxa"/>
              <w:start w:w="100" w:type="dxa"/>
              <w:bottom w:w="80" w:type="dxa"/>
              <w:end w:w="100" w:type="dxa"/>
            </w:tcMar>
          </w:tcPr>
          <w:p>
            <w:pPr>
              <w:jc w:val="left"/>
            </w:pPr>
            <w:r/>
            <w:r>
              <w:rPr>
                <w:rFonts w:ascii="Calibri" w:hAnsi="Calibri"/>
                <w:b w:val="0"/>
                <w:sz w:val="17"/>
              </w:rPr>
              <w:t>&lt;65 years</w:t>
            </w:r>
          </w:p>
        </w:tc>
        <w:tc>
          <w:tcPr>
            <w:tcW w:type="dxa" w:w="1066"/>
            <w:vAlign w:val="center"/>
            <w:tcMar>
              <w:top w:w="80" w:type="dxa"/>
              <w:start w:w="100" w:type="dxa"/>
              <w:bottom w:w="80" w:type="dxa"/>
              <w:end w:w="100" w:type="dxa"/>
            </w:tcMar>
          </w:tcPr>
          <w:p>
            <w:pPr>
              <w:jc w:val="left"/>
            </w:pPr>
            <w:r/>
            <w:r>
              <w:rPr>
                <w:rFonts w:ascii="Calibri" w:hAnsi="Calibri"/>
                <w:b w:val="0"/>
                <w:sz w:val="17"/>
              </w:rPr>
              <w:t>1128</w:t>
            </w:r>
          </w:p>
        </w:tc>
        <w:tc>
          <w:tcPr>
            <w:tcW w:type="dxa" w:w="1037"/>
            <w:vAlign w:val="center"/>
            <w:tcMar>
              <w:top w:w="80" w:type="dxa"/>
              <w:start w:w="100" w:type="dxa"/>
              <w:bottom w:w="80" w:type="dxa"/>
              <w:end w:w="100" w:type="dxa"/>
            </w:tcMar>
          </w:tcPr>
          <w:p>
            <w:pPr>
              <w:jc w:val="left"/>
            </w:pPr>
            <w:r/>
            <w:r>
              <w:rPr>
                <w:rFonts w:ascii="Calibri" w:hAnsi="Calibri"/>
                <w:b w:val="0"/>
                <w:sz w:val="17"/>
              </w:rPr>
              <w:t>176</w:t>
            </w:r>
          </w:p>
        </w:tc>
        <w:tc>
          <w:tcPr>
            <w:tcW w:type="dxa" w:w="2448"/>
            <w:vAlign w:val="center"/>
            <w:tcMar>
              <w:top w:w="80" w:type="dxa"/>
              <w:start w:w="100" w:type="dxa"/>
              <w:bottom w:w="80" w:type="dxa"/>
              <w:end w:w="100" w:type="dxa"/>
            </w:tcMar>
          </w:tcPr>
          <w:p>
            <w:pPr>
              <w:jc w:val="left"/>
            </w:pPr>
            <w:r/>
            <w:r>
              <w:rPr>
                <w:rFonts w:ascii="Calibri" w:hAnsi="Calibri"/>
                <w:b w:val="0"/>
                <w:sz w:val="17"/>
              </w:rPr>
              <w:t>1.44 (0.71-2.91); P=0.312</w:t>
            </w:r>
          </w:p>
        </w:tc>
        <w:tc>
          <w:tcPr>
            <w:tcW w:type="dxa" w:w="2664"/>
            <w:vAlign w:val="center"/>
            <w:tcMar>
              <w:top w:w="80" w:type="dxa"/>
              <w:start w:w="100" w:type="dxa"/>
              <w:bottom w:w="80" w:type="dxa"/>
              <w:end w:w="100" w:type="dxa"/>
            </w:tcMar>
          </w:tcPr>
          <w:p>
            <w:pPr>
              <w:jc w:val="left"/>
            </w:pPr>
            <w:r/>
            <w:r>
              <w:rPr>
                <w:rFonts w:ascii="Calibri" w:hAnsi="Calibri"/>
                <w:b w:val="0"/>
                <w:sz w:val="17"/>
              </w:rPr>
              <w:t>2.17 (1.15-4.09); P=0.016</w:t>
            </w:r>
          </w:p>
        </w:tc>
        <w:tc>
          <w:tcPr>
            <w:tcW w:type="dxa" w:w="1066"/>
            <w:vAlign w:val="center"/>
            <w:tcMar>
              <w:top w:w="80" w:type="dxa"/>
              <w:start w:w="100" w:type="dxa"/>
              <w:bottom w:w="80" w:type="dxa"/>
              <w:end w:w="100" w:type="dxa"/>
            </w:tcMar>
          </w:tcPr>
          <w:p>
            <w:pPr>
              <w:jc w:val="left"/>
            </w:pPr>
            <w:r/>
            <w:r>
              <w:rPr>
                <w:rFonts w:ascii="Calibri" w:hAnsi="Calibri"/>
                <w:b w:val="0"/>
                <w:sz w:val="17"/>
              </w:rPr>
              <w:t>0.312</w:t>
            </w:r>
          </w:p>
        </w:tc>
      </w:tr>
      <w:tr>
        <w:trPr>
          <w:cantSplit/>
        </w:trPr>
        <w:tc>
          <w:tcPr>
            <w:tcW w:type="dxa" w:w="1238"/>
            <w:vAlign w:val="center"/>
            <w:tcMar>
              <w:top w:w="80" w:type="dxa"/>
              <w:start w:w="100" w:type="dxa"/>
              <w:bottom w:w="80" w:type="dxa"/>
              <w:end w:w="100" w:type="dxa"/>
            </w:tcMar>
          </w:tcPr>
          <w:p>
            <w:pPr>
              <w:jc w:val="left"/>
            </w:pPr>
            <w:r/>
            <w:r>
              <w:rPr>
                <w:rFonts w:ascii="Calibri" w:hAnsi="Calibri"/>
                <w:b w:val="0"/>
                <w:sz w:val="17"/>
              </w:rPr>
              <w:t>28-day mortality</w:t>
            </w:r>
          </w:p>
        </w:tc>
        <w:tc>
          <w:tcPr>
            <w:tcW w:type="dxa" w:w="1728"/>
            <w:vAlign w:val="center"/>
            <w:tcMar>
              <w:top w:w="80" w:type="dxa"/>
              <w:start w:w="100" w:type="dxa"/>
              <w:bottom w:w="80" w:type="dxa"/>
              <w:end w:w="100" w:type="dxa"/>
            </w:tcMar>
          </w:tcPr>
          <w:p>
            <w:pPr>
              <w:jc w:val="left"/>
            </w:pPr>
            <w:r/>
            <w:r>
              <w:rPr>
                <w:rFonts w:ascii="Calibri" w:hAnsi="Calibri"/>
                <w:b w:val="0"/>
                <w:sz w:val="17"/>
              </w:rPr>
              <w:t>Age</w:t>
            </w:r>
          </w:p>
        </w:tc>
        <w:tc>
          <w:tcPr>
            <w:tcW w:type="dxa" w:w="1555"/>
            <w:vAlign w:val="center"/>
            <w:tcMar>
              <w:top w:w="80" w:type="dxa"/>
              <w:start w:w="100" w:type="dxa"/>
              <w:bottom w:w="80" w:type="dxa"/>
              <w:end w:w="100" w:type="dxa"/>
            </w:tcMar>
          </w:tcPr>
          <w:p>
            <w:pPr>
              <w:jc w:val="left"/>
            </w:pPr>
            <w:r/>
            <w:r>
              <w:rPr>
                <w:rFonts w:ascii="Calibri" w:hAnsi="Calibri"/>
                <w:b w:val="0"/>
                <w:sz w:val="17"/>
              </w:rPr>
              <w:t>&gt;=65 years</w:t>
            </w:r>
          </w:p>
        </w:tc>
        <w:tc>
          <w:tcPr>
            <w:tcW w:type="dxa" w:w="1066"/>
            <w:vAlign w:val="center"/>
            <w:tcMar>
              <w:top w:w="80" w:type="dxa"/>
              <w:start w:w="100" w:type="dxa"/>
              <w:bottom w:w="80" w:type="dxa"/>
              <w:end w:w="100" w:type="dxa"/>
            </w:tcMar>
          </w:tcPr>
          <w:p>
            <w:pPr>
              <w:jc w:val="left"/>
            </w:pPr>
            <w:r/>
            <w:r>
              <w:rPr>
                <w:rFonts w:ascii="Calibri" w:hAnsi="Calibri"/>
                <w:b w:val="0"/>
                <w:sz w:val="17"/>
              </w:rPr>
              <w:t>2330</w:t>
            </w:r>
          </w:p>
        </w:tc>
        <w:tc>
          <w:tcPr>
            <w:tcW w:type="dxa" w:w="1037"/>
            <w:vAlign w:val="center"/>
            <w:tcMar>
              <w:top w:w="80" w:type="dxa"/>
              <w:start w:w="100" w:type="dxa"/>
              <w:bottom w:w="80" w:type="dxa"/>
              <w:end w:w="100" w:type="dxa"/>
            </w:tcMar>
          </w:tcPr>
          <w:p>
            <w:pPr>
              <w:jc w:val="left"/>
            </w:pPr>
            <w:r/>
            <w:r>
              <w:rPr>
                <w:rFonts w:ascii="Calibri" w:hAnsi="Calibri"/>
                <w:b w:val="0"/>
                <w:sz w:val="17"/>
              </w:rPr>
              <w:t>557</w:t>
            </w:r>
          </w:p>
        </w:tc>
        <w:tc>
          <w:tcPr>
            <w:tcW w:type="dxa" w:w="2448"/>
            <w:vAlign w:val="center"/>
            <w:tcMar>
              <w:top w:w="80" w:type="dxa"/>
              <w:start w:w="100" w:type="dxa"/>
              <w:bottom w:w="80" w:type="dxa"/>
              <w:end w:w="100" w:type="dxa"/>
            </w:tcMar>
          </w:tcPr>
          <w:p>
            <w:pPr>
              <w:jc w:val="left"/>
            </w:pPr>
            <w:r/>
            <w:r>
              <w:rPr>
                <w:rFonts w:ascii="Calibri" w:hAnsi="Calibri"/>
                <w:b w:val="0"/>
                <w:sz w:val="17"/>
              </w:rPr>
              <w:t>0.82 (0.58-1.17); P=0.271</w:t>
            </w:r>
          </w:p>
        </w:tc>
        <w:tc>
          <w:tcPr>
            <w:tcW w:type="dxa" w:w="2664"/>
            <w:vAlign w:val="center"/>
            <w:tcMar>
              <w:top w:w="80" w:type="dxa"/>
              <w:start w:w="100" w:type="dxa"/>
              <w:bottom w:w="80" w:type="dxa"/>
              <w:end w:w="100" w:type="dxa"/>
            </w:tcMar>
          </w:tcPr>
          <w:p>
            <w:pPr>
              <w:jc w:val="left"/>
            </w:pPr>
            <w:r/>
            <w:r>
              <w:rPr>
                <w:rFonts w:ascii="Calibri" w:hAnsi="Calibri"/>
                <w:b w:val="0"/>
                <w:sz w:val="17"/>
              </w:rPr>
              <w:t>1.43 (1.05-1.94); P=0.024</w:t>
            </w:r>
          </w:p>
        </w:tc>
        <w:tc>
          <w:tcPr>
            <w:tcW w:type="dxa" w:w="1066"/>
            <w:vAlign w:val="center"/>
            <w:tcMar>
              <w:top w:w="80" w:type="dxa"/>
              <w:start w:w="100" w:type="dxa"/>
              <w:bottom w:w="80" w:type="dxa"/>
              <w:end w:w="100" w:type="dxa"/>
            </w:tcMar>
          </w:tcPr>
          <w:p>
            <w:pPr>
              <w:jc w:val="left"/>
            </w:pPr>
            <w:r/>
            <w:r>
              <w:rPr>
                <w:rFonts w:ascii="Calibri" w:hAnsi="Calibri"/>
                <w:b w:val="0"/>
                <w:sz w:val="17"/>
              </w:rPr>
              <w:t>0.312</w:t>
            </w:r>
          </w:p>
        </w:tc>
      </w:tr>
      <w:tr>
        <w:trPr>
          <w:cantSplit/>
        </w:trPr>
        <w:tc>
          <w:tcPr>
            <w:tcW w:type="dxa" w:w="1238"/>
            <w:vAlign w:val="center"/>
            <w:tcMar>
              <w:top w:w="80" w:type="dxa"/>
              <w:start w:w="100" w:type="dxa"/>
              <w:bottom w:w="80" w:type="dxa"/>
              <w:end w:w="100" w:type="dxa"/>
            </w:tcMar>
          </w:tcPr>
          <w:p>
            <w:pPr>
              <w:jc w:val="left"/>
            </w:pPr>
            <w:r/>
            <w:r>
              <w:rPr>
                <w:rFonts w:ascii="Calibri" w:hAnsi="Calibri"/>
                <w:b w:val="0"/>
                <w:sz w:val="17"/>
              </w:rPr>
              <w:t>28-day mortality</w:t>
            </w:r>
          </w:p>
        </w:tc>
        <w:tc>
          <w:tcPr>
            <w:tcW w:type="dxa" w:w="1728"/>
            <w:vAlign w:val="center"/>
            <w:tcMar>
              <w:top w:w="80" w:type="dxa"/>
              <w:start w:w="100" w:type="dxa"/>
              <w:bottom w:w="80" w:type="dxa"/>
              <w:end w:w="100" w:type="dxa"/>
            </w:tcMar>
          </w:tcPr>
          <w:p>
            <w:pPr>
              <w:jc w:val="left"/>
            </w:pPr>
            <w:r/>
            <w:r>
              <w:rPr>
                <w:rFonts w:ascii="Calibri" w:hAnsi="Calibri"/>
                <w:b w:val="0"/>
                <w:sz w:val="17"/>
              </w:rPr>
              <w:t>Sex</w:t>
            </w:r>
          </w:p>
        </w:tc>
        <w:tc>
          <w:tcPr>
            <w:tcW w:type="dxa" w:w="1555"/>
            <w:vAlign w:val="center"/>
            <w:tcMar>
              <w:top w:w="80" w:type="dxa"/>
              <w:start w:w="100" w:type="dxa"/>
              <w:bottom w:w="80" w:type="dxa"/>
              <w:end w:w="100" w:type="dxa"/>
            </w:tcMar>
          </w:tcPr>
          <w:p>
            <w:pPr>
              <w:jc w:val="left"/>
            </w:pPr>
            <w:r/>
            <w:r>
              <w:rPr>
                <w:rFonts w:ascii="Calibri" w:hAnsi="Calibri"/>
                <w:b w:val="0"/>
                <w:sz w:val="17"/>
              </w:rPr>
              <w:t>Male</w:t>
            </w:r>
          </w:p>
        </w:tc>
        <w:tc>
          <w:tcPr>
            <w:tcW w:type="dxa" w:w="1066"/>
            <w:vAlign w:val="center"/>
            <w:tcMar>
              <w:top w:w="80" w:type="dxa"/>
              <w:start w:w="100" w:type="dxa"/>
              <w:bottom w:w="80" w:type="dxa"/>
              <w:end w:w="100" w:type="dxa"/>
            </w:tcMar>
          </w:tcPr>
          <w:p>
            <w:pPr>
              <w:jc w:val="left"/>
            </w:pPr>
            <w:r/>
            <w:r>
              <w:rPr>
                <w:rFonts w:ascii="Calibri" w:hAnsi="Calibri"/>
                <w:b w:val="0"/>
                <w:sz w:val="17"/>
              </w:rPr>
              <w:t>2173</w:t>
            </w:r>
          </w:p>
        </w:tc>
        <w:tc>
          <w:tcPr>
            <w:tcW w:type="dxa" w:w="1037"/>
            <w:vAlign w:val="center"/>
            <w:tcMar>
              <w:top w:w="80" w:type="dxa"/>
              <w:start w:w="100" w:type="dxa"/>
              <w:bottom w:w="80" w:type="dxa"/>
              <w:end w:w="100" w:type="dxa"/>
            </w:tcMar>
          </w:tcPr>
          <w:p>
            <w:pPr>
              <w:jc w:val="left"/>
            </w:pPr>
            <w:r/>
            <w:r>
              <w:rPr>
                <w:rFonts w:ascii="Calibri" w:hAnsi="Calibri"/>
                <w:b w:val="0"/>
                <w:sz w:val="17"/>
              </w:rPr>
              <w:t>450</w:t>
            </w:r>
          </w:p>
        </w:tc>
        <w:tc>
          <w:tcPr>
            <w:tcW w:type="dxa" w:w="2448"/>
            <w:vAlign w:val="center"/>
            <w:tcMar>
              <w:top w:w="80" w:type="dxa"/>
              <w:start w:w="100" w:type="dxa"/>
              <w:bottom w:w="80" w:type="dxa"/>
              <w:end w:w="100" w:type="dxa"/>
            </w:tcMar>
          </w:tcPr>
          <w:p>
            <w:pPr>
              <w:jc w:val="left"/>
            </w:pPr>
            <w:r/>
            <w:r>
              <w:rPr>
                <w:rFonts w:ascii="Calibri" w:hAnsi="Calibri"/>
                <w:b w:val="0"/>
                <w:sz w:val="17"/>
              </w:rPr>
              <w:t>0.94 (0.61-1.45); P=0.794</w:t>
            </w:r>
          </w:p>
        </w:tc>
        <w:tc>
          <w:tcPr>
            <w:tcW w:type="dxa" w:w="2664"/>
            <w:vAlign w:val="center"/>
            <w:tcMar>
              <w:top w:w="80" w:type="dxa"/>
              <w:start w:w="100" w:type="dxa"/>
              <w:bottom w:w="80" w:type="dxa"/>
              <w:end w:w="100" w:type="dxa"/>
            </w:tcMar>
          </w:tcPr>
          <w:p>
            <w:pPr>
              <w:jc w:val="left"/>
            </w:pPr>
            <w:r/>
            <w:r>
              <w:rPr>
                <w:rFonts w:ascii="Calibri" w:hAnsi="Calibri"/>
                <w:b w:val="0"/>
                <w:sz w:val="17"/>
              </w:rPr>
              <w:t>1.69 (1.16-2.47); P=0.006</w:t>
            </w:r>
          </w:p>
        </w:tc>
        <w:tc>
          <w:tcPr>
            <w:tcW w:type="dxa" w:w="1066"/>
            <w:vAlign w:val="center"/>
            <w:tcMar>
              <w:top w:w="80" w:type="dxa"/>
              <w:start w:w="100" w:type="dxa"/>
              <w:bottom w:w="80" w:type="dxa"/>
              <w:end w:w="100" w:type="dxa"/>
            </w:tcMar>
          </w:tcPr>
          <w:p>
            <w:pPr>
              <w:jc w:val="left"/>
            </w:pPr>
            <w:r/>
            <w:r>
              <w:rPr>
                <w:rFonts w:ascii="Calibri" w:hAnsi="Calibri"/>
                <w:b w:val="0"/>
                <w:sz w:val="17"/>
              </w:rPr>
              <w:t>0.634</w:t>
            </w:r>
          </w:p>
        </w:tc>
      </w:tr>
      <w:tr>
        <w:trPr>
          <w:cantSplit/>
        </w:trPr>
        <w:tc>
          <w:tcPr>
            <w:tcW w:type="dxa" w:w="1238"/>
            <w:vAlign w:val="center"/>
            <w:tcMar>
              <w:top w:w="80" w:type="dxa"/>
              <w:start w:w="100" w:type="dxa"/>
              <w:bottom w:w="80" w:type="dxa"/>
              <w:end w:w="100" w:type="dxa"/>
            </w:tcMar>
          </w:tcPr>
          <w:p>
            <w:pPr>
              <w:jc w:val="left"/>
            </w:pPr>
            <w:r/>
            <w:r>
              <w:rPr>
                <w:rFonts w:ascii="Calibri" w:hAnsi="Calibri"/>
                <w:b w:val="0"/>
                <w:sz w:val="17"/>
              </w:rPr>
              <w:t>28-day mortality</w:t>
            </w:r>
          </w:p>
        </w:tc>
        <w:tc>
          <w:tcPr>
            <w:tcW w:type="dxa" w:w="1728"/>
            <w:vAlign w:val="center"/>
            <w:tcMar>
              <w:top w:w="80" w:type="dxa"/>
              <w:start w:w="100" w:type="dxa"/>
              <w:bottom w:w="80" w:type="dxa"/>
              <w:end w:w="100" w:type="dxa"/>
            </w:tcMar>
          </w:tcPr>
          <w:p>
            <w:pPr>
              <w:jc w:val="left"/>
            </w:pPr>
            <w:r/>
            <w:r>
              <w:rPr>
                <w:rFonts w:ascii="Calibri" w:hAnsi="Calibri"/>
                <w:b w:val="0"/>
                <w:sz w:val="17"/>
              </w:rPr>
              <w:t>Sex</w:t>
            </w:r>
          </w:p>
        </w:tc>
        <w:tc>
          <w:tcPr>
            <w:tcW w:type="dxa" w:w="1555"/>
            <w:vAlign w:val="center"/>
            <w:tcMar>
              <w:top w:w="80" w:type="dxa"/>
              <w:start w:w="100" w:type="dxa"/>
              <w:bottom w:w="80" w:type="dxa"/>
              <w:end w:w="100" w:type="dxa"/>
            </w:tcMar>
          </w:tcPr>
          <w:p>
            <w:pPr>
              <w:jc w:val="left"/>
            </w:pPr>
            <w:r/>
            <w:r>
              <w:rPr>
                <w:rFonts w:ascii="Calibri" w:hAnsi="Calibri"/>
                <w:b w:val="0"/>
                <w:sz w:val="17"/>
              </w:rPr>
              <w:t>Female</w:t>
            </w:r>
          </w:p>
        </w:tc>
        <w:tc>
          <w:tcPr>
            <w:tcW w:type="dxa" w:w="1066"/>
            <w:vAlign w:val="center"/>
            <w:tcMar>
              <w:top w:w="80" w:type="dxa"/>
              <w:start w:w="100" w:type="dxa"/>
              <w:bottom w:w="80" w:type="dxa"/>
              <w:end w:w="100" w:type="dxa"/>
            </w:tcMar>
          </w:tcPr>
          <w:p>
            <w:pPr>
              <w:jc w:val="left"/>
            </w:pPr>
            <w:r/>
            <w:r>
              <w:rPr>
                <w:rFonts w:ascii="Calibri" w:hAnsi="Calibri"/>
                <w:b w:val="0"/>
                <w:sz w:val="17"/>
              </w:rPr>
              <w:t>1285</w:t>
            </w:r>
          </w:p>
        </w:tc>
        <w:tc>
          <w:tcPr>
            <w:tcW w:type="dxa" w:w="1037"/>
            <w:vAlign w:val="center"/>
            <w:tcMar>
              <w:top w:w="80" w:type="dxa"/>
              <w:start w:w="100" w:type="dxa"/>
              <w:bottom w:w="80" w:type="dxa"/>
              <w:end w:w="100" w:type="dxa"/>
            </w:tcMar>
          </w:tcPr>
          <w:p>
            <w:pPr>
              <w:jc w:val="left"/>
            </w:pPr>
            <w:r/>
            <w:r>
              <w:rPr>
                <w:rFonts w:ascii="Calibri" w:hAnsi="Calibri"/>
                <w:b w:val="0"/>
                <w:sz w:val="17"/>
              </w:rPr>
              <w:t>283</w:t>
            </w:r>
          </w:p>
        </w:tc>
        <w:tc>
          <w:tcPr>
            <w:tcW w:type="dxa" w:w="2448"/>
            <w:vAlign w:val="center"/>
            <w:tcMar>
              <w:top w:w="80" w:type="dxa"/>
              <w:start w:w="100" w:type="dxa"/>
              <w:bottom w:w="80" w:type="dxa"/>
              <w:end w:w="100" w:type="dxa"/>
            </w:tcMar>
          </w:tcPr>
          <w:p>
            <w:pPr>
              <w:jc w:val="left"/>
            </w:pPr>
            <w:r/>
            <w:r>
              <w:rPr>
                <w:rFonts w:ascii="Calibri" w:hAnsi="Calibri"/>
                <w:b w:val="0"/>
                <w:sz w:val="17"/>
              </w:rPr>
              <w:t>0.90 (0.56-1.44); P=0.652</w:t>
            </w:r>
          </w:p>
        </w:tc>
        <w:tc>
          <w:tcPr>
            <w:tcW w:type="dxa" w:w="2664"/>
            <w:vAlign w:val="center"/>
            <w:tcMar>
              <w:top w:w="80" w:type="dxa"/>
              <w:start w:w="100" w:type="dxa"/>
              <w:bottom w:w="80" w:type="dxa"/>
              <w:end w:w="100" w:type="dxa"/>
            </w:tcMar>
          </w:tcPr>
          <w:p>
            <w:pPr>
              <w:jc w:val="left"/>
            </w:pPr>
            <w:r/>
            <w:r>
              <w:rPr>
                <w:rFonts w:ascii="Calibri" w:hAnsi="Calibri"/>
                <w:b w:val="0"/>
                <w:sz w:val="17"/>
              </w:rPr>
              <w:t>1.36 (0.90-2.05); P=0.141</w:t>
            </w:r>
          </w:p>
        </w:tc>
        <w:tc>
          <w:tcPr>
            <w:tcW w:type="dxa" w:w="1066"/>
            <w:vAlign w:val="center"/>
            <w:tcMar>
              <w:top w:w="80" w:type="dxa"/>
              <w:start w:w="100" w:type="dxa"/>
              <w:bottom w:w="80" w:type="dxa"/>
              <w:end w:w="100" w:type="dxa"/>
            </w:tcMar>
          </w:tcPr>
          <w:p>
            <w:pPr>
              <w:jc w:val="left"/>
            </w:pPr>
            <w:r/>
            <w:r>
              <w:rPr>
                <w:rFonts w:ascii="Calibri" w:hAnsi="Calibri"/>
                <w:b w:val="0"/>
                <w:sz w:val="17"/>
              </w:rPr>
              <w:t>0.634</w:t>
            </w:r>
          </w:p>
        </w:tc>
      </w:tr>
      <w:tr>
        <w:trPr>
          <w:cantSplit/>
        </w:trPr>
        <w:tc>
          <w:tcPr>
            <w:tcW w:type="dxa" w:w="1238"/>
            <w:vAlign w:val="center"/>
            <w:tcMar>
              <w:top w:w="80" w:type="dxa"/>
              <w:start w:w="100" w:type="dxa"/>
              <w:bottom w:w="80" w:type="dxa"/>
              <w:end w:w="100" w:type="dxa"/>
            </w:tcMar>
          </w:tcPr>
          <w:p>
            <w:pPr>
              <w:jc w:val="left"/>
            </w:pPr>
            <w:r/>
            <w:r>
              <w:rPr>
                <w:rFonts w:ascii="Calibri" w:hAnsi="Calibri"/>
                <w:b w:val="0"/>
                <w:sz w:val="17"/>
              </w:rPr>
              <w:t>28-day mortality</w:t>
            </w:r>
          </w:p>
        </w:tc>
        <w:tc>
          <w:tcPr>
            <w:tcW w:type="dxa" w:w="1728"/>
            <w:vAlign w:val="center"/>
            <w:tcMar>
              <w:top w:w="80" w:type="dxa"/>
              <w:start w:w="100" w:type="dxa"/>
              <w:bottom w:w="80" w:type="dxa"/>
              <w:end w:w="100" w:type="dxa"/>
            </w:tcMar>
          </w:tcPr>
          <w:p>
            <w:pPr>
              <w:jc w:val="left"/>
            </w:pPr>
            <w:r/>
            <w:r>
              <w:rPr>
                <w:rFonts w:ascii="Calibri" w:hAnsi="Calibri"/>
                <w:b w:val="0"/>
                <w:sz w:val="17"/>
              </w:rPr>
              <w:t>AMI subtype</w:t>
            </w:r>
          </w:p>
        </w:tc>
        <w:tc>
          <w:tcPr>
            <w:tcW w:type="dxa" w:w="1555"/>
            <w:vAlign w:val="center"/>
            <w:tcMar>
              <w:top w:w="80" w:type="dxa"/>
              <w:start w:w="100" w:type="dxa"/>
              <w:bottom w:w="80" w:type="dxa"/>
              <w:end w:w="100" w:type="dxa"/>
            </w:tcMar>
          </w:tcPr>
          <w:p>
            <w:pPr>
              <w:jc w:val="left"/>
            </w:pPr>
            <w:r/>
            <w:r>
              <w:rPr>
                <w:rFonts w:ascii="Calibri" w:hAnsi="Calibri"/>
                <w:b w:val="0"/>
                <w:sz w:val="17"/>
              </w:rPr>
              <w:t>NSTEMI</w:t>
            </w:r>
          </w:p>
        </w:tc>
        <w:tc>
          <w:tcPr>
            <w:tcW w:type="dxa" w:w="1066"/>
            <w:vAlign w:val="center"/>
            <w:tcMar>
              <w:top w:w="80" w:type="dxa"/>
              <w:start w:w="100" w:type="dxa"/>
              <w:bottom w:w="80" w:type="dxa"/>
              <w:end w:w="100" w:type="dxa"/>
            </w:tcMar>
          </w:tcPr>
          <w:p>
            <w:pPr>
              <w:jc w:val="left"/>
            </w:pPr>
            <w:r/>
            <w:r>
              <w:rPr>
                <w:rFonts w:ascii="Calibri" w:hAnsi="Calibri"/>
                <w:b w:val="0"/>
                <w:sz w:val="17"/>
              </w:rPr>
              <w:t>2059</w:t>
            </w:r>
          </w:p>
        </w:tc>
        <w:tc>
          <w:tcPr>
            <w:tcW w:type="dxa" w:w="1037"/>
            <w:vAlign w:val="center"/>
            <w:tcMar>
              <w:top w:w="80" w:type="dxa"/>
              <w:start w:w="100" w:type="dxa"/>
              <w:bottom w:w="80" w:type="dxa"/>
              <w:end w:w="100" w:type="dxa"/>
            </w:tcMar>
          </w:tcPr>
          <w:p>
            <w:pPr>
              <w:jc w:val="left"/>
            </w:pPr>
            <w:r/>
            <w:r>
              <w:rPr>
                <w:rFonts w:ascii="Calibri" w:hAnsi="Calibri"/>
                <w:b w:val="0"/>
                <w:sz w:val="17"/>
              </w:rPr>
              <w:t>383</w:t>
            </w:r>
          </w:p>
        </w:tc>
        <w:tc>
          <w:tcPr>
            <w:tcW w:type="dxa" w:w="2448"/>
            <w:vAlign w:val="center"/>
            <w:tcMar>
              <w:top w:w="80" w:type="dxa"/>
              <w:start w:w="100" w:type="dxa"/>
              <w:bottom w:w="80" w:type="dxa"/>
              <w:end w:w="100" w:type="dxa"/>
            </w:tcMar>
          </w:tcPr>
          <w:p>
            <w:pPr>
              <w:jc w:val="left"/>
            </w:pPr>
            <w:r/>
            <w:r>
              <w:rPr>
                <w:rFonts w:ascii="Calibri" w:hAnsi="Calibri"/>
                <w:b w:val="0"/>
                <w:sz w:val="17"/>
              </w:rPr>
              <w:t>0.90 (0.59-1.38); P=0.640</w:t>
            </w:r>
          </w:p>
        </w:tc>
        <w:tc>
          <w:tcPr>
            <w:tcW w:type="dxa" w:w="2664"/>
            <w:vAlign w:val="center"/>
            <w:tcMar>
              <w:top w:w="80" w:type="dxa"/>
              <w:start w:w="100" w:type="dxa"/>
              <w:bottom w:w="80" w:type="dxa"/>
              <w:end w:w="100" w:type="dxa"/>
            </w:tcMar>
          </w:tcPr>
          <w:p>
            <w:pPr>
              <w:jc w:val="left"/>
            </w:pPr>
            <w:r/>
            <w:r>
              <w:rPr>
                <w:rFonts w:ascii="Calibri" w:hAnsi="Calibri"/>
                <w:b w:val="0"/>
                <w:sz w:val="17"/>
              </w:rPr>
              <w:t>1.39 (0.95-2.02); P=0.088</w:t>
            </w:r>
          </w:p>
        </w:tc>
        <w:tc>
          <w:tcPr>
            <w:tcW w:type="dxa" w:w="1066"/>
            <w:vAlign w:val="center"/>
            <w:tcMar>
              <w:top w:w="80" w:type="dxa"/>
              <w:start w:w="100" w:type="dxa"/>
              <w:bottom w:w="80" w:type="dxa"/>
              <w:end w:w="100" w:type="dxa"/>
            </w:tcMar>
          </w:tcPr>
          <w:p>
            <w:pPr>
              <w:jc w:val="left"/>
            </w:pPr>
            <w:r/>
            <w:r>
              <w:rPr>
                <w:rFonts w:ascii="Calibri" w:hAnsi="Calibri"/>
                <w:b w:val="0"/>
                <w:sz w:val="17"/>
              </w:rPr>
              <w:t>0.622</w:t>
            </w:r>
          </w:p>
        </w:tc>
      </w:tr>
      <w:tr>
        <w:trPr>
          <w:cantSplit/>
        </w:trPr>
        <w:tc>
          <w:tcPr>
            <w:tcW w:type="dxa" w:w="1238"/>
            <w:vAlign w:val="center"/>
            <w:tcMar>
              <w:top w:w="80" w:type="dxa"/>
              <w:start w:w="100" w:type="dxa"/>
              <w:bottom w:w="80" w:type="dxa"/>
              <w:end w:w="100" w:type="dxa"/>
            </w:tcMar>
          </w:tcPr>
          <w:p>
            <w:pPr>
              <w:jc w:val="left"/>
            </w:pPr>
            <w:r/>
            <w:r>
              <w:rPr>
                <w:rFonts w:ascii="Calibri" w:hAnsi="Calibri"/>
                <w:b w:val="0"/>
                <w:sz w:val="17"/>
              </w:rPr>
              <w:t>28-day mortality</w:t>
            </w:r>
          </w:p>
        </w:tc>
        <w:tc>
          <w:tcPr>
            <w:tcW w:type="dxa" w:w="1728"/>
            <w:vAlign w:val="center"/>
            <w:tcMar>
              <w:top w:w="80" w:type="dxa"/>
              <w:start w:w="100" w:type="dxa"/>
              <w:bottom w:w="80" w:type="dxa"/>
              <w:end w:w="100" w:type="dxa"/>
            </w:tcMar>
          </w:tcPr>
          <w:p>
            <w:pPr>
              <w:jc w:val="left"/>
            </w:pPr>
            <w:r/>
            <w:r>
              <w:rPr>
                <w:rFonts w:ascii="Calibri" w:hAnsi="Calibri"/>
                <w:b w:val="0"/>
                <w:sz w:val="17"/>
              </w:rPr>
              <w:t>AMI subtype</w:t>
            </w:r>
          </w:p>
        </w:tc>
        <w:tc>
          <w:tcPr>
            <w:tcW w:type="dxa" w:w="1555"/>
            <w:vAlign w:val="center"/>
            <w:tcMar>
              <w:top w:w="80" w:type="dxa"/>
              <w:start w:w="100" w:type="dxa"/>
              <w:bottom w:w="80" w:type="dxa"/>
              <w:end w:w="100" w:type="dxa"/>
            </w:tcMar>
          </w:tcPr>
          <w:p>
            <w:pPr>
              <w:jc w:val="left"/>
            </w:pPr>
            <w:r/>
            <w:r>
              <w:rPr>
                <w:rFonts w:ascii="Calibri" w:hAnsi="Calibri"/>
                <w:b w:val="0"/>
                <w:sz w:val="17"/>
              </w:rPr>
              <w:t>STEMI/unspecified</w:t>
            </w:r>
          </w:p>
        </w:tc>
        <w:tc>
          <w:tcPr>
            <w:tcW w:type="dxa" w:w="1066"/>
            <w:vAlign w:val="center"/>
            <w:tcMar>
              <w:top w:w="80" w:type="dxa"/>
              <w:start w:w="100" w:type="dxa"/>
              <w:bottom w:w="80" w:type="dxa"/>
              <w:end w:w="100" w:type="dxa"/>
            </w:tcMar>
          </w:tcPr>
          <w:p>
            <w:pPr>
              <w:jc w:val="left"/>
            </w:pPr>
            <w:r/>
            <w:r>
              <w:rPr>
                <w:rFonts w:ascii="Calibri" w:hAnsi="Calibri"/>
                <w:b w:val="0"/>
                <w:sz w:val="17"/>
              </w:rPr>
              <w:t>1399</w:t>
            </w:r>
          </w:p>
        </w:tc>
        <w:tc>
          <w:tcPr>
            <w:tcW w:type="dxa" w:w="1037"/>
            <w:vAlign w:val="center"/>
            <w:tcMar>
              <w:top w:w="80" w:type="dxa"/>
              <w:start w:w="100" w:type="dxa"/>
              <w:bottom w:w="80" w:type="dxa"/>
              <w:end w:w="100" w:type="dxa"/>
            </w:tcMar>
          </w:tcPr>
          <w:p>
            <w:pPr>
              <w:jc w:val="left"/>
            </w:pPr>
            <w:r/>
            <w:r>
              <w:rPr>
                <w:rFonts w:ascii="Calibri" w:hAnsi="Calibri"/>
                <w:b w:val="0"/>
                <w:sz w:val="17"/>
              </w:rPr>
              <w:t>350</w:t>
            </w:r>
          </w:p>
        </w:tc>
        <w:tc>
          <w:tcPr>
            <w:tcW w:type="dxa" w:w="2448"/>
            <w:vAlign w:val="center"/>
            <w:tcMar>
              <w:top w:w="80" w:type="dxa"/>
              <w:start w:w="100" w:type="dxa"/>
              <w:bottom w:w="80" w:type="dxa"/>
              <w:end w:w="100" w:type="dxa"/>
            </w:tcMar>
          </w:tcPr>
          <w:p>
            <w:pPr>
              <w:jc w:val="left"/>
            </w:pPr>
            <w:r/>
            <w:r>
              <w:rPr>
                <w:rFonts w:ascii="Calibri" w:hAnsi="Calibri"/>
                <w:b w:val="0"/>
                <w:sz w:val="17"/>
              </w:rPr>
              <w:t>0.89 (0.55-1.44); P=0.640</w:t>
            </w:r>
          </w:p>
        </w:tc>
        <w:tc>
          <w:tcPr>
            <w:tcW w:type="dxa" w:w="2664"/>
            <w:vAlign w:val="center"/>
            <w:tcMar>
              <w:top w:w="80" w:type="dxa"/>
              <w:start w:w="100" w:type="dxa"/>
              <w:bottom w:w="80" w:type="dxa"/>
              <w:end w:w="100" w:type="dxa"/>
            </w:tcMar>
          </w:tcPr>
          <w:p>
            <w:pPr>
              <w:jc w:val="left"/>
            </w:pPr>
            <w:r/>
            <w:r>
              <w:rPr>
                <w:rFonts w:ascii="Calibri" w:hAnsi="Calibri"/>
                <w:b w:val="0"/>
                <w:sz w:val="17"/>
              </w:rPr>
              <w:t>1.70 (1.13-2.56); P=0.011</w:t>
            </w:r>
          </w:p>
        </w:tc>
        <w:tc>
          <w:tcPr>
            <w:tcW w:type="dxa" w:w="1066"/>
            <w:vAlign w:val="center"/>
            <w:tcMar>
              <w:top w:w="80" w:type="dxa"/>
              <w:start w:w="100" w:type="dxa"/>
              <w:bottom w:w="80" w:type="dxa"/>
              <w:end w:w="100" w:type="dxa"/>
            </w:tcMar>
          </w:tcPr>
          <w:p>
            <w:pPr>
              <w:jc w:val="left"/>
            </w:pPr>
            <w:r/>
            <w:r>
              <w:rPr>
                <w:rFonts w:ascii="Calibri" w:hAnsi="Calibri"/>
                <w:b w:val="0"/>
                <w:sz w:val="17"/>
              </w:rPr>
              <w:t>0.622</w:t>
            </w:r>
          </w:p>
        </w:tc>
      </w:tr>
      <w:tr>
        <w:trPr>
          <w:cantSplit/>
        </w:trPr>
        <w:tc>
          <w:tcPr>
            <w:tcW w:type="dxa" w:w="1238"/>
            <w:vAlign w:val="center"/>
            <w:tcMar>
              <w:top w:w="80" w:type="dxa"/>
              <w:start w:w="100" w:type="dxa"/>
              <w:bottom w:w="80" w:type="dxa"/>
              <w:end w:w="100" w:type="dxa"/>
            </w:tcMar>
          </w:tcPr>
          <w:p>
            <w:pPr>
              <w:jc w:val="left"/>
            </w:pPr>
            <w:r/>
            <w:r>
              <w:rPr>
                <w:rFonts w:ascii="Calibri" w:hAnsi="Calibri"/>
                <w:b w:val="0"/>
                <w:sz w:val="17"/>
              </w:rPr>
              <w:t>28-day mortality</w:t>
            </w:r>
          </w:p>
        </w:tc>
        <w:tc>
          <w:tcPr>
            <w:tcW w:type="dxa" w:w="1728"/>
            <w:vAlign w:val="center"/>
            <w:tcMar>
              <w:top w:w="80" w:type="dxa"/>
              <w:start w:w="100" w:type="dxa"/>
              <w:bottom w:w="80" w:type="dxa"/>
              <w:end w:w="100" w:type="dxa"/>
            </w:tcMar>
          </w:tcPr>
          <w:p>
            <w:pPr>
              <w:jc w:val="left"/>
            </w:pPr>
            <w:r/>
            <w:r>
              <w:rPr>
                <w:rFonts w:ascii="Calibri" w:hAnsi="Calibri"/>
                <w:b w:val="0"/>
                <w:sz w:val="17"/>
              </w:rPr>
              <w:t>Congestive heart failure</w:t>
            </w:r>
          </w:p>
        </w:tc>
        <w:tc>
          <w:tcPr>
            <w:tcW w:type="dxa" w:w="1555"/>
            <w:vAlign w:val="center"/>
            <w:tcMar>
              <w:top w:w="80" w:type="dxa"/>
              <w:start w:w="100" w:type="dxa"/>
              <w:bottom w:w="80" w:type="dxa"/>
              <w:end w:w="100" w:type="dxa"/>
            </w:tcMar>
          </w:tcPr>
          <w:p>
            <w:pPr>
              <w:jc w:val="left"/>
            </w:pPr>
            <w:r/>
            <w:r>
              <w:rPr>
                <w:rFonts w:ascii="Calibri" w:hAnsi="Calibri"/>
                <w:b w:val="0"/>
                <w:sz w:val="17"/>
              </w:rPr>
              <w:t>No</w:t>
            </w:r>
          </w:p>
        </w:tc>
        <w:tc>
          <w:tcPr>
            <w:tcW w:type="dxa" w:w="1066"/>
            <w:vAlign w:val="center"/>
            <w:tcMar>
              <w:top w:w="80" w:type="dxa"/>
              <w:start w:w="100" w:type="dxa"/>
              <w:bottom w:w="80" w:type="dxa"/>
              <w:end w:w="100" w:type="dxa"/>
            </w:tcMar>
          </w:tcPr>
          <w:p>
            <w:pPr>
              <w:jc w:val="left"/>
            </w:pPr>
            <w:r/>
            <w:r>
              <w:rPr>
                <w:rFonts w:ascii="Calibri" w:hAnsi="Calibri"/>
                <w:b w:val="0"/>
                <w:sz w:val="17"/>
              </w:rPr>
              <w:t>1360</w:t>
            </w:r>
          </w:p>
        </w:tc>
        <w:tc>
          <w:tcPr>
            <w:tcW w:type="dxa" w:w="1037"/>
            <w:vAlign w:val="center"/>
            <w:tcMar>
              <w:top w:w="80" w:type="dxa"/>
              <w:start w:w="100" w:type="dxa"/>
              <w:bottom w:w="80" w:type="dxa"/>
              <w:end w:w="100" w:type="dxa"/>
            </w:tcMar>
          </w:tcPr>
          <w:p>
            <w:pPr>
              <w:jc w:val="left"/>
            </w:pPr>
            <w:r/>
            <w:r>
              <w:rPr>
                <w:rFonts w:ascii="Calibri" w:hAnsi="Calibri"/>
                <w:b w:val="0"/>
                <w:sz w:val="17"/>
              </w:rPr>
              <w:t>250</w:t>
            </w:r>
          </w:p>
        </w:tc>
        <w:tc>
          <w:tcPr>
            <w:tcW w:type="dxa" w:w="2448"/>
            <w:vAlign w:val="center"/>
            <w:tcMar>
              <w:top w:w="80" w:type="dxa"/>
              <w:start w:w="100" w:type="dxa"/>
              <w:bottom w:w="80" w:type="dxa"/>
              <w:end w:w="100" w:type="dxa"/>
            </w:tcMar>
          </w:tcPr>
          <w:p>
            <w:pPr>
              <w:jc w:val="left"/>
            </w:pPr>
            <w:r/>
            <w:r>
              <w:rPr>
                <w:rFonts w:ascii="Calibri" w:hAnsi="Calibri"/>
                <w:b w:val="0"/>
                <w:sz w:val="17"/>
              </w:rPr>
              <w:t>0.97 (0.59-1.58); P=0.899</w:t>
            </w:r>
          </w:p>
        </w:tc>
        <w:tc>
          <w:tcPr>
            <w:tcW w:type="dxa" w:w="2664"/>
            <w:vAlign w:val="center"/>
            <w:tcMar>
              <w:top w:w="80" w:type="dxa"/>
              <w:start w:w="100" w:type="dxa"/>
              <w:bottom w:w="80" w:type="dxa"/>
              <w:end w:w="100" w:type="dxa"/>
            </w:tcMar>
          </w:tcPr>
          <w:p>
            <w:pPr>
              <w:jc w:val="left"/>
            </w:pPr>
            <w:r/>
            <w:r>
              <w:rPr>
                <w:rFonts w:ascii="Calibri" w:hAnsi="Calibri"/>
                <w:b w:val="0"/>
                <w:sz w:val="17"/>
              </w:rPr>
              <w:t>1.44 (0.94-2.21); P=0.094</w:t>
            </w:r>
          </w:p>
        </w:tc>
        <w:tc>
          <w:tcPr>
            <w:tcW w:type="dxa" w:w="1066"/>
            <w:vAlign w:val="center"/>
            <w:tcMar>
              <w:top w:w="80" w:type="dxa"/>
              <w:start w:w="100" w:type="dxa"/>
              <w:bottom w:w="80" w:type="dxa"/>
              <w:end w:w="100" w:type="dxa"/>
            </w:tcMar>
          </w:tcPr>
          <w:p>
            <w:pPr>
              <w:jc w:val="left"/>
            </w:pPr>
            <w:r/>
            <w:r>
              <w:rPr>
                <w:rFonts w:ascii="Calibri" w:hAnsi="Calibri"/>
                <w:b w:val="0"/>
                <w:sz w:val="17"/>
              </w:rPr>
              <w:t>0.703</w:t>
            </w:r>
          </w:p>
        </w:tc>
      </w:tr>
      <w:tr>
        <w:trPr>
          <w:cantSplit/>
        </w:trPr>
        <w:tc>
          <w:tcPr>
            <w:tcW w:type="dxa" w:w="1238"/>
            <w:vAlign w:val="center"/>
            <w:tcMar>
              <w:top w:w="80" w:type="dxa"/>
              <w:start w:w="100" w:type="dxa"/>
              <w:bottom w:w="80" w:type="dxa"/>
              <w:end w:w="100" w:type="dxa"/>
            </w:tcMar>
          </w:tcPr>
          <w:p>
            <w:pPr>
              <w:jc w:val="left"/>
            </w:pPr>
            <w:r/>
            <w:r>
              <w:rPr>
                <w:rFonts w:ascii="Calibri" w:hAnsi="Calibri"/>
                <w:b w:val="0"/>
                <w:sz w:val="17"/>
              </w:rPr>
              <w:t>28-day mortality</w:t>
            </w:r>
          </w:p>
        </w:tc>
        <w:tc>
          <w:tcPr>
            <w:tcW w:type="dxa" w:w="1728"/>
            <w:vAlign w:val="center"/>
            <w:tcMar>
              <w:top w:w="80" w:type="dxa"/>
              <w:start w:w="100" w:type="dxa"/>
              <w:bottom w:w="80" w:type="dxa"/>
              <w:end w:w="100" w:type="dxa"/>
            </w:tcMar>
          </w:tcPr>
          <w:p>
            <w:pPr>
              <w:jc w:val="left"/>
            </w:pPr>
            <w:r/>
            <w:r>
              <w:rPr>
                <w:rFonts w:ascii="Calibri" w:hAnsi="Calibri"/>
                <w:b w:val="0"/>
                <w:sz w:val="17"/>
              </w:rPr>
              <w:t>Congestive heart failure</w:t>
            </w:r>
          </w:p>
        </w:tc>
        <w:tc>
          <w:tcPr>
            <w:tcW w:type="dxa" w:w="1555"/>
            <w:vAlign w:val="center"/>
            <w:tcMar>
              <w:top w:w="80" w:type="dxa"/>
              <w:start w:w="100" w:type="dxa"/>
              <w:bottom w:w="80" w:type="dxa"/>
              <w:end w:w="100" w:type="dxa"/>
            </w:tcMar>
          </w:tcPr>
          <w:p>
            <w:pPr>
              <w:jc w:val="left"/>
            </w:pPr>
            <w:r/>
            <w:r>
              <w:rPr>
                <w:rFonts w:ascii="Calibri" w:hAnsi="Calibri"/>
                <w:b w:val="0"/>
                <w:sz w:val="17"/>
              </w:rPr>
              <w:t>Yes</w:t>
            </w:r>
          </w:p>
        </w:tc>
        <w:tc>
          <w:tcPr>
            <w:tcW w:type="dxa" w:w="1066"/>
            <w:vAlign w:val="center"/>
            <w:tcMar>
              <w:top w:w="80" w:type="dxa"/>
              <w:start w:w="100" w:type="dxa"/>
              <w:bottom w:w="80" w:type="dxa"/>
              <w:end w:w="100" w:type="dxa"/>
            </w:tcMar>
          </w:tcPr>
          <w:p>
            <w:pPr>
              <w:jc w:val="left"/>
            </w:pPr>
            <w:r/>
            <w:r>
              <w:rPr>
                <w:rFonts w:ascii="Calibri" w:hAnsi="Calibri"/>
                <w:b w:val="0"/>
                <w:sz w:val="17"/>
              </w:rPr>
              <w:t>2081</w:t>
            </w:r>
          </w:p>
        </w:tc>
        <w:tc>
          <w:tcPr>
            <w:tcW w:type="dxa" w:w="1037"/>
            <w:vAlign w:val="center"/>
            <w:tcMar>
              <w:top w:w="80" w:type="dxa"/>
              <w:start w:w="100" w:type="dxa"/>
              <w:bottom w:w="80" w:type="dxa"/>
              <w:end w:w="100" w:type="dxa"/>
            </w:tcMar>
          </w:tcPr>
          <w:p>
            <w:pPr>
              <w:jc w:val="left"/>
            </w:pPr>
            <w:r/>
            <w:r>
              <w:rPr>
                <w:rFonts w:ascii="Calibri" w:hAnsi="Calibri"/>
                <w:b w:val="0"/>
                <w:sz w:val="17"/>
              </w:rPr>
              <w:t>480</w:t>
            </w:r>
          </w:p>
        </w:tc>
        <w:tc>
          <w:tcPr>
            <w:tcW w:type="dxa" w:w="2448"/>
            <w:vAlign w:val="center"/>
            <w:tcMar>
              <w:top w:w="80" w:type="dxa"/>
              <w:start w:w="100" w:type="dxa"/>
              <w:bottom w:w="80" w:type="dxa"/>
              <w:end w:w="100" w:type="dxa"/>
            </w:tcMar>
          </w:tcPr>
          <w:p>
            <w:pPr>
              <w:jc w:val="left"/>
            </w:pPr>
            <w:r/>
            <w:r>
              <w:rPr>
                <w:rFonts w:ascii="Calibri" w:hAnsi="Calibri"/>
                <w:b w:val="0"/>
                <w:sz w:val="17"/>
              </w:rPr>
              <w:t>0.95 (0.62-1.45); P=0.802</w:t>
            </w:r>
          </w:p>
        </w:tc>
        <w:tc>
          <w:tcPr>
            <w:tcW w:type="dxa" w:w="2664"/>
            <w:vAlign w:val="center"/>
            <w:tcMar>
              <w:top w:w="80" w:type="dxa"/>
              <w:start w:w="100" w:type="dxa"/>
              <w:bottom w:w="80" w:type="dxa"/>
              <w:end w:w="100" w:type="dxa"/>
            </w:tcMar>
          </w:tcPr>
          <w:p>
            <w:pPr>
              <w:jc w:val="left"/>
            </w:pPr>
            <w:r/>
            <w:r>
              <w:rPr>
                <w:rFonts w:ascii="Calibri" w:hAnsi="Calibri"/>
                <w:b w:val="0"/>
                <w:sz w:val="17"/>
              </w:rPr>
              <w:t>1.69 (1.15-2.48); P=0.007</w:t>
            </w:r>
          </w:p>
        </w:tc>
        <w:tc>
          <w:tcPr>
            <w:tcW w:type="dxa" w:w="1066"/>
            <w:vAlign w:val="center"/>
            <w:tcMar>
              <w:top w:w="80" w:type="dxa"/>
              <w:start w:w="100" w:type="dxa"/>
              <w:bottom w:w="80" w:type="dxa"/>
              <w:end w:w="100" w:type="dxa"/>
            </w:tcMar>
          </w:tcPr>
          <w:p>
            <w:pPr>
              <w:jc w:val="left"/>
            </w:pPr>
            <w:r/>
            <w:r>
              <w:rPr>
                <w:rFonts w:ascii="Calibri" w:hAnsi="Calibri"/>
                <w:b w:val="0"/>
                <w:sz w:val="17"/>
              </w:rPr>
              <w:t>0.703</w:t>
            </w:r>
          </w:p>
        </w:tc>
      </w:tr>
      <w:tr>
        <w:trPr>
          <w:cantSplit/>
        </w:trPr>
        <w:tc>
          <w:tcPr>
            <w:tcW w:type="dxa" w:w="1238"/>
            <w:vAlign w:val="center"/>
            <w:tcMar>
              <w:top w:w="80" w:type="dxa"/>
              <w:start w:w="100" w:type="dxa"/>
              <w:bottom w:w="80" w:type="dxa"/>
              <w:end w:w="100" w:type="dxa"/>
            </w:tcMar>
          </w:tcPr>
          <w:p>
            <w:pPr>
              <w:jc w:val="left"/>
            </w:pPr>
            <w:r/>
            <w:r>
              <w:rPr>
                <w:rFonts w:ascii="Calibri" w:hAnsi="Calibri"/>
                <w:b w:val="0"/>
                <w:sz w:val="17"/>
              </w:rPr>
              <w:t>28-day mortality</w:t>
            </w:r>
          </w:p>
        </w:tc>
        <w:tc>
          <w:tcPr>
            <w:tcW w:type="dxa" w:w="1728"/>
            <w:vAlign w:val="center"/>
            <w:tcMar>
              <w:top w:w="80" w:type="dxa"/>
              <w:start w:w="100" w:type="dxa"/>
              <w:bottom w:w="80" w:type="dxa"/>
              <w:end w:w="100" w:type="dxa"/>
            </w:tcMar>
          </w:tcPr>
          <w:p>
            <w:pPr>
              <w:jc w:val="left"/>
            </w:pPr>
            <w:r/>
            <w:r>
              <w:rPr>
                <w:rFonts w:ascii="Calibri" w:hAnsi="Calibri"/>
                <w:b w:val="0"/>
                <w:sz w:val="17"/>
              </w:rPr>
              <w:t>Chronic renal disease</w:t>
            </w:r>
          </w:p>
        </w:tc>
        <w:tc>
          <w:tcPr>
            <w:tcW w:type="dxa" w:w="1555"/>
            <w:vAlign w:val="center"/>
            <w:tcMar>
              <w:top w:w="80" w:type="dxa"/>
              <w:start w:w="100" w:type="dxa"/>
              <w:bottom w:w="80" w:type="dxa"/>
              <w:end w:w="100" w:type="dxa"/>
            </w:tcMar>
          </w:tcPr>
          <w:p>
            <w:pPr>
              <w:jc w:val="left"/>
            </w:pPr>
            <w:r/>
            <w:r>
              <w:rPr>
                <w:rFonts w:ascii="Calibri" w:hAnsi="Calibri"/>
                <w:b w:val="0"/>
                <w:sz w:val="17"/>
              </w:rPr>
              <w:t>No</w:t>
            </w:r>
          </w:p>
        </w:tc>
        <w:tc>
          <w:tcPr>
            <w:tcW w:type="dxa" w:w="1066"/>
            <w:vAlign w:val="center"/>
            <w:tcMar>
              <w:top w:w="80" w:type="dxa"/>
              <w:start w:w="100" w:type="dxa"/>
              <w:bottom w:w="80" w:type="dxa"/>
              <w:end w:w="100" w:type="dxa"/>
            </w:tcMar>
          </w:tcPr>
          <w:p>
            <w:pPr>
              <w:jc w:val="left"/>
            </w:pPr>
            <w:r/>
            <w:r>
              <w:rPr>
                <w:rFonts w:ascii="Calibri" w:hAnsi="Calibri"/>
                <w:b w:val="0"/>
                <w:sz w:val="17"/>
              </w:rPr>
              <w:t>2198</w:t>
            </w:r>
          </w:p>
        </w:tc>
        <w:tc>
          <w:tcPr>
            <w:tcW w:type="dxa" w:w="1037"/>
            <w:vAlign w:val="center"/>
            <w:tcMar>
              <w:top w:w="80" w:type="dxa"/>
              <w:start w:w="100" w:type="dxa"/>
              <w:bottom w:w="80" w:type="dxa"/>
              <w:end w:w="100" w:type="dxa"/>
            </w:tcMar>
          </w:tcPr>
          <w:p>
            <w:pPr>
              <w:jc w:val="left"/>
            </w:pPr>
            <w:r/>
            <w:r>
              <w:rPr>
                <w:rFonts w:ascii="Calibri" w:hAnsi="Calibri"/>
                <w:b w:val="0"/>
                <w:sz w:val="17"/>
              </w:rPr>
              <w:t>424</w:t>
            </w:r>
          </w:p>
        </w:tc>
        <w:tc>
          <w:tcPr>
            <w:tcW w:type="dxa" w:w="2448"/>
            <w:vAlign w:val="center"/>
            <w:tcMar>
              <w:top w:w="80" w:type="dxa"/>
              <w:start w:w="100" w:type="dxa"/>
              <w:bottom w:w="80" w:type="dxa"/>
              <w:end w:w="100" w:type="dxa"/>
            </w:tcMar>
          </w:tcPr>
          <w:p>
            <w:pPr>
              <w:jc w:val="left"/>
            </w:pPr>
            <w:r/>
            <w:r>
              <w:rPr>
                <w:rFonts w:ascii="Calibri" w:hAnsi="Calibri"/>
                <w:b w:val="0"/>
                <w:sz w:val="17"/>
              </w:rPr>
              <w:t>0.81 (0.55-1.20); P=0.298</w:t>
            </w:r>
          </w:p>
        </w:tc>
        <w:tc>
          <w:tcPr>
            <w:tcW w:type="dxa" w:w="2664"/>
            <w:vAlign w:val="center"/>
            <w:tcMar>
              <w:top w:w="80" w:type="dxa"/>
              <w:start w:w="100" w:type="dxa"/>
              <w:bottom w:w="80" w:type="dxa"/>
              <w:end w:w="100" w:type="dxa"/>
            </w:tcMar>
          </w:tcPr>
          <w:p>
            <w:pPr>
              <w:jc w:val="left"/>
            </w:pPr>
            <w:r/>
            <w:r>
              <w:rPr>
                <w:rFonts w:ascii="Calibri" w:hAnsi="Calibri"/>
                <w:b w:val="0"/>
                <w:sz w:val="17"/>
              </w:rPr>
              <w:t>1.53 (1.10-2.13); P=0.012</w:t>
            </w:r>
          </w:p>
        </w:tc>
        <w:tc>
          <w:tcPr>
            <w:tcW w:type="dxa" w:w="1066"/>
            <w:vAlign w:val="center"/>
            <w:tcMar>
              <w:top w:w="80" w:type="dxa"/>
              <w:start w:w="100" w:type="dxa"/>
              <w:bottom w:w="80" w:type="dxa"/>
              <w:end w:w="100" w:type="dxa"/>
            </w:tcMar>
          </w:tcPr>
          <w:p>
            <w:pPr>
              <w:jc w:val="left"/>
            </w:pPr>
            <w:r/>
            <w:r>
              <w:rPr>
                <w:rFonts w:ascii="Calibri" w:hAnsi="Calibri"/>
                <w:b w:val="0"/>
                <w:sz w:val="17"/>
              </w:rPr>
              <w:t>0.318</w:t>
            </w:r>
          </w:p>
        </w:tc>
      </w:tr>
      <w:tr>
        <w:trPr>
          <w:cantSplit/>
        </w:trPr>
        <w:tc>
          <w:tcPr>
            <w:tcW w:type="dxa" w:w="1238"/>
            <w:vAlign w:val="center"/>
            <w:tcMar>
              <w:top w:w="80" w:type="dxa"/>
              <w:start w:w="100" w:type="dxa"/>
              <w:bottom w:w="80" w:type="dxa"/>
              <w:end w:w="100" w:type="dxa"/>
            </w:tcMar>
          </w:tcPr>
          <w:p>
            <w:pPr>
              <w:jc w:val="left"/>
            </w:pPr>
            <w:r/>
            <w:r>
              <w:rPr>
                <w:rFonts w:ascii="Calibri" w:hAnsi="Calibri"/>
                <w:b w:val="0"/>
                <w:sz w:val="17"/>
              </w:rPr>
              <w:t>28-day mortality</w:t>
            </w:r>
          </w:p>
        </w:tc>
        <w:tc>
          <w:tcPr>
            <w:tcW w:type="dxa" w:w="1728"/>
            <w:vAlign w:val="center"/>
            <w:tcMar>
              <w:top w:w="80" w:type="dxa"/>
              <w:start w:w="100" w:type="dxa"/>
              <w:bottom w:w="80" w:type="dxa"/>
              <w:end w:w="100" w:type="dxa"/>
            </w:tcMar>
          </w:tcPr>
          <w:p>
            <w:pPr>
              <w:jc w:val="left"/>
            </w:pPr>
            <w:r/>
            <w:r>
              <w:rPr>
                <w:rFonts w:ascii="Calibri" w:hAnsi="Calibri"/>
                <w:b w:val="0"/>
                <w:sz w:val="17"/>
              </w:rPr>
              <w:t>Chronic renal disease</w:t>
            </w:r>
          </w:p>
        </w:tc>
        <w:tc>
          <w:tcPr>
            <w:tcW w:type="dxa" w:w="1555"/>
            <w:vAlign w:val="center"/>
            <w:tcMar>
              <w:top w:w="80" w:type="dxa"/>
              <w:start w:w="100" w:type="dxa"/>
              <w:bottom w:w="80" w:type="dxa"/>
              <w:end w:w="100" w:type="dxa"/>
            </w:tcMar>
          </w:tcPr>
          <w:p>
            <w:pPr>
              <w:jc w:val="left"/>
            </w:pPr>
            <w:r/>
            <w:r>
              <w:rPr>
                <w:rFonts w:ascii="Calibri" w:hAnsi="Calibri"/>
                <w:b w:val="0"/>
                <w:sz w:val="17"/>
              </w:rPr>
              <w:t>Yes</w:t>
            </w:r>
          </w:p>
        </w:tc>
        <w:tc>
          <w:tcPr>
            <w:tcW w:type="dxa" w:w="1066"/>
            <w:vAlign w:val="center"/>
            <w:tcMar>
              <w:top w:w="80" w:type="dxa"/>
              <w:start w:w="100" w:type="dxa"/>
              <w:bottom w:w="80" w:type="dxa"/>
              <w:end w:w="100" w:type="dxa"/>
            </w:tcMar>
          </w:tcPr>
          <w:p>
            <w:pPr>
              <w:jc w:val="left"/>
            </w:pPr>
            <w:r/>
            <w:r>
              <w:rPr>
                <w:rFonts w:ascii="Calibri" w:hAnsi="Calibri"/>
                <w:b w:val="0"/>
                <w:sz w:val="17"/>
              </w:rPr>
              <w:t>1243</w:t>
            </w:r>
          </w:p>
        </w:tc>
        <w:tc>
          <w:tcPr>
            <w:tcW w:type="dxa" w:w="1037"/>
            <w:vAlign w:val="center"/>
            <w:tcMar>
              <w:top w:w="80" w:type="dxa"/>
              <w:start w:w="100" w:type="dxa"/>
              <w:bottom w:w="80" w:type="dxa"/>
              <w:end w:w="100" w:type="dxa"/>
            </w:tcMar>
          </w:tcPr>
          <w:p>
            <w:pPr>
              <w:jc w:val="left"/>
            </w:pPr>
            <w:r/>
            <w:r>
              <w:rPr>
                <w:rFonts w:ascii="Calibri" w:hAnsi="Calibri"/>
                <w:b w:val="0"/>
                <w:sz w:val="17"/>
              </w:rPr>
              <w:t>306</w:t>
            </w:r>
          </w:p>
        </w:tc>
        <w:tc>
          <w:tcPr>
            <w:tcW w:type="dxa" w:w="2448"/>
            <w:vAlign w:val="center"/>
            <w:tcMar>
              <w:top w:w="80" w:type="dxa"/>
              <w:start w:w="100" w:type="dxa"/>
              <w:bottom w:w="80" w:type="dxa"/>
              <w:end w:w="100" w:type="dxa"/>
            </w:tcMar>
          </w:tcPr>
          <w:p>
            <w:pPr>
              <w:jc w:val="left"/>
            </w:pPr>
            <w:r/>
            <w:r>
              <w:rPr>
                <w:rFonts w:ascii="Calibri" w:hAnsi="Calibri"/>
                <w:b w:val="0"/>
                <w:sz w:val="17"/>
              </w:rPr>
              <w:t>1.23 (0.68-2.23); P=0.489</w:t>
            </w:r>
          </w:p>
        </w:tc>
        <w:tc>
          <w:tcPr>
            <w:tcW w:type="dxa" w:w="2664"/>
            <w:vAlign w:val="center"/>
            <w:tcMar>
              <w:top w:w="80" w:type="dxa"/>
              <w:start w:w="100" w:type="dxa"/>
              <w:bottom w:w="80" w:type="dxa"/>
              <w:end w:w="100" w:type="dxa"/>
            </w:tcMar>
          </w:tcPr>
          <w:p>
            <w:pPr>
              <w:jc w:val="left"/>
            </w:pPr>
            <w:r/>
            <w:r>
              <w:rPr>
                <w:rFonts w:ascii="Calibri" w:hAnsi="Calibri"/>
                <w:b w:val="0"/>
                <w:sz w:val="17"/>
              </w:rPr>
              <w:t>1.82 (1.05-3.13); P=0.032</w:t>
            </w:r>
          </w:p>
        </w:tc>
        <w:tc>
          <w:tcPr>
            <w:tcW w:type="dxa" w:w="1066"/>
            <w:vAlign w:val="center"/>
            <w:tcMar>
              <w:top w:w="80" w:type="dxa"/>
              <w:start w:w="100" w:type="dxa"/>
              <w:bottom w:w="80" w:type="dxa"/>
              <w:end w:w="100" w:type="dxa"/>
            </w:tcMar>
          </w:tcPr>
          <w:p>
            <w:pPr>
              <w:jc w:val="left"/>
            </w:pPr>
            <w:r/>
            <w:r>
              <w:rPr>
                <w:rFonts w:ascii="Calibri" w:hAnsi="Calibri"/>
                <w:b w:val="0"/>
                <w:sz w:val="17"/>
              </w:rPr>
              <w:t>0.318</w:t>
            </w:r>
          </w:p>
        </w:tc>
      </w:tr>
      <w:tr>
        <w:trPr>
          <w:cantSplit/>
        </w:trPr>
        <w:tc>
          <w:tcPr>
            <w:tcW w:type="dxa" w:w="1238"/>
            <w:vAlign w:val="center"/>
            <w:tcMar>
              <w:top w:w="80" w:type="dxa"/>
              <w:start w:w="100" w:type="dxa"/>
              <w:bottom w:w="80" w:type="dxa"/>
              <w:end w:w="100" w:type="dxa"/>
            </w:tcMar>
          </w:tcPr>
          <w:p>
            <w:pPr>
              <w:jc w:val="left"/>
            </w:pPr>
            <w:r/>
            <w:r>
              <w:rPr>
                <w:rFonts w:ascii="Calibri" w:hAnsi="Calibri"/>
                <w:b w:val="0"/>
                <w:sz w:val="17"/>
              </w:rPr>
              <w:t>28-day mortality</w:t>
            </w:r>
          </w:p>
        </w:tc>
        <w:tc>
          <w:tcPr>
            <w:tcW w:type="dxa" w:w="1728"/>
            <w:vAlign w:val="center"/>
            <w:tcMar>
              <w:top w:w="80" w:type="dxa"/>
              <w:start w:w="100" w:type="dxa"/>
              <w:bottom w:w="80" w:type="dxa"/>
              <w:end w:w="100" w:type="dxa"/>
            </w:tcMar>
          </w:tcPr>
          <w:p>
            <w:pPr>
              <w:jc w:val="left"/>
            </w:pPr>
            <w:r/>
            <w:r>
              <w:rPr>
                <w:rFonts w:ascii="Calibri" w:hAnsi="Calibri"/>
                <w:b w:val="0"/>
                <w:sz w:val="17"/>
              </w:rPr>
              <w:t>Vasoactive drug use within 72 h</w:t>
            </w:r>
          </w:p>
        </w:tc>
        <w:tc>
          <w:tcPr>
            <w:tcW w:type="dxa" w:w="1555"/>
            <w:vAlign w:val="center"/>
            <w:tcMar>
              <w:top w:w="80" w:type="dxa"/>
              <w:start w:w="100" w:type="dxa"/>
              <w:bottom w:w="80" w:type="dxa"/>
              <w:end w:w="100" w:type="dxa"/>
            </w:tcMar>
          </w:tcPr>
          <w:p>
            <w:pPr>
              <w:jc w:val="left"/>
            </w:pPr>
            <w:r/>
            <w:r>
              <w:rPr>
                <w:rFonts w:ascii="Calibri" w:hAnsi="Calibri"/>
                <w:b w:val="0"/>
                <w:sz w:val="17"/>
              </w:rPr>
              <w:t>No</w:t>
            </w:r>
          </w:p>
        </w:tc>
        <w:tc>
          <w:tcPr>
            <w:tcW w:type="dxa" w:w="1066"/>
            <w:vAlign w:val="center"/>
            <w:tcMar>
              <w:top w:w="80" w:type="dxa"/>
              <w:start w:w="100" w:type="dxa"/>
              <w:bottom w:w="80" w:type="dxa"/>
              <w:end w:w="100" w:type="dxa"/>
            </w:tcMar>
          </w:tcPr>
          <w:p>
            <w:pPr>
              <w:jc w:val="left"/>
            </w:pPr>
            <w:r/>
            <w:r>
              <w:rPr>
                <w:rFonts w:ascii="Calibri" w:hAnsi="Calibri"/>
                <w:b w:val="0"/>
                <w:sz w:val="17"/>
              </w:rPr>
              <w:t>1682</w:t>
            </w:r>
          </w:p>
        </w:tc>
        <w:tc>
          <w:tcPr>
            <w:tcW w:type="dxa" w:w="1037"/>
            <w:vAlign w:val="center"/>
            <w:tcMar>
              <w:top w:w="80" w:type="dxa"/>
              <w:start w:w="100" w:type="dxa"/>
              <w:bottom w:w="80" w:type="dxa"/>
              <w:end w:w="100" w:type="dxa"/>
            </w:tcMar>
          </w:tcPr>
          <w:p>
            <w:pPr>
              <w:jc w:val="left"/>
            </w:pPr>
            <w:r/>
            <w:r>
              <w:rPr>
                <w:rFonts w:ascii="Calibri" w:hAnsi="Calibri"/>
                <w:b w:val="0"/>
                <w:sz w:val="17"/>
              </w:rPr>
              <w:t>295</w:t>
            </w:r>
          </w:p>
        </w:tc>
        <w:tc>
          <w:tcPr>
            <w:tcW w:type="dxa" w:w="2448"/>
            <w:vAlign w:val="center"/>
            <w:tcMar>
              <w:top w:w="80" w:type="dxa"/>
              <w:start w:w="100" w:type="dxa"/>
              <w:bottom w:w="80" w:type="dxa"/>
              <w:end w:w="100" w:type="dxa"/>
            </w:tcMar>
          </w:tcPr>
          <w:p>
            <w:pPr>
              <w:jc w:val="left"/>
            </w:pPr>
            <w:r/>
            <w:r>
              <w:rPr>
                <w:rFonts w:ascii="Calibri" w:hAnsi="Calibri"/>
                <w:b w:val="0"/>
                <w:sz w:val="17"/>
              </w:rPr>
              <w:t>0.98 (0.63-1.53); P=0.943</w:t>
            </w:r>
          </w:p>
        </w:tc>
        <w:tc>
          <w:tcPr>
            <w:tcW w:type="dxa" w:w="2664"/>
            <w:vAlign w:val="center"/>
            <w:tcMar>
              <w:top w:w="80" w:type="dxa"/>
              <w:start w:w="100" w:type="dxa"/>
              <w:bottom w:w="80" w:type="dxa"/>
              <w:end w:w="100" w:type="dxa"/>
            </w:tcMar>
          </w:tcPr>
          <w:p>
            <w:pPr>
              <w:jc w:val="left"/>
            </w:pPr>
            <w:r/>
            <w:r>
              <w:rPr>
                <w:rFonts w:ascii="Calibri" w:hAnsi="Calibri"/>
                <w:b w:val="0"/>
                <w:sz w:val="17"/>
              </w:rPr>
              <w:t>1.47 (0.99-2.17); P=0.054</w:t>
            </w:r>
          </w:p>
        </w:tc>
        <w:tc>
          <w:tcPr>
            <w:tcW w:type="dxa" w:w="1066"/>
            <w:vAlign w:val="center"/>
            <w:tcMar>
              <w:top w:w="80" w:type="dxa"/>
              <w:start w:w="100" w:type="dxa"/>
              <w:bottom w:w="80" w:type="dxa"/>
              <w:end w:w="100" w:type="dxa"/>
            </w:tcMar>
          </w:tcPr>
          <w:p>
            <w:pPr>
              <w:jc w:val="left"/>
            </w:pPr>
            <w:r/>
            <w:r>
              <w:rPr>
                <w:rFonts w:ascii="Calibri" w:hAnsi="Calibri"/>
                <w:b w:val="0"/>
                <w:sz w:val="17"/>
              </w:rPr>
              <w:t>0.843</w:t>
            </w:r>
          </w:p>
        </w:tc>
      </w:tr>
      <w:tr>
        <w:trPr>
          <w:cantSplit/>
        </w:trPr>
        <w:tc>
          <w:tcPr>
            <w:tcW w:type="dxa" w:w="1238"/>
            <w:vAlign w:val="center"/>
            <w:tcMar>
              <w:top w:w="80" w:type="dxa"/>
              <w:start w:w="100" w:type="dxa"/>
              <w:bottom w:w="80" w:type="dxa"/>
              <w:end w:w="100" w:type="dxa"/>
            </w:tcMar>
          </w:tcPr>
          <w:p>
            <w:pPr>
              <w:jc w:val="left"/>
            </w:pPr>
            <w:r/>
            <w:r>
              <w:rPr>
                <w:rFonts w:ascii="Calibri" w:hAnsi="Calibri"/>
                <w:b w:val="0"/>
                <w:sz w:val="17"/>
              </w:rPr>
              <w:t>28-day mortality</w:t>
            </w:r>
          </w:p>
        </w:tc>
        <w:tc>
          <w:tcPr>
            <w:tcW w:type="dxa" w:w="1728"/>
            <w:vAlign w:val="center"/>
            <w:tcMar>
              <w:top w:w="80" w:type="dxa"/>
              <w:start w:w="100" w:type="dxa"/>
              <w:bottom w:w="80" w:type="dxa"/>
              <w:end w:w="100" w:type="dxa"/>
            </w:tcMar>
          </w:tcPr>
          <w:p>
            <w:pPr>
              <w:jc w:val="left"/>
            </w:pPr>
            <w:r/>
            <w:r>
              <w:rPr>
                <w:rFonts w:ascii="Calibri" w:hAnsi="Calibri"/>
                <w:b w:val="0"/>
                <w:sz w:val="17"/>
              </w:rPr>
              <w:t>Vasoactive drug use within 72 h</w:t>
            </w:r>
          </w:p>
        </w:tc>
        <w:tc>
          <w:tcPr>
            <w:tcW w:type="dxa" w:w="1555"/>
            <w:vAlign w:val="center"/>
            <w:tcMar>
              <w:top w:w="80" w:type="dxa"/>
              <w:start w:w="100" w:type="dxa"/>
              <w:bottom w:w="80" w:type="dxa"/>
              <w:end w:w="100" w:type="dxa"/>
            </w:tcMar>
          </w:tcPr>
          <w:p>
            <w:pPr>
              <w:jc w:val="left"/>
            </w:pPr>
            <w:r/>
            <w:r>
              <w:rPr>
                <w:rFonts w:ascii="Calibri" w:hAnsi="Calibri"/>
                <w:b w:val="0"/>
                <w:sz w:val="17"/>
              </w:rPr>
              <w:t>Yes</w:t>
            </w:r>
          </w:p>
        </w:tc>
        <w:tc>
          <w:tcPr>
            <w:tcW w:type="dxa" w:w="1066"/>
            <w:vAlign w:val="center"/>
            <w:tcMar>
              <w:top w:w="80" w:type="dxa"/>
              <w:start w:w="100" w:type="dxa"/>
              <w:bottom w:w="80" w:type="dxa"/>
              <w:end w:w="100" w:type="dxa"/>
            </w:tcMar>
          </w:tcPr>
          <w:p>
            <w:pPr>
              <w:jc w:val="left"/>
            </w:pPr>
            <w:r/>
            <w:r>
              <w:rPr>
                <w:rFonts w:ascii="Calibri" w:hAnsi="Calibri"/>
                <w:b w:val="0"/>
                <w:sz w:val="17"/>
              </w:rPr>
              <w:t>1776</w:t>
            </w:r>
          </w:p>
        </w:tc>
        <w:tc>
          <w:tcPr>
            <w:tcW w:type="dxa" w:w="1037"/>
            <w:vAlign w:val="center"/>
            <w:tcMar>
              <w:top w:w="80" w:type="dxa"/>
              <w:start w:w="100" w:type="dxa"/>
              <w:bottom w:w="80" w:type="dxa"/>
              <w:end w:w="100" w:type="dxa"/>
            </w:tcMar>
          </w:tcPr>
          <w:p>
            <w:pPr>
              <w:jc w:val="left"/>
            </w:pPr>
            <w:r/>
            <w:r>
              <w:rPr>
                <w:rFonts w:ascii="Calibri" w:hAnsi="Calibri"/>
                <w:b w:val="0"/>
                <w:sz w:val="17"/>
              </w:rPr>
              <w:t>438</w:t>
            </w:r>
          </w:p>
        </w:tc>
        <w:tc>
          <w:tcPr>
            <w:tcW w:type="dxa" w:w="2448"/>
            <w:vAlign w:val="center"/>
            <w:tcMar>
              <w:top w:w="80" w:type="dxa"/>
              <w:start w:w="100" w:type="dxa"/>
              <w:bottom w:w="80" w:type="dxa"/>
              <w:end w:w="100" w:type="dxa"/>
            </w:tcMar>
          </w:tcPr>
          <w:p>
            <w:pPr>
              <w:jc w:val="left"/>
            </w:pPr>
            <w:r/>
            <w:r>
              <w:rPr>
                <w:rFonts w:ascii="Calibri" w:hAnsi="Calibri"/>
                <w:b w:val="0"/>
                <w:sz w:val="17"/>
              </w:rPr>
              <w:t>0.87 (0.55-1.37); P=0.539</w:t>
            </w:r>
          </w:p>
        </w:tc>
        <w:tc>
          <w:tcPr>
            <w:tcW w:type="dxa" w:w="2664"/>
            <w:vAlign w:val="center"/>
            <w:tcMar>
              <w:top w:w="80" w:type="dxa"/>
              <w:start w:w="100" w:type="dxa"/>
              <w:bottom w:w="80" w:type="dxa"/>
              <w:end w:w="100" w:type="dxa"/>
            </w:tcMar>
          </w:tcPr>
          <w:p>
            <w:pPr>
              <w:jc w:val="left"/>
            </w:pPr>
            <w:r/>
            <w:r>
              <w:rPr>
                <w:rFonts w:ascii="Calibri" w:hAnsi="Calibri"/>
                <w:b w:val="0"/>
                <w:sz w:val="17"/>
              </w:rPr>
              <w:t>1.58 (1.06-2.35); P=0.023</w:t>
            </w:r>
          </w:p>
        </w:tc>
        <w:tc>
          <w:tcPr>
            <w:tcW w:type="dxa" w:w="1066"/>
            <w:vAlign w:val="center"/>
            <w:tcMar>
              <w:top w:w="80" w:type="dxa"/>
              <w:start w:w="100" w:type="dxa"/>
              <w:bottom w:w="80" w:type="dxa"/>
              <w:end w:w="100" w:type="dxa"/>
            </w:tcMar>
          </w:tcPr>
          <w:p>
            <w:pPr>
              <w:jc w:val="left"/>
            </w:pPr>
            <w:r/>
            <w:r>
              <w:rPr>
                <w:rFonts w:ascii="Calibri" w:hAnsi="Calibri"/>
                <w:b w:val="0"/>
                <w:sz w:val="17"/>
              </w:rPr>
              <w:t>0.843</w:t>
            </w:r>
          </w:p>
        </w:tc>
      </w:tr>
      <w:tr>
        <w:trPr>
          <w:cantSplit/>
        </w:trPr>
        <w:tc>
          <w:tcPr>
            <w:tcW w:type="dxa" w:w="1238"/>
            <w:vAlign w:val="center"/>
            <w:tcMar>
              <w:top w:w="80" w:type="dxa"/>
              <w:start w:w="100" w:type="dxa"/>
              <w:bottom w:w="80" w:type="dxa"/>
              <w:end w:w="100" w:type="dxa"/>
            </w:tcMar>
          </w:tcPr>
          <w:p>
            <w:pPr>
              <w:jc w:val="left"/>
            </w:pPr>
            <w:r/>
            <w:r>
              <w:rPr>
                <w:rFonts w:ascii="Calibri" w:hAnsi="Calibri"/>
                <w:b w:val="0"/>
                <w:sz w:val="17"/>
              </w:rPr>
              <w:t>28-day mortality</w:t>
            </w:r>
          </w:p>
        </w:tc>
        <w:tc>
          <w:tcPr>
            <w:tcW w:type="dxa" w:w="1728"/>
            <w:vAlign w:val="center"/>
            <w:tcMar>
              <w:top w:w="80" w:type="dxa"/>
              <w:start w:w="100" w:type="dxa"/>
              <w:bottom w:w="80" w:type="dxa"/>
              <w:end w:w="100" w:type="dxa"/>
            </w:tcMar>
          </w:tcPr>
          <w:p>
            <w:pPr>
              <w:jc w:val="left"/>
            </w:pPr>
            <w:r/>
            <w:r>
              <w:rPr>
                <w:rFonts w:ascii="Calibri" w:hAnsi="Calibri"/>
                <w:b w:val="0"/>
                <w:sz w:val="17"/>
              </w:rPr>
              <w:t>Invasive ventilation within 72 h</w:t>
            </w:r>
          </w:p>
        </w:tc>
        <w:tc>
          <w:tcPr>
            <w:tcW w:type="dxa" w:w="1555"/>
            <w:vAlign w:val="center"/>
            <w:tcMar>
              <w:top w:w="80" w:type="dxa"/>
              <w:start w:w="100" w:type="dxa"/>
              <w:bottom w:w="80" w:type="dxa"/>
              <w:end w:w="100" w:type="dxa"/>
            </w:tcMar>
          </w:tcPr>
          <w:p>
            <w:pPr>
              <w:jc w:val="left"/>
            </w:pPr>
            <w:r/>
            <w:r>
              <w:rPr>
                <w:rFonts w:ascii="Calibri" w:hAnsi="Calibri"/>
                <w:b w:val="0"/>
                <w:sz w:val="17"/>
              </w:rPr>
              <w:t>No</w:t>
            </w:r>
          </w:p>
        </w:tc>
        <w:tc>
          <w:tcPr>
            <w:tcW w:type="dxa" w:w="1066"/>
            <w:vAlign w:val="center"/>
            <w:tcMar>
              <w:top w:w="80" w:type="dxa"/>
              <w:start w:w="100" w:type="dxa"/>
              <w:bottom w:w="80" w:type="dxa"/>
              <w:end w:w="100" w:type="dxa"/>
            </w:tcMar>
          </w:tcPr>
          <w:p>
            <w:pPr>
              <w:jc w:val="left"/>
            </w:pPr>
            <w:r/>
            <w:r>
              <w:rPr>
                <w:rFonts w:ascii="Calibri" w:hAnsi="Calibri"/>
                <w:b w:val="0"/>
                <w:sz w:val="17"/>
              </w:rPr>
              <w:t>1434</w:t>
            </w:r>
          </w:p>
        </w:tc>
        <w:tc>
          <w:tcPr>
            <w:tcW w:type="dxa" w:w="1037"/>
            <w:vAlign w:val="center"/>
            <w:tcMar>
              <w:top w:w="80" w:type="dxa"/>
              <w:start w:w="100" w:type="dxa"/>
              <w:bottom w:w="80" w:type="dxa"/>
              <w:end w:w="100" w:type="dxa"/>
            </w:tcMar>
          </w:tcPr>
          <w:p>
            <w:pPr>
              <w:jc w:val="left"/>
            </w:pPr>
            <w:r/>
            <w:r>
              <w:rPr>
                <w:rFonts w:ascii="Calibri" w:hAnsi="Calibri"/>
                <w:b w:val="0"/>
                <w:sz w:val="17"/>
              </w:rPr>
              <w:t>247</w:t>
            </w:r>
          </w:p>
        </w:tc>
        <w:tc>
          <w:tcPr>
            <w:tcW w:type="dxa" w:w="2448"/>
            <w:vAlign w:val="center"/>
            <w:tcMar>
              <w:top w:w="80" w:type="dxa"/>
              <w:start w:w="100" w:type="dxa"/>
              <w:bottom w:w="80" w:type="dxa"/>
              <w:end w:w="100" w:type="dxa"/>
            </w:tcMar>
          </w:tcPr>
          <w:p>
            <w:pPr>
              <w:jc w:val="left"/>
            </w:pPr>
            <w:r/>
            <w:r>
              <w:rPr>
                <w:rFonts w:ascii="Calibri" w:hAnsi="Calibri"/>
                <w:b w:val="0"/>
                <w:sz w:val="17"/>
              </w:rPr>
              <w:t>0.89 (0.57-1.41); P=0.634</w:t>
            </w:r>
          </w:p>
        </w:tc>
        <w:tc>
          <w:tcPr>
            <w:tcW w:type="dxa" w:w="2664"/>
            <w:vAlign w:val="center"/>
            <w:tcMar>
              <w:top w:w="80" w:type="dxa"/>
              <w:start w:w="100" w:type="dxa"/>
              <w:bottom w:w="80" w:type="dxa"/>
              <w:end w:w="100" w:type="dxa"/>
            </w:tcMar>
          </w:tcPr>
          <w:p>
            <w:pPr>
              <w:jc w:val="left"/>
            </w:pPr>
            <w:r/>
            <w:r>
              <w:rPr>
                <w:rFonts w:ascii="Calibri" w:hAnsi="Calibri"/>
                <w:b w:val="0"/>
                <w:sz w:val="17"/>
              </w:rPr>
              <w:t>1.32 (0.88-1.98); P=0.182</w:t>
            </w:r>
          </w:p>
        </w:tc>
        <w:tc>
          <w:tcPr>
            <w:tcW w:type="dxa" w:w="1066"/>
            <w:vAlign w:val="center"/>
            <w:tcMar>
              <w:top w:w="80" w:type="dxa"/>
              <w:start w:w="100" w:type="dxa"/>
              <w:bottom w:w="80" w:type="dxa"/>
              <w:end w:w="100" w:type="dxa"/>
            </w:tcMar>
          </w:tcPr>
          <w:p>
            <w:pPr>
              <w:jc w:val="left"/>
            </w:pPr>
            <w:r/>
            <w:r>
              <w:rPr>
                <w:rFonts w:ascii="Calibri" w:hAnsi="Calibri"/>
                <w:b w:val="0"/>
                <w:sz w:val="17"/>
              </w:rPr>
              <w:t>0.700</w:t>
            </w:r>
          </w:p>
        </w:tc>
      </w:tr>
      <w:tr>
        <w:trPr>
          <w:cantSplit/>
        </w:trPr>
        <w:tc>
          <w:tcPr>
            <w:tcW w:type="dxa" w:w="1238"/>
            <w:vAlign w:val="center"/>
            <w:tcMar>
              <w:top w:w="80" w:type="dxa"/>
              <w:start w:w="100" w:type="dxa"/>
              <w:bottom w:w="80" w:type="dxa"/>
              <w:end w:w="100" w:type="dxa"/>
            </w:tcMar>
          </w:tcPr>
          <w:p>
            <w:pPr>
              <w:jc w:val="left"/>
            </w:pPr>
            <w:r/>
            <w:r>
              <w:rPr>
                <w:rFonts w:ascii="Calibri" w:hAnsi="Calibri"/>
                <w:b w:val="0"/>
                <w:sz w:val="17"/>
              </w:rPr>
              <w:t>28-day mortality</w:t>
            </w:r>
          </w:p>
        </w:tc>
        <w:tc>
          <w:tcPr>
            <w:tcW w:type="dxa" w:w="1728"/>
            <w:vAlign w:val="center"/>
            <w:tcMar>
              <w:top w:w="80" w:type="dxa"/>
              <w:start w:w="100" w:type="dxa"/>
              <w:bottom w:w="80" w:type="dxa"/>
              <w:end w:w="100" w:type="dxa"/>
            </w:tcMar>
          </w:tcPr>
          <w:p>
            <w:pPr>
              <w:jc w:val="left"/>
            </w:pPr>
            <w:r/>
            <w:r>
              <w:rPr>
                <w:rFonts w:ascii="Calibri" w:hAnsi="Calibri"/>
                <w:b w:val="0"/>
                <w:sz w:val="17"/>
              </w:rPr>
              <w:t>Invasive ventilation within 72 h</w:t>
            </w:r>
          </w:p>
        </w:tc>
        <w:tc>
          <w:tcPr>
            <w:tcW w:type="dxa" w:w="1555"/>
            <w:vAlign w:val="center"/>
            <w:tcMar>
              <w:top w:w="80" w:type="dxa"/>
              <w:start w:w="100" w:type="dxa"/>
              <w:bottom w:w="80" w:type="dxa"/>
              <w:end w:w="100" w:type="dxa"/>
            </w:tcMar>
          </w:tcPr>
          <w:p>
            <w:pPr>
              <w:jc w:val="left"/>
            </w:pPr>
            <w:r/>
            <w:r>
              <w:rPr>
                <w:rFonts w:ascii="Calibri" w:hAnsi="Calibri"/>
                <w:b w:val="0"/>
                <w:sz w:val="17"/>
              </w:rPr>
              <w:t>Yes</w:t>
            </w:r>
          </w:p>
        </w:tc>
        <w:tc>
          <w:tcPr>
            <w:tcW w:type="dxa" w:w="1066"/>
            <w:vAlign w:val="center"/>
            <w:tcMar>
              <w:top w:w="80" w:type="dxa"/>
              <w:start w:w="100" w:type="dxa"/>
              <w:bottom w:w="80" w:type="dxa"/>
              <w:end w:w="100" w:type="dxa"/>
            </w:tcMar>
          </w:tcPr>
          <w:p>
            <w:pPr>
              <w:jc w:val="left"/>
            </w:pPr>
            <w:r/>
            <w:r>
              <w:rPr>
                <w:rFonts w:ascii="Calibri" w:hAnsi="Calibri"/>
                <w:b w:val="0"/>
                <w:sz w:val="17"/>
              </w:rPr>
              <w:t>2024</w:t>
            </w:r>
          </w:p>
        </w:tc>
        <w:tc>
          <w:tcPr>
            <w:tcW w:type="dxa" w:w="1037"/>
            <w:vAlign w:val="center"/>
            <w:tcMar>
              <w:top w:w="80" w:type="dxa"/>
              <w:start w:w="100" w:type="dxa"/>
              <w:bottom w:w="80" w:type="dxa"/>
              <w:end w:w="100" w:type="dxa"/>
            </w:tcMar>
          </w:tcPr>
          <w:p>
            <w:pPr>
              <w:jc w:val="left"/>
            </w:pPr>
            <w:r/>
            <w:r>
              <w:rPr>
                <w:rFonts w:ascii="Calibri" w:hAnsi="Calibri"/>
                <w:b w:val="0"/>
                <w:sz w:val="17"/>
              </w:rPr>
              <w:t>486</w:t>
            </w:r>
          </w:p>
        </w:tc>
        <w:tc>
          <w:tcPr>
            <w:tcW w:type="dxa" w:w="2448"/>
            <w:vAlign w:val="center"/>
            <w:tcMar>
              <w:top w:w="80" w:type="dxa"/>
              <w:start w:w="100" w:type="dxa"/>
              <w:bottom w:w="80" w:type="dxa"/>
              <w:end w:w="100" w:type="dxa"/>
            </w:tcMar>
          </w:tcPr>
          <w:p>
            <w:pPr>
              <w:jc w:val="left"/>
            </w:pPr>
            <w:r/>
            <w:r>
              <w:rPr>
                <w:rFonts w:ascii="Calibri" w:hAnsi="Calibri"/>
                <w:b w:val="0"/>
                <w:sz w:val="17"/>
              </w:rPr>
              <w:t>0.93 (0.60-1.44); P=0.732</w:t>
            </w:r>
          </w:p>
        </w:tc>
        <w:tc>
          <w:tcPr>
            <w:tcW w:type="dxa" w:w="2664"/>
            <w:vAlign w:val="center"/>
            <w:tcMar>
              <w:top w:w="80" w:type="dxa"/>
              <w:start w:w="100" w:type="dxa"/>
              <w:bottom w:w="80" w:type="dxa"/>
              <w:end w:w="100" w:type="dxa"/>
            </w:tcMar>
          </w:tcPr>
          <w:p>
            <w:pPr>
              <w:jc w:val="left"/>
            </w:pPr>
            <w:r/>
            <w:r>
              <w:rPr>
                <w:rFonts w:ascii="Calibri" w:hAnsi="Calibri"/>
                <w:b w:val="0"/>
                <w:sz w:val="17"/>
              </w:rPr>
              <w:t>1.69 (1.15-2.48); P=0.007</w:t>
            </w:r>
          </w:p>
        </w:tc>
        <w:tc>
          <w:tcPr>
            <w:tcW w:type="dxa" w:w="1066"/>
            <w:vAlign w:val="center"/>
            <w:tcMar>
              <w:top w:w="80" w:type="dxa"/>
              <w:start w:w="100" w:type="dxa"/>
              <w:bottom w:w="80" w:type="dxa"/>
              <w:end w:w="100" w:type="dxa"/>
            </w:tcMar>
          </w:tcPr>
          <w:p>
            <w:pPr>
              <w:jc w:val="left"/>
            </w:pPr>
            <w:r/>
            <w:r>
              <w:rPr>
                <w:rFonts w:ascii="Calibri" w:hAnsi="Calibri"/>
                <w:b w:val="0"/>
                <w:sz w:val="17"/>
              </w:rPr>
              <w:t>0.700</w:t>
            </w:r>
          </w:p>
        </w:tc>
      </w:tr>
      <w:tr>
        <w:trPr>
          <w:cantSplit/>
        </w:trPr>
        <w:tc>
          <w:tcPr>
            <w:tcW w:type="dxa" w:w="1238"/>
            <w:vAlign w:val="center"/>
            <w:tcMar>
              <w:top w:w="80" w:type="dxa"/>
              <w:start w:w="100" w:type="dxa"/>
              <w:bottom w:w="80" w:type="dxa"/>
              <w:end w:w="100" w:type="dxa"/>
            </w:tcMar>
          </w:tcPr>
          <w:p>
            <w:pPr>
              <w:jc w:val="left"/>
            </w:pPr>
            <w:r/>
            <w:r>
              <w:rPr>
                <w:rFonts w:ascii="Calibri" w:hAnsi="Calibri"/>
                <w:b w:val="0"/>
                <w:sz w:val="17"/>
              </w:rPr>
              <w:t>1-year mortality</w:t>
            </w:r>
          </w:p>
        </w:tc>
        <w:tc>
          <w:tcPr>
            <w:tcW w:type="dxa" w:w="1728"/>
            <w:vAlign w:val="center"/>
            <w:tcMar>
              <w:top w:w="80" w:type="dxa"/>
              <w:start w:w="100" w:type="dxa"/>
              <w:bottom w:w="80" w:type="dxa"/>
              <w:end w:w="100" w:type="dxa"/>
            </w:tcMar>
          </w:tcPr>
          <w:p>
            <w:pPr>
              <w:jc w:val="left"/>
            </w:pPr>
            <w:r/>
            <w:r>
              <w:rPr>
                <w:rFonts w:ascii="Calibri" w:hAnsi="Calibri"/>
                <w:b w:val="0"/>
                <w:sz w:val="17"/>
              </w:rPr>
              <w:t>Age</w:t>
            </w:r>
          </w:p>
        </w:tc>
        <w:tc>
          <w:tcPr>
            <w:tcW w:type="dxa" w:w="1555"/>
            <w:vAlign w:val="center"/>
            <w:tcMar>
              <w:top w:w="80" w:type="dxa"/>
              <w:start w:w="100" w:type="dxa"/>
              <w:bottom w:w="80" w:type="dxa"/>
              <w:end w:w="100" w:type="dxa"/>
            </w:tcMar>
          </w:tcPr>
          <w:p>
            <w:pPr>
              <w:jc w:val="left"/>
            </w:pPr>
            <w:r/>
            <w:r>
              <w:rPr>
                <w:rFonts w:ascii="Calibri" w:hAnsi="Calibri"/>
                <w:b w:val="0"/>
                <w:sz w:val="17"/>
              </w:rPr>
              <w:t>&lt;65 years</w:t>
            </w:r>
          </w:p>
        </w:tc>
        <w:tc>
          <w:tcPr>
            <w:tcW w:type="dxa" w:w="1066"/>
            <w:vAlign w:val="center"/>
            <w:tcMar>
              <w:top w:w="80" w:type="dxa"/>
              <w:start w:w="100" w:type="dxa"/>
              <w:bottom w:w="80" w:type="dxa"/>
              <w:end w:w="100" w:type="dxa"/>
            </w:tcMar>
          </w:tcPr>
          <w:p>
            <w:pPr>
              <w:jc w:val="left"/>
            </w:pPr>
            <w:r/>
            <w:r>
              <w:rPr>
                <w:rFonts w:ascii="Calibri" w:hAnsi="Calibri"/>
                <w:b w:val="0"/>
                <w:sz w:val="17"/>
              </w:rPr>
              <w:t>1128</w:t>
            </w:r>
          </w:p>
        </w:tc>
        <w:tc>
          <w:tcPr>
            <w:tcW w:type="dxa" w:w="1037"/>
            <w:vAlign w:val="center"/>
            <w:tcMar>
              <w:top w:w="80" w:type="dxa"/>
              <w:start w:w="100" w:type="dxa"/>
              <w:bottom w:w="80" w:type="dxa"/>
              <w:end w:w="100" w:type="dxa"/>
            </w:tcMar>
          </w:tcPr>
          <w:p>
            <w:pPr>
              <w:jc w:val="left"/>
            </w:pPr>
            <w:r/>
            <w:r>
              <w:rPr>
                <w:rFonts w:ascii="Calibri" w:hAnsi="Calibri"/>
                <w:b w:val="0"/>
                <w:sz w:val="17"/>
              </w:rPr>
              <w:t>306</w:t>
            </w:r>
          </w:p>
        </w:tc>
        <w:tc>
          <w:tcPr>
            <w:tcW w:type="dxa" w:w="2448"/>
            <w:vAlign w:val="center"/>
            <w:tcMar>
              <w:top w:w="80" w:type="dxa"/>
              <w:start w:w="100" w:type="dxa"/>
              <w:bottom w:w="80" w:type="dxa"/>
              <w:end w:w="100" w:type="dxa"/>
            </w:tcMar>
          </w:tcPr>
          <w:p>
            <w:pPr>
              <w:jc w:val="left"/>
            </w:pPr>
            <w:r/>
            <w:r>
              <w:rPr>
                <w:rFonts w:ascii="Calibri" w:hAnsi="Calibri"/>
                <w:b w:val="0"/>
                <w:sz w:val="17"/>
              </w:rPr>
              <w:t>1.08 (0.68-1.73); P=0.749</w:t>
            </w:r>
          </w:p>
        </w:tc>
        <w:tc>
          <w:tcPr>
            <w:tcW w:type="dxa" w:w="2664"/>
            <w:vAlign w:val="center"/>
            <w:tcMar>
              <w:top w:w="80" w:type="dxa"/>
              <w:start w:w="100" w:type="dxa"/>
              <w:bottom w:w="80" w:type="dxa"/>
              <w:end w:w="100" w:type="dxa"/>
            </w:tcMar>
          </w:tcPr>
          <w:p>
            <w:pPr>
              <w:jc w:val="left"/>
            </w:pPr>
            <w:r/>
            <w:r>
              <w:rPr>
                <w:rFonts w:ascii="Calibri" w:hAnsi="Calibri"/>
                <w:b w:val="0"/>
                <w:sz w:val="17"/>
              </w:rPr>
              <w:t>1.59 (1.05-2.40); P=0.028</w:t>
            </w:r>
          </w:p>
        </w:tc>
        <w:tc>
          <w:tcPr>
            <w:tcW w:type="dxa" w:w="1066"/>
            <w:vAlign w:val="center"/>
            <w:tcMar>
              <w:top w:w="80" w:type="dxa"/>
              <w:start w:w="100" w:type="dxa"/>
              <w:bottom w:w="80" w:type="dxa"/>
              <w:end w:w="100" w:type="dxa"/>
            </w:tcMar>
          </w:tcPr>
          <w:p>
            <w:pPr>
              <w:jc w:val="left"/>
            </w:pPr>
            <w:r/>
            <w:r>
              <w:rPr>
                <w:rFonts w:ascii="Calibri" w:hAnsi="Calibri"/>
                <w:b w:val="0"/>
                <w:sz w:val="17"/>
              </w:rPr>
              <w:t>0.315</w:t>
            </w:r>
          </w:p>
        </w:tc>
      </w:tr>
      <w:tr>
        <w:trPr>
          <w:cantSplit/>
        </w:trPr>
        <w:tc>
          <w:tcPr>
            <w:tcW w:type="dxa" w:w="1238"/>
            <w:vAlign w:val="center"/>
            <w:tcMar>
              <w:top w:w="80" w:type="dxa"/>
              <w:start w:w="100" w:type="dxa"/>
              <w:bottom w:w="80" w:type="dxa"/>
              <w:end w:w="100" w:type="dxa"/>
            </w:tcMar>
          </w:tcPr>
          <w:p>
            <w:pPr>
              <w:jc w:val="left"/>
            </w:pPr>
            <w:r/>
            <w:r>
              <w:rPr>
                <w:rFonts w:ascii="Calibri" w:hAnsi="Calibri"/>
                <w:b w:val="0"/>
                <w:sz w:val="17"/>
              </w:rPr>
              <w:t>1-year mortality</w:t>
            </w:r>
          </w:p>
        </w:tc>
        <w:tc>
          <w:tcPr>
            <w:tcW w:type="dxa" w:w="1728"/>
            <w:vAlign w:val="center"/>
            <w:tcMar>
              <w:top w:w="80" w:type="dxa"/>
              <w:start w:w="100" w:type="dxa"/>
              <w:bottom w:w="80" w:type="dxa"/>
              <w:end w:w="100" w:type="dxa"/>
            </w:tcMar>
          </w:tcPr>
          <w:p>
            <w:pPr>
              <w:jc w:val="left"/>
            </w:pPr>
            <w:r/>
            <w:r>
              <w:rPr>
                <w:rFonts w:ascii="Calibri" w:hAnsi="Calibri"/>
                <w:b w:val="0"/>
                <w:sz w:val="17"/>
              </w:rPr>
              <w:t>Age</w:t>
            </w:r>
          </w:p>
        </w:tc>
        <w:tc>
          <w:tcPr>
            <w:tcW w:type="dxa" w:w="1555"/>
            <w:vAlign w:val="center"/>
            <w:tcMar>
              <w:top w:w="80" w:type="dxa"/>
              <w:start w:w="100" w:type="dxa"/>
              <w:bottom w:w="80" w:type="dxa"/>
              <w:end w:w="100" w:type="dxa"/>
            </w:tcMar>
          </w:tcPr>
          <w:p>
            <w:pPr>
              <w:jc w:val="left"/>
            </w:pPr>
            <w:r/>
            <w:r>
              <w:rPr>
                <w:rFonts w:ascii="Calibri" w:hAnsi="Calibri"/>
                <w:b w:val="0"/>
                <w:sz w:val="17"/>
              </w:rPr>
              <w:t>&gt;=65 years</w:t>
            </w:r>
          </w:p>
        </w:tc>
        <w:tc>
          <w:tcPr>
            <w:tcW w:type="dxa" w:w="1066"/>
            <w:vAlign w:val="center"/>
            <w:tcMar>
              <w:top w:w="80" w:type="dxa"/>
              <w:start w:w="100" w:type="dxa"/>
              <w:bottom w:w="80" w:type="dxa"/>
              <w:end w:w="100" w:type="dxa"/>
            </w:tcMar>
          </w:tcPr>
          <w:p>
            <w:pPr>
              <w:jc w:val="left"/>
            </w:pPr>
            <w:r/>
            <w:r>
              <w:rPr>
                <w:rFonts w:ascii="Calibri" w:hAnsi="Calibri"/>
                <w:b w:val="0"/>
                <w:sz w:val="17"/>
              </w:rPr>
              <w:t>2330</w:t>
            </w:r>
          </w:p>
        </w:tc>
        <w:tc>
          <w:tcPr>
            <w:tcW w:type="dxa" w:w="1037"/>
            <w:vAlign w:val="center"/>
            <w:tcMar>
              <w:top w:w="80" w:type="dxa"/>
              <w:start w:w="100" w:type="dxa"/>
              <w:bottom w:w="80" w:type="dxa"/>
              <w:end w:w="100" w:type="dxa"/>
            </w:tcMar>
          </w:tcPr>
          <w:p>
            <w:pPr>
              <w:jc w:val="left"/>
            </w:pPr>
            <w:r/>
            <w:r>
              <w:rPr>
                <w:rFonts w:ascii="Calibri" w:hAnsi="Calibri"/>
                <w:b w:val="0"/>
                <w:sz w:val="17"/>
              </w:rPr>
              <w:t>986</w:t>
            </w:r>
          </w:p>
        </w:tc>
        <w:tc>
          <w:tcPr>
            <w:tcW w:type="dxa" w:w="2448"/>
            <w:vAlign w:val="center"/>
            <w:tcMar>
              <w:top w:w="80" w:type="dxa"/>
              <w:start w:w="100" w:type="dxa"/>
              <w:bottom w:w="80" w:type="dxa"/>
              <w:end w:w="100" w:type="dxa"/>
            </w:tcMar>
          </w:tcPr>
          <w:p>
            <w:pPr>
              <w:jc w:val="left"/>
            </w:pPr>
            <w:r/>
            <w:r>
              <w:rPr>
                <w:rFonts w:ascii="Calibri" w:hAnsi="Calibri"/>
                <w:b w:val="0"/>
                <w:sz w:val="17"/>
              </w:rPr>
              <w:t>0.94 (0.73-1.20); P=0.603</w:t>
            </w:r>
          </w:p>
        </w:tc>
        <w:tc>
          <w:tcPr>
            <w:tcW w:type="dxa" w:w="2664"/>
            <w:vAlign w:val="center"/>
            <w:tcMar>
              <w:top w:w="80" w:type="dxa"/>
              <w:start w:w="100" w:type="dxa"/>
              <w:bottom w:w="80" w:type="dxa"/>
              <w:end w:w="100" w:type="dxa"/>
            </w:tcMar>
          </w:tcPr>
          <w:p>
            <w:pPr>
              <w:jc w:val="left"/>
            </w:pPr>
            <w:r/>
            <w:r>
              <w:rPr>
                <w:rFonts w:ascii="Calibri" w:hAnsi="Calibri"/>
                <w:b w:val="0"/>
                <w:sz w:val="17"/>
              </w:rPr>
              <w:t>1.25 (1.00-1.55); P=0.051</w:t>
            </w:r>
          </w:p>
        </w:tc>
        <w:tc>
          <w:tcPr>
            <w:tcW w:type="dxa" w:w="1066"/>
            <w:vAlign w:val="center"/>
            <w:tcMar>
              <w:top w:w="80" w:type="dxa"/>
              <w:start w:w="100" w:type="dxa"/>
              <w:bottom w:w="80" w:type="dxa"/>
              <w:end w:w="100" w:type="dxa"/>
            </w:tcMar>
          </w:tcPr>
          <w:p>
            <w:pPr>
              <w:jc w:val="left"/>
            </w:pPr>
            <w:r/>
            <w:r>
              <w:rPr>
                <w:rFonts w:ascii="Calibri" w:hAnsi="Calibri"/>
                <w:b w:val="0"/>
                <w:sz w:val="17"/>
              </w:rPr>
              <w:t>0.315</w:t>
            </w:r>
          </w:p>
        </w:tc>
      </w:tr>
      <w:tr>
        <w:trPr>
          <w:cantSplit/>
        </w:trPr>
        <w:tc>
          <w:tcPr>
            <w:tcW w:type="dxa" w:w="1238"/>
            <w:vAlign w:val="center"/>
            <w:tcMar>
              <w:top w:w="80" w:type="dxa"/>
              <w:start w:w="100" w:type="dxa"/>
              <w:bottom w:w="80" w:type="dxa"/>
              <w:end w:w="100" w:type="dxa"/>
            </w:tcMar>
          </w:tcPr>
          <w:p>
            <w:pPr>
              <w:jc w:val="left"/>
            </w:pPr>
            <w:r/>
            <w:r>
              <w:rPr>
                <w:rFonts w:ascii="Calibri" w:hAnsi="Calibri"/>
                <w:b w:val="0"/>
                <w:sz w:val="17"/>
              </w:rPr>
              <w:t>1-year mortality</w:t>
            </w:r>
          </w:p>
        </w:tc>
        <w:tc>
          <w:tcPr>
            <w:tcW w:type="dxa" w:w="1728"/>
            <w:vAlign w:val="center"/>
            <w:tcMar>
              <w:top w:w="80" w:type="dxa"/>
              <w:start w:w="100" w:type="dxa"/>
              <w:bottom w:w="80" w:type="dxa"/>
              <w:end w:w="100" w:type="dxa"/>
            </w:tcMar>
          </w:tcPr>
          <w:p>
            <w:pPr>
              <w:jc w:val="left"/>
            </w:pPr>
            <w:r/>
            <w:r>
              <w:rPr>
                <w:rFonts w:ascii="Calibri" w:hAnsi="Calibri"/>
                <w:b w:val="0"/>
                <w:sz w:val="17"/>
              </w:rPr>
              <w:t>Sex</w:t>
            </w:r>
          </w:p>
        </w:tc>
        <w:tc>
          <w:tcPr>
            <w:tcW w:type="dxa" w:w="1555"/>
            <w:vAlign w:val="center"/>
            <w:tcMar>
              <w:top w:w="80" w:type="dxa"/>
              <w:start w:w="100" w:type="dxa"/>
              <w:bottom w:w="80" w:type="dxa"/>
              <w:end w:w="100" w:type="dxa"/>
            </w:tcMar>
          </w:tcPr>
          <w:p>
            <w:pPr>
              <w:jc w:val="left"/>
            </w:pPr>
            <w:r/>
            <w:r>
              <w:rPr>
                <w:rFonts w:ascii="Calibri" w:hAnsi="Calibri"/>
                <w:b w:val="0"/>
                <w:sz w:val="17"/>
              </w:rPr>
              <w:t>Male</w:t>
            </w:r>
          </w:p>
        </w:tc>
        <w:tc>
          <w:tcPr>
            <w:tcW w:type="dxa" w:w="1066"/>
            <w:vAlign w:val="center"/>
            <w:tcMar>
              <w:top w:w="80" w:type="dxa"/>
              <w:start w:w="100" w:type="dxa"/>
              <w:bottom w:w="80" w:type="dxa"/>
              <w:end w:w="100" w:type="dxa"/>
            </w:tcMar>
          </w:tcPr>
          <w:p>
            <w:pPr>
              <w:jc w:val="left"/>
            </w:pPr>
            <w:r/>
            <w:r>
              <w:rPr>
                <w:rFonts w:ascii="Calibri" w:hAnsi="Calibri"/>
                <w:b w:val="0"/>
                <w:sz w:val="17"/>
              </w:rPr>
              <w:t>2173</w:t>
            </w:r>
          </w:p>
        </w:tc>
        <w:tc>
          <w:tcPr>
            <w:tcW w:type="dxa" w:w="1037"/>
            <w:vAlign w:val="center"/>
            <w:tcMar>
              <w:top w:w="80" w:type="dxa"/>
              <w:start w:w="100" w:type="dxa"/>
              <w:bottom w:w="80" w:type="dxa"/>
              <w:end w:w="100" w:type="dxa"/>
            </w:tcMar>
          </w:tcPr>
          <w:p>
            <w:pPr>
              <w:jc w:val="left"/>
            </w:pPr>
            <w:r/>
            <w:r>
              <w:rPr>
                <w:rFonts w:ascii="Calibri" w:hAnsi="Calibri"/>
                <w:b w:val="0"/>
                <w:sz w:val="17"/>
              </w:rPr>
              <w:t>769</w:t>
            </w:r>
          </w:p>
        </w:tc>
        <w:tc>
          <w:tcPr>
            <w:tcW w:type="dxa" w:w="2448"/>
            <w:vAlign w:val="center"/>
            <w:tcMar>
              <w:top w:w="80" w:type="dxa"/>
              <w:start w:w="100" w:type="dxa"/>
              <w:bottom w:w="80" w:type="dxa"/>
              <w:end w:w="100" w:type="dxa"/>
            </w:tcMar>
          </w:tcPr>
          <w:p>
            <w:pPr>
              <w:jc w:val="left"/>
            </w:pPr>
            <w:r/>
            <w:r>
              <w:rPr>
                <w:rFonts w:ascii="Calibri" w:hAnsi="Calibri"/>
                <w:b w:val="0"/>
                <w:sz w:val="17"/>
              </w:rPr>
              <w:t>0.97 (0.72-1.30); P=0.842</w:t>
            </w:r>
          </w:p>
        </w:tc>
        <w:tc>
          <w:tcPr>
            <w:tcW w:type="dxa" w:w="2664"/>
            <w:vAlign w:val="center"/>
            <w:tcMar>
              <w:top w:w="80" w:type="dxa"/>
              <w:start w:w="100" w:type="dxa"/>
              <w:bottom w:w="80" w:type="dxa"/>
              <w:end w:w="100" w:type="dxa"/>
            </w:tcMar>
          </w:tcPr>
          <w:p>
            <w:pPr>
              <w:jc w:val="left"/>
            </w:pPr>
            <w:r/>
            <w:r>
              <w:rPr>
                <w:rFonts w:ascii="Calibri" w:hAnsi="Calibri"/>
                <w:b w:val="0"/>
                <w:sz w:val="17"/>
              </w:rPr>
              <w:t>1.41 (1.08-1.84); P=0.011</w:t>
            </w:r>
          </w:p>
        </w:tc>
        <w:tc>
          <w:tcPr>
            <w:tcW w:type="dxa" w:w="1066"/>
            <w:vAlign w:val="center"/>
            <w:tcMar>
              <w:top w:w="80" w:type="dxa"/>
              <w:start w:w="100" w:type="dxa"/>
              <w:bottom w:w="80" w:type="dxa"/>
              <w:end w:w="100" w:type="dxa"/>
            </w:tcMar>
          </w:tcPr>
          <w:p>
            <w:pPr>
              <w:jc w:val="left"/>
            </w:pPr>
            <w:r/>
            <w:r>
              <w:rPr>
                <w:rFonts w:ascii="Calibri" w:hAnsi="Calibri"/>
                <w:b w:val="0"/>
                <w:sz w:val="17"/>
              </w:rPr>
              <w:t>0.533</w:t>
            </w:r>
          </w:p>
        </w:tc>
      </w:tr>
      <w:tr>
        <w:trPr>
          <w:cantSplit/>
        </w:trPr>
        <w:tc>
          <w:tcPr>
            <w:tcW w:type="dxa" w:w="1238"/>
            <w:vAlign w:val="center"/>
            <w:tcMar>
              <w:top w:w="80" w:type="dxa"/>
              <w:start w:w="100" w:type="dxa"/>
              <w:bottom w:w="80" w:type="dxa"/>
              <w:end w:w="100" w:type="dxa"/>
            </w:tcMar>
          </w:tcPr>
          <w:p>
            <w:pPr>
              <w:jc w:val="left"/>
            </w:pPr>
            <w:r/>
            <w:r>
              <w:rPr>
                <w:rFonts w:ascii="Calibri" w:hAnsi="Calibri"/>
                <w:b w:val="0"/>
                <w:sz w:val="17"/>
              </w:rPr>
              <w:t>1-year mortality</w:t>
            </w:r>
          </w:p>
        </w:tc>
        <w:tc>
          <w:tcPr>
            <w:tcW w:type="dxa" w:w="1728"/>
            <w:vAlign w:val="center"/>
            <w:tcMar>
              <w:top w:w="80" w:type="dxa"/>
              <w:start w:w="100" w:type="dxa"/>
              <w:bottom w:w="80" w:type="dxa"/>
              <w:end w:w="100" w:type="dxa"/>
            </w:tcMar>
          </w:tcPr>
          <w:p>
            <w:pPr>
              <w:jc w:val="left"/>
            </w:pPr>
            <w:r/>
            <w:r>
              <w:rPr>
                <w:rFonts w:ascii="Calibri" w:hAnsi="Calibri"/>
                <w:b w:val="0"/>
                <w:sz w:val="17"/>
              </w:rPr>
              <w:t>Sex</w:t>
            </w:r>
          </w:p>
        </w:tc>
        <w:tc>
          <w:tcPr>
            <w:tcW w:type="dxa" w:w="1555"/>
            <w:vAlign w:val="center"/>
            <w:tcMar>
              <w:top w:w="80" w:type="dxa"/>
              <w:start w:w="100" w:type="dxa"/>
              <w:bottom w:w="80" w:type="dxa"/>
              <w:end w:w="100" w:type="dxa"/>
            </w:tcMar>
          </w:tcPr>
          <w:p>
            <w:pPr>
              <w:jc w:val="left"/>
            </w:pPr>
            <w:r/>
            <w:r>
              <w:rPr>
                <w:rFonts w:ascii="Calibri" w:hAnsi="Calibri"/>
                <w:b w:val="0"/>
                <w:sz w:val="17"/>
              </w:rPr>
              <w:t>Female</w:t>
            </w:r>
          </w:p>
        </w:tc>
        <w:tc>
          <w:tcPr>
            <w:tcW w:type="dxa" w:w="1066"/>
            <w:vAlign w:val="center"/>
            <w:tcMar>
              <w:top w:w="80" w:type="dxa"/>
              <w:start w:w="100" w:type="dxa"/>
              <w:bottom w:w="80" w:type="dxa"/>
              <w:end w:w="100" w:type="dxa"/>
            </w:tcMar>
          </w:tcPr>
          <w:p>
            <w:pPr>
              <w:jc w:val="left"/>
            </w:pPr>
            <w:r/>
            <w:r>
              <w:rPr>
                <w:rFonts w:ascii="Calibri" w:hAnsi="Calibri"/>
                <w:b w:val="0"/>
                <w:sz w:val="17"/>
              </w:rPr>
              <w:t>1285</w:t>
            </w:r>
          </w:p>
        </w:tc>
        <w:tc>
          <w:tcPr>
            <w:tcW w:type="dxa" w:w="1037"/>
            <w:vAlign w:val="center"/>
            <w:tcMar>
              <w:top w:w="80" w:type="dxa"/>
              <w:start w:w="100" w:type="dxa"/>
              <w:bottom w:w="80" w:type="dxa"/>
              <w:end w:w="100" w:type="dxa"/>
            </w:tcMar>
          </w:tcPr>
          <w:p>
            <w:pPr>
              <w:jc w:val="left"/>
            </w:pPr>
            <w:r/>
            <w:r>
              <w:rPr>
                <w:rFonts w:ascii="Calibri" w:hAnsi="Calibri"/>
                <w:b w:val="0"/>
                <w:sz w:val="17"/>
              </w:rPr>
              <w:t>523</w:t>
            </w:r>
          </w:p>
        </w:tc>
        <w:tc>
          <w:tcPr>
            <w:tcW w:type="dxa" w:w="2448"/>
            <w:vAlign w:val="center"/>
            <w:tcMar>
              <w:top w:w="80" w:type="dxa"/>
              <w:start w:w="100" w:type="dxa"/>
              <w:bottom w:w="80" w:type="dxa"/>
              <w:end w:w="100" w:type="dxa"/>
            </w:tcMar>
          </w:tcPr>
          <w:p>
            <w:pPr>
              <w:jc w:val="left"/>
            </w:pPr>
            <w:r/>
            <w:r>
              <w:rPr>
                <w:rFonts w:ascii="Calibri" w:hAnsi="Calibri"/>
                <w:b w:val="0"/>
                <w:sz w:val="17"/>
              </w:rPr>
              <w:t>0.98 (0.71-1.35); P=0.893</w:t>
            </w:r>
          </w:p>
        </w:tc>
        <w:tc>
          <w:tcPr>
            <w:tcW w:type="dxa" w:w="2664"/>
            <w:vAlign w:val="center"/>
            <w:tcMar>
              <w:top w:w="80" w:type="dxa"/>
              <w:start w:w="100" w:type="dxa"/>
              <w:bottom w:w="80" w:type="dxa"/>
              <w:end w:w="100" w:type="dxa"/>
            </w:tcMar>
          </w:tcPr>
          <w:p>
            <w:pPr>
              <w:jc w:val="left"/>
            </w:pPr>
            <w:r/>
            <w:r>
              <w:rPr>
                <w:rFonts w:ascii="Calibri" w:hAnsi="Calibri"/>
                <w:b w:val="0"/>
                <w:sz w:val="17"/>
              </w:rPr>
              <w:t>1.22 (0.91-1.62); P=0.185</w:t>
            </w:r>
          </w:p>
        </w:tc>
        <w:tc>
          <w:tcPr>
            <w:tcW w:type="dxa" w:w="1066"/>
            <w:vAlign w:val="center"/>
            <w:tcMar>
              <w:top w:w="80" w:type="dxa"/>
              <w:start w:w="100" w:type="dxa"/>
              <w:bottom w:w="80" w:type="dxa"/>
              <w:end w:w="100" w:type="dxa"/>
            </w:tcMar>
          </w:tcPr>
          <w:p>
            <w:pPr>
              <w:jc w:val="left"/>
            </w:pPr>
            <w:r/>
            <w:r>
              <w:rPr>
                <w:rFonts w:ascii="Calibri" w:hAnsi="Calibri"/>
                <w:b w:val="0"/>
                <w:sz w:val="17"/>
              </w:rPr>
              <w:t>0.533</w:t>
            </w:r>
          </w:p>
        </w:tc>
      </w:tr>
      <w:tr>
        <w:trPr>
          <w:cantSplit/>
        </w:trPr>
        <w:tc>
          <w:tcPr>
            <w:tcW w:type="dxa" w:w="1238"/>
            <w:vAlign w:val="center"/>
            <w:tcMar>
              <w:top w:w="80" w:type="dxa"/>
              <w:start w:w="100" w:type="dxa"/>
              <w:bottom w:w="80" w:type="dxa"/>
              <w:end w:w="100" w:type="dxa"/>
            </w:tcMar>
          </w:tcPr>
          <w:p>
            <w:pPr>
              <w:jc w:val="left"/>
            </w:pPr>
            <w:r/>
            <w:r>
              <w:rPr>
                <w:rFonts w:ascii="Calibri" w:hAnsi="Calibri"/>
                <w:b w:val="0"/>
                <w:sz w:val="17"/>
              </w:rPr>
              <w:t>1-year mortality</w:t>
            </w:r>
          </w:p>
        </w:tc>
        <w:tc>
          <w:tcPr>
            <w:tcW w:type="dxa" w:w="1728"/>
            <w:vAlign w:val="center"/>
            <w:tcMar>
              <w:top w:w="80" w:type="dxa"/>
              <w:start w:w="100" w:type="dxa"/>
              <w:bottom w:w="80" w:type="dxa"/>
              <w:end w:w="100" w:type="dxa"/>
            </w:tcMar>
          </w:tcPr>
          <w:p>
            <w:pPr>
              <w:jc w:val="left"/>
            </w:pPr>
            <w:r/>
            <w:r>
              <w:rPr>
                <w:rFonts w:ascii="Calibri" w:hAnsi="Calibri"/>
                <w:b w:val="0"/>
                <w:sz w:val="17"/>
              </w:rPr>
              <w:t>AMI subtype</w:t>
            </w:r>
          </w:p>
        </w:tc>
        <w:tc>
          <w:tcPr>
            <w:tcW w:type="dxa" w:w="1555"/>
            <w:vAlign w:val="center"/>
            <w:tcMar>
              <w:top w:w="80" w:type="dxa"/>
              <w:start w:w="100" w:type="dxa"/>
              <w:bottom w:w="80" w:type="dxa"/>
              <w:end w:w="100" w:type="dxa"/>
            </w:tcMar>
          </w:tcPr>
          <w:p>
            <w:pPr>
              <w:jc w:val="left"/>
            </w:pPr>
            <w:r/>
            <w:r>
              <w:rPr>
                <w:rFonts w:ascii="Calibri" w:hAnsi="Calibri"/>
                <w:b w:val="0"/>
                <w:sz w:val="17"/>
              </w:rPr>
              <w:t>NSTEMI</w:t>
            </w:r>
          </w:p>
        </w:tc>
        <w:tc>
          <w:tcPr>
            <w:tcW w:type="dxa" w:w="1066"/>
            <w:vAlign w:val="center"/>
            <w:tcMar>
              <w:top w:w="80" w:type="dxa"/>
              <w:start w:w="100" w:type="dxa"/>
              <w:bottom w:w="80" w:type="dxa"/>
              <w:end w:w="100" w:type="dxa"/>
            </w:tcMar>
          </w:tcPr>
          <w:p>
            <w:pPr>
              <w:jc w:val="left"/>
            </w:pPr>
            <w:r/>
            <w:r>
              <w:rPr>
                <w:rFonts w:ascii="Calibri" w:hAnsi="Calibri"/>
                <w:b w:val="0"/>
                <w:sz w:val="17"/>
              </w:rPr>
              <w:t>2059</w:t>
            </w:r>
          </w:p>
        </w:tc>
        <w:tc>
          <w:tcPr>
            <w:tcW w:type="dxa" w:w="1037"/>
            <w:vAlign w:val="center"/>
            <w:tcMar>
              <w:top w:w="80" w:type="dxa"/>
              <w:start w:w="100" w:type="dxa"/>
              <w:bottom w:w="80" w:type="dxa"/>
              <w:end w:w="100" w:type="dxa"/>
            </w:tcMar>
          </w:tcPr>
          <w:p>
            <w:pPr>
              <w:jc w:val="left"/>
            </w:pPr>
            <w:r/>
            <w:r>
              <w:rPr>
                <w:rFonts w:ascii="Calibri" w:hAnsi="Calibri"/>
                <w:b w:val="0"/>
                <w:sz w:val="17"/>
              </w:rPr>
              <w:t>715</w:t>
            </w:r>
          </w:p>
        </w:tc>
        <w:tc>
          <w:tcPr>
            <w:tcW w:type="dxa" w:w="2448"/>
            <w:vAlign w:val="center"/>
            <w:tcMar>
              <w:top w:w="80" w:type="dxa"/>
              <w:start w:w="100" w:type="dxa"/>
              <w:bottom w:w="80" w:type="dxa"/>
              <w:end w:w="100" w:type="dxa"/>
            </w:tcMar>
          </w:tcPr>
          <w:p>
            <w:pPr>
              <w:jc w:val="left"/>
            </w:pPr>
            <w:r/>
            <w:r>
              <w:rPr>
                <w:rFonts w:ascii="Calibri" w:hAnsi="Calibri"/>
                <w:b w:val="0"/>
                <w:sz w:val="17"/>
              </w:rPr>
              <w:t>1.17 (0.87-1.59); P=0.297</w:t>
            </w:r>
          </w:p>
        </w:tc>
        <w:tc>
          <w:tcPr>
            <w:tcW w:type="dxa" w:w="2664"/>
            <w:vAlign w:val="center"/>
            <w:tcMar>
              <w:top w:w="80" w:type="dxa"/>
              <w:start w:w="100" w:type="dxa"/>
              <w:bottom w:w="80" w:type="dxa"/>
              <w:end w:w="100" w:type="dxa"/>
            </w:tcMar>
          </w:tcPr>
          <w:p>
            <w:pPr>
              <w:jc w:val="left"/>
            </w:pPr>
            <w:r/>
            <w:r>
              <w:rPr>
                <w:rFonts w:ascii="Calibri" w:hAnsi="Calibri"/>
                <w:b w:val="0"/>
                <w:sz w:val="17"/>
              </w:rPr>
              <w:t>1.45 (1.10-1.91); P=0.009</w:t>
            </w:r>
          </w:p>
        </w:tc>
        <w:tc>
          <w:tcPr>
            <w:tcW w:type="dxa" w:w="1066"/>
            <w:vAlign w:val="center"/>
            <w:tcMar>
              <w:top w:w="80" w:type="dxa"/>
              <w:start w:w="100" w:type="dxa"/>
              <w:bottom w:w="80" w:type="dxa"/>
              <w:end w:w="100" w:type="dxa"/>
            </w:tcMar>
          </w:tcPr>
          <w:p>
            <w:pPr>
              <w:jc w:val="left"/>
            </w:pPr>
            <w:r/>
            <w:r>
              <w:rPr>
                <w:rFonts w:ascii="Calibri" w:hAnsi="Calibri"/>
                <w:b w:val="0"/>
                <w:sz w:val="17"/>
              </w:rPr>
              <w:t>0.067</w:t>
            </w:r>
          </w:p>
        </w:tc>
      </w:tr>
      <w:tr>
        <w:trPr>
          <w:cantSplit/>
        </w:trPr>
        <w:tc>
          <w:tcPr>
            <w:tcW w:type="dxa" w:w="1238"/>
            <w:vAlign w:val="center"/>
            <w:tcMar>
              <w:top w:w="80" w:type="dxa"/>
              <w:start w:w="100" w:type="dxa"/>
              <w:bottom w:w="80" w:type="dxa"/>
              <w:end w:w="100" w:type="dxa"/>
            </w:tcMar>
          </w:tcPr>
          <w:p>
            <w:pPr>
              <w:jc w:val="left"/>
            </w:pPr>
            <w:r/>
            <w:r>
              <w:rPr>
                <w:rFonts w:ascii="Calibri" w:hAnsi="Calibri"/>
                <w:b w:val="0"/>
                <w:sz w:val="17"/>
              </w:rPr>
              <w:t>1-year mortality</w:t>
            </w:r>
          </w:p>
        </w:tc>
        <w:tc>
          <w:tcPr>
            <w:tcW w:type="dxa" w:w="1728"/>
            <w:vAlign w:val="center"/>
            <w:tcMar>
              <w:top w:w="80" w:type="dxa"/>
              <w:start w:w="100" w:type="dxa"/>
              <w:bottom w:w="80" w:type="dxa"/>
              <w:end w:w="100" w:type="dxa"/>
            </w:tcMar>
          </w:tcPr>
          <w:p>
            <w:pPr>
              <w:jc w:val="left"/>
            </w:pPr>
            <w:r/>
            <w:r>
              <w:rPr>
                <w:rFonts w:ascii="Calibri" w:hAnsi="Calibri"/>
                <w:b w:val="0"/>
                <w:sz w:val="17"/>
              </w:rPr>
              <w:t>AMI subtype</w:t>
            </w:r>
          </w:p>
        </w:tc>
        <w:tc>
          <w:tcPr>
            <w:tcW w:type="dxa" w:w="1555"/>
            <w:vAlign w:val="center"/>
            <w:tcMar>
              <w:top w:w="80" w:type="dxa"/>
              <w:start w:w="100" w:type="dxa"/>
              <w:bottom w:w="80" w:type="dxa"/>
              <w:end w:w="100" w:type="dxa"/>
            </w:tcMar>
          </w:tcPr>
          <w:p>
            <w:pPr>
              <w:jc w:val="left"/>
            </w:pPr>
            <w:r/>
            <w:r>
              <w:rPr>
                <w:rFonts w:ascii="Calibri" w:hAnsi="Calibri"/>
                <w:b w:val="0"/>
                <w:sz w:val="17"/>
              </w:rPr>
              <w:t>STEMI/unspecified</w:t>
            </w:r>
          </w:p>
        </w:tc>
        <w:tc>
          <w:tcPr>
            <w:tcW w:type="dxa" w:w="1066"/>
            <w:vAlign w:val="center"/>
            <w:tcMar>
              <w:top w:w="80" w:type="dxa"/>
              <w:start w:w="100" w:type="dxa"/>
              <w:bottom w:w="80" w:type="dxa"/>
              <w:end w:w="100" w:type="dxa"/>
            </w:tcMar>
          </w:tcPr>
          <w:p>
            <w:pPr>
              <w:jc w:val="left"/>
            </w:pPr>
            <w:r/>
            <w:r>
              <w:rPr>
                <w:rFonts w:ascii="Calibri" w:hAnsi="Calibri"/>
                <w:b w:val="0"/>
                <w:sz w:val="17"/>
              </w:rPr>
              <w:t>1399</w:t>
            </w:r>
          </w:p>
        </w:tc>
        <w:tc>
          <w:tcPr>
            <w:tcW w:type="dxa" w:w="1037"/>
            <w:vAlign w:val="center"/>
            <w:tcMar>
              <w:top w:w="80" w:type="dxa"/>
              <w:start w:w="100" w:type="dxa"/>
              <w:bottom w:w="80" w:type="dxa"/>
              <w:end w:w="100" w:type="dxa"/>
            </w:tcMar>
          </w:tcPr>
          <w:p>
            <w:pPr>
              <w:jc w:val="left"/>
            </w:pPr>
            <w:r/>
            <w:r>
              <w:rPr>
                <w:rFonts w:ascii="Calibri" w:hAnsi="Calibri"/>
                <w:b w:val="0"/>
                <w:sz w:val="17"/>
              </w:rPr>
              <w:t>577</w:t>
            </w:r>
          </w:p>
        </w:tc>
        <w:tc>
          <w:tcPr>
            <w:tcW w:type="dxa" w:w="2448"/>
            <w:vAlign w:val="center"/>
            <w:tcMar>
              <w:top w:w="80" w:type="dxa"/>
              <w:start w:w="100" w:type="dxa"/>
              <w:bottom w:w="80" w:type="dxa"/>
              <w:end w:w="100" w:type="dxa"/>
            </w:tcMar>
          </w:tcPr>
          <w:p>
            <w:pPr>
              <w:jc w:val="left"/>
            </w:pPr>
            <w:r/>
            <w:r>
              <w:rPr>
                <w:rFonts w:ascii="Calibri" w:hAnsi="Calibri"/>
                <w:b w:val="0"/>
                <w:sz w:val="17"/>
              </w:rPr>
              <w:t>0.74 (0.54-1.02); P=0.069</w:t>
            </w:r>
          </w:p>
        </w:tc>
        <w:tc>
          <w:tcPr>
            <w:tcW w:type="dxa" w:w="2664"/>
            <w:vAlign w:val="center"/>
            <w:tcMar>
              <w:top w:w="80" w:type="dxa"/>
              <w:start w:w="100" w:type="dxa"/>
              <w:bottom w:w="80" w:type="dxa"/>
              <w:end w:w="100" w:type="dxa"/>
            </w:tcMar>
          </w:tcPr>
          <w:p>
            <w:pPr>
              <w:jc w:val="left"/>
            </w:pPr>
            <w:r/>
            <w:r>
              <w:rPr>
                <w:rFonts w:ascii="Calibri" w:hAnsi="Calibri"/>
                <w:b w:val="0"/>
                <w:sz w:val="17"/>
              </w:rPr>
              <w:t>1.19 (0.90-1.56); P=0.220</w:t>
            </w:r>
          </w:p>
        </w:tc>
        <w:tc>
          <w:tcPr>
            <w:tcW w:type="dxa" w:w="1066"/>
            <w:vAlign w:val="center"/>
            <w:tcMar>
              <w:top w:w="80" w:type="dxa"/>
              <w:start w:w="100" w:type="dxa"/>
              <w:bottom w:w="80" w:type="dxa"/>
              <w:end w:w="100" w:type="dxa"/>
            </w:tcMar>
          </w:tcPr>
          <w:p>
            <w:pPr>
              <w:jc w:val="left"/>
            </w:pPr>
            <w:r/>
            <w:r>
              <w:rPr>
                <w:rFonts w:ascii="Calibri" w:hAnsi="Calibri"/>
                <w:b w:val="0"/>
                <w:sz w:val="17"/>
              </w:rPr>
              <w:t>0.067</w:t>
            </w:r>
          </w:p>
        </w:tc>
      </w:tr>
      <w:tr>
        <w:trPr>
          <w:cantSplit/>
        </w:trPr>
        <w:tc>
          <w:tcPr>
            <w:tcW w:type="dxa" w:w="1238"/>
            <w:vAlign w:val="center"/>
            <w:tcMar>
              <w:top w:w="80" w:type="dxa"/>
              <w:start w:w="100" w:type="dxa"/>
              <w:bottom w:w="80" w:type="dxa"/>
              <w:end w:w="100" w:type="dxa"/>
            </w:tcMar>
          </w:tcPr>
          <w:p>
            <w:pPr>
              <w:jc w:val="left"/>
            </w:pPr>
            <w:r/>
            <w:r>
              <w:rPr>
                <w:rFonts w:ascii="Calibri" w:hAnsi="Calibri"/>
                <w:b w:val="0"/>
                <w:sz w:val="17"/>
              </w:rPr>
              <w:t>1-year mortality</w:t>
            </w:r>
          </w:p>
        </w:tc>
        <w:tc>
          <w:tcPr>
            <w:tcW w:type="dxa" w:w="1728"/>
            <w:vAlign w:val="center"/>
            <w:tcMar>
              <w:top w:w="80" w:type="dxa"/>
              <w:start w:w="100" w:type="dxa"/>
              <w:bottom w:w="80" w:type="dxa"/>
              <w:end w:w="100" w:type="dxa"/>
            </w:tcMar>
          </w:tcPr>
          <w:p>
            <w:pPr>
              <w:jc w:val="left"/>
            </w:pPr>
            <w:r/>
            <w:r>
              <w:rPr>
                <w:rFonts w:ascii="Calibri" w:hAnsi="Calibri"/>
                <w:b w:val="0"/>
                <w:sz w:val="17"/>
              </w:rPr>
              <w:t>Congestive heart failure</w:t>
            </w:r>
          </w:p>
        </w:tc>
        <w:tc>
          <w:tcPr>
            <w:tcW w:type="dxa" w:w="1555"/>
            <w:vAlign w:val="center"/>
            <w:tcMar>
              <w:top w:w="80" w:type="dxa"/>
              <w:start w:w="100" w:type="dxa"/>
              <w:bottom w:w="80" w:type="dxa"/>
              <w:end w:w="100" w:type="dxa"/>
            </w:tcMar>
          </w:tcPr>
          <w:p>
            <w:pPr>
              <w:jc w:val="left"/>
            </w:pPr>
            <w:r/>
            <w:r>
              <w:rPr>
                <w:rFonts w:ascii="Calibri" w:hAnsi="Calibri"/>
                <w:b w:val="0"/>
                <w:sz w:val="17"/>
              </w:rPr>
              <w:t>No</w:t>
            </w:r>
          </w:p>
        </w:tc>
        <w:tc>
          <w:tcPr>
            <w:tcW w:type="dxa" w:w="1066"/>
            <w:vAlign w:val="center"/>
            <w:tcMar>
              <w:top w:w="80" w:type="dxa"/>
              <w:start w:w="100" w:type="dxa"/>
              <w:bottom w:w="80" w:type="dxa"/>
              <w:end w:w="100" w:type="dxa"/>
            </w:tcMar>
          </w:tcPr>
          <w:p>
            <w:pPr>
              <w:jc w:val="left"/>
            </w:pPr>
            <w:r/>
            <w:r>
              <w:rPr>
                <w:rFonts w:ascii="Calibri" w:hAnsi="Calibri"/>
                <w:b w:val="0"/>
                <w:sz w:val="17"/>
              </w:rPr>
              <w:t>1360</w:t>
            </w:r>
          </w:p>
        </w:tc>
        <w:tc>
          <w:tcPr>
            <w:tcW w:type="dxa" w:w="1037"/>
            <w:vAlign w:val="center"/>
            <w:tcMar>
              <w:top w:w="80" w:type="dxa"/>
              <w:start w:w="100" w:type="dxa"/>
              <w:bottom w:w="80" w:type="dxa"/>
              <w:end w:w="100" w:type="dxa"/>
            </w:tcMar>
          </w:tcPr>
          <w:p>
            <w:pPr>
              <w:jc w:val="left"/>
            </w:pPr>
            <w:r/>
            <w:r>
              <w:rPr>
                <w:rFonts w:ascii="Calibri" w:hAnsi="Calibri"/>
                <w:b w:val="0"/>
                <w:sz w:val="17"/>
              </w:rPr>
              <w:t>417</w:t>
            </w:r>
          </w:p>
        </w:tc>
        <w:tc>
          <w:tcPr>
            <w:tcW w:type="dxa" w:w="2448"/>
            <w:vAlign w:val="center"/>
            <w:tcMar>
              <w:top w:w="80" w:type="dxa"/>
              <w:start w:w="100" w:type="dxa"/>
              <w:bottom w:w="80" w:type="dxa"/>
              <w:end w:w="100" w:type="dxa"/>
            </w:tcMar>
          </w:tcPr>
          <w:p>
            <w:pPr>
              <w:jc w:val="left"/>
            </w:pPr>
            <w:r/>
            <w:r>
              <w:rPr>
                <w:rFonts w:ascii="Calibri" w:hAnsi="Calibri"/>
                <w:b w:val="0"/>
                <w:sz w:val="17"/>
              </w:rPr>
              <w:t>1.08 (0.76-1.55); P=0.667</w:t>
            </w:r>
          </w:p>
        </w:tc>
        <w:tc>
          <w:tcPr>
            <w:tcW w:type="dxa" w:w="2664"/>
            <w:vAlign w:val="center"/>
            <w:tcMar>
              <w:top w:w="80" w:type="dxa"/>
              <w:start w:w="100" w:type="dxa"/>
              <w:bottom w:w="80" w:type="dxa"/>
              <w:end w:w="100" w:type="dxa"/>
            </w:tcMar>
          </w:tcPr>
          <w:p>
            <w:pPr>
              <w:jc w:val="left"/>
            </w:pPr>
            <w:r/>
            <w:r>
              <w:rPr>
                <w:rFonts w:ascii="Calibri" w:hAnsi="Calibri"/>
                <w:b w:val="0"/>
                <w:sz w:val="17"/>
              </w:rPr>
              <w:t>1.39 (1.01-1.92); P=0.043</w:t>
            </w:r>
          </w:p>
        </w:tc>
        <w:tc>
          <w:tcPr>
            <w:tcW w:type="dxa" w:w="1066"/>
            <w:vAlign w:val="center"/>
            <w:tcMar>
              <w:top w:w="80" w:type="dxa"/>
              <w:start w:w="100" w:type="dxa"/>
              <w:bottom w:w="80" w:type="dxa"/>
              <w:end w:w="100" w:type="dxa"/>
            </w:tcMar>
          </w:tcPr>
          <w:p>
            <w:pPr>
              <w:jc w:val="left"/>
            </w:pPr>
            <w:r/>
            <w:r>
              <w:rPr>
                <w:rFonts w:ascii="Calibri" w:hAnsi="Calibri"/>
                <w:b w:val="0"/>
                <w:sz w:val="17"/>
              </w:rPr>
              <w:t>0.947</w:t>
            </w:r>
          </w:p>
        </w:tc>
      </w:tr>
      <w:tr>
        <w:trPr>
          <w:cantSplit/>
        </w:trPr>
        <w:tc>
          <w:tcPr>
            <w:tcW w:type="dxa" w:w="1238"/>
            <w:vAlign w:val="center"/>
            <w:tcMar>
              <w:top w:w="80" w:type="dxa"/>
              <w:start w:w="100" w:type="dxa"/>
              <w:bottom w:w="80" w:type="dxa"/>
              <w:end w:w="100" w:type="dxa"/>
            </w:tcMar>
          </w:tcPr>
          <w:p>
            <w:pPr>
              <w:jc w:val="left"/>
            </w:pPr>
            <w:r/>
            <w:r>
              <w:rPr>
                <w:rFonts w:ascii="Calibri" w:hAnsi="Calibri"/>
                <w:b w:val="0"/>
                <w:sz w:val="17"/>
              </w:rPr>
              <w:t>1-year mortality</w:t>
            </w:r>
          </w:p>
        </w:tc>
        <w:tc>
          <w:tcPr>
            <w:tcW w:type="dxa" w:w="1728"/>
            <w:vAlign w:val="center"/>
            <w:tcMar>
              <w:top w:w="80" w:type="dxa"/>
              <w:start w:w="100" w:type="dxa"/>
              <w:bottom w:w="80" w:type="dxa"/>
              <w:end w:w="100" w:type="dxa"/>
            </w:tcMar>
          </w:tcPr>
          <w:p>
            <w:pPr>
              <w:jc w:val="left"/>
            </w:pPr>
            <w:r/>
            <w:r>
              <w:rPr>
                <w:rFonts w:ascii="Calibri" w:hAnsi="Calibri"/>
                <w:b w:val="0"/>
                <w:sz w:val="17"/>
              </w:rPr>
              <w:t>Congestive heart failure</w:t>
            </w:r>
          </w:p>
        </w:tc>
        <w:tc>
          <w:tcPr>
            <w:tcW w:type="dxa" w:w="1555"/>
            <w:vAlign w:val="center"/>
            <w:tcMar>
              <w:top w:w="80" w:type="dxa"/>
              <w:start w:w="100" w:type="dxa"/>
              <w:bottom w:w="80" w:type="dxa"/>
              <w:end w:w="100" w:type="dxa"/>
            </w:tcMar>
          </w:tcPr>
          <w:p>
            <w:pPr>
              <w:jc w:val="left"/>
            </w:pPr>
            <w:r/>
            <w:r>
              <w:rPr>
                <w:rFonts w:ascii="Calibri" w:hAnsi="Calibri"/>
                <w:b w:val="0"/>
                <w:sz w:val="17"/>
              </w:rPr>
              <w:t>Yes</w:t>
            </w:r>
          </w:p>
        </w:tc>
        <w:tc>
          <w:tcPr>
            <w:tcW w:type="dxa" w:w="1066"/>
            <w:vAlign w:val="center"/>
            <w:tcMar>
              <w:top w:w="80" w:type="dxa"/>
              <w:start w:w="100" w:type="dxa"/>
              <w:bottom w:w="80" w:type="dxa"/>
              <w:end w:w="100" w:type="dxa"/>
            </w:tcMar>
          </w:tcPr>
          <w:p>
            <w:pPr>
              <w:jc w:val="left"/>
            </w:pPr>
            <w:r/>
            <w:r>
              <w:rPr>
                <w:rFonts w:ascii="Calibri" w:hAnsi="Calibri"/>
                <w:b w:val="0"/>
                <w:sz w:val="17"/>
              </w:rPr>
              <w:t>2081</w:t>
            </w:r>
          </w:p>
        </w:tc>
        <w:tc>
          <w:tcPr>
            <w:tcW w:type="dxa" w:w="1037"/>
            <w:vAlign w:val="center"/>
            <w:tcMar>
              <w:top w:w="80" w:type="dxa"/>
              <w:start w:w="100" w:type="dxa"/>
              <w:bottom w:w="80" w:type="dxa"/>
              <w:end w:w="100" w:type="dxa"/>
            </w:tcMar>
          </w:tcPr>
          <w:p>
            <w:pPr>
              <w:jc w:val="left"/>
            </w:pPr>
            <w:r/>
            <w:r>
              <w:rPr>
                <w:rFonts w:ascii="Calibri" w:hAnsi="Calibri"/>
                <w:b w:val="0"/>
                <w:sz w:val="17"/>
              </w:rPr>
              <w:t>868</w:t>
            </w:r>
          </w:p>
        </w:tc>
        <w:tc>
          <w:tcPr>
            <w:tcW w:type="dxa" w:w="2448"/>
            <w:vAlign w:val="center"/>
            <w:tcMar>
              <w:top w:w="80" w:type="dxa"/>
              <w:start w:w="100" w:type="dxa"/>
              <w:bottom w:w="80" w:type="dxa"/>
              <w:end w:w="100" w:type="dxa"/>
            </w:tcMar>
          </w:tcPr>
          <w:p>
            <w:pPr>
              <w:jc w:val="left"/>
            </w:pPr>
            <w:r/>
            <w:r>
              <w:rPr>
                <w:rFonts w:ascii="Calibri" w:hAnsi="Calibri"/>
                <w:b w:val="0"/>
                <w:sz w:val="17"/>
              </w:rPr>
              <w:t>0.94 (0.71-1.24); P=0.654</w:t>
            </w:r>
          </w:p>
        </w:tc>
        <w:tc>
          <w:tcPr>
            <w:tcW w:type="dxa" w:w="2664"/>
            <w:vAlign w:val="center"/>
            <w:tcMar>
              <w:top w:w="80" w:type="dxa"/>
              <w:start w:w="100" w:type="dxa"/>
              <w:bottom w:w="80" w:type="dxa"/>
              <w:end w:w="100" w:type="dxa"/>
            </w:tcMar>
          </w:tcPr>
          <w:p>
            <w:pPr>
              <w:jc w:val="left"/>
            </w:pPr>
            <w:r/>
            <w:r>
              <w:rPr>
                <w:rFonts w:ascii="Calibri" w:hAnsi="Calibri"/>
                <w:b w:val="0"/>
                <w:sz w:val="17"/>
              </w:rPr>
              <w:t>1.32 (1.03-1.70); P=0.031</w:t>
            </w:r>
          </w:p>
        </w:tc>
        <w:tc>
          <w:tcPr>
            <w:tcW w:type="dxa" w:w="1066"/>
            <w:vAlign w:val="center"/>
            <w:tcMar>
              <w:top w:w="80" w:type="dxa"/>
              <w:start w:w="100" w:type="dxa"/>
              <w:bottom w:w="80" w:type="dxa"/>
              <w:end w:w="100" w:type="dxa"/>
            </w:tcMar>
          </w:tcPr>
          <w:p>
            <w:pPr>
              <w:jc w:val="left"/>
            </w:pPr>
            <w:r/>
            <w:r>
              <w:rPr>
                <w:rFonts w:ascii="Calibri" w:hAnsi="Calibri"/>
                <w:b w:val="0"/>
                <w:sz w:val="17"/>
              </w:rPr>
              <w:t>0.947</w:t>
            </w:r>
          </w:p>
        </w:tc>
      </w:tr>
      <w:tr>
        <w:trPr>
          <w:cantSplit/>
        </w:trPr>
        <w:tc>
          <w:tcPr>
            <w:tcW w:type="dxa" w:w="1238"/>
            <w:vAlign w:val="center"/>
            <w:tcMar>
              <w:top w:w="80" w:type="dxa"/>
              <w:start w:w="100" w:type="dxa"/>
              <w:bottom w:w="80" w:type="dxa"/>
              <w:end w:w="100" w:type="dxa"/>
            </w:tcMar>
          </w:tcPr>
          <w:p>
            <w:pPr>
              <w:jc w:val="left"/>
            </w:pPr>
            <w:r/>
            <w:r>
              <w:rPr>
                <w:rFonts w:ascii="Calibri" w:hAnsi="Calibri"/>
                <w:b w:val="0"/>
                <w:sz w:val="17"/>
              </w:rPr>
              <w:t>1-year mortality</w:t>
            </w:r>
          </w:p>
        </w:tc>
        <w:tc>
          <w:tcPr>
            <w:tcW w:type="dxa" w:w="1728"/>
            <w:vAlign w:val="center"/>
            <w:tcMar>
              <w:top w:w="80" w:type="dxa"/>
              <w:start w:w="100" w:type="dxa"/>
              <w:bottom w:w="80" w:type="dxa"/>
              <w:end w:w="100" w:type="dxa"/>
            </w:tcMar>
          </w:tcPr>
          <w:p>
            <w:pPr>
              <w:jc w:val="left"/>
            </w:pPr>
            <w:r/>
            <w:r>
              <w:rPr>
                <w:rFonts w:ascii="Calibri" w:hAnsi="Calibri"/>
                <w:b w:val="0"/>
                <w:sz w:val="17"/>
              </w:rPr>
              <w:t>Chronic renal disease</w:t>
            </w:r>
          </w:p>
        </w:tc>
        <w:tc>
          <w:tcPr>
            <w:tcW w:type="dxa" w:w="1555"/>
            <w:vAlign w:val="center"/>
            <w:tcMar>
              <w:top w:w="80" w:type="dxa"/>
              <w:start w:w="100" w:type="dxa"/>
              <w:bottom w:w="80" w:type="dxa"/>
              <w:end w:w="100" w:type="dxa"/>
            </w:tcMar>
          </w:tcPr>
          <w:p>
            <w:pPr>
              <w:jc w:val="left"/>
            </w:pPr>
            <w:r/>
            <w:r>
              <w:rPr>
                <w:rFonts w:ascii="Calibri" w:hAnsi="Calibri"/>
                <w:b w:val="0"/>
                <w:sz w:val="17"/>
              </w:rPr>
              <w:t>No</w:t>
            </w:r>
          </w:p>
        </w:tc>
        <w:tc>
          <w:tcPr>
            <w:tcW w:type="dxa" w:w="1066"/>
            <w:vAlign w:val="center"/>
            <w:tcMar>
              <w:top w:w="80" w:type="dxa"/>
              <w:start w:w="100" w:type="dxa"/>
              <w:bottom w:w="80" w:type="dxa"/>
              <w:end w:w="100" w:type="dxa"/>
            </w:tcMar>
          </w:tcPr>
          <w:p>
            <w:pPr>
              <w:jc w:val="left"/>
            </w:pPr>
            <w:r/>
            <w:r>
              <w:rPr>
                <w:rFonts w:ascii="Calibri" w:hAnsi="Calibri"/>
                <w:b w:val="0"/>
                <w:sz w:val="17"/>
              </w:rPr>
              <w:t>2198</w:t>
            </w:r>
          </w:p>
        </w:tc>
        <w:tc>
          <w:tcPr>
            <w:tcW w:type="dxa" w:w="1037"/>
            <w:vAlign w:val="center"/>
            <w:tcMar>
              <w:top w:w="80" w:type="dxa"/>
              <w:start w:w="100" w:type="dxa"/>
              <w:bottom w:w="80" w:type="dxa"/>
              <w:end w:w="100" w:type="dxa"/>
            </w:tcMar>
          </w:tcPr>
          <w:p>
            <w:pPr>
              <w:jc w:val="left"/>
            </w:pPr>
            <w:r/>
            <w:r>
              <w:rPr>
                <w:rFonts w:ascii="Calibri" w:hAnsi="Calibri"/>
                <w:b w:val="0"/>
                <w:sz w:val="17"/>
              </w:rPr>
              <w:t>712</w:t>
            </w:r>
          </w:p>
        </w:tc>
        <w:tc>
          <w:tcPr>
            <w:tcW w:type="dxa" w:w="2448"/>
            <w:vAlign w:val="center"/>
            <w:tcMar>
              <w:top w:w="80" w:type="dxa"/>
              <w:start w:w="100" w:type="dxa"/>
              <w:bottom w:w="80" w:type="dxa"/>
              <w:end w:w="100" w:type="dxa"/>
            </w:tcMar>
          </w:tcPr>
          <w:p>
            <w:pPr>
              <w:jc w:val="left"/>
            </w:pPr>
            <w:r/>
            <w:r>
              <w:rPr>
                <w:rFonts w:ascii="Calibri" w:hAnsi="Calibri"/>
                <w:b w:val="0"/>
                <w:sz w:val="17"/>
              </w:rPr>
              <w:t>0.83 (0.63-1.08); P=0.170</w:t>
            </w:r>
          </w:p>
        </w:tc>
        <w:tc>
          <w:tcPr>
            <w:tcW w:type="dxa" w:w="2664"/>
            <w:vAlign w:val="center"/>
            <w:tcMar>
              <w:top w:w="80" w:type="dxa"/>
              <w:start w:w="100" w:type="dxa"/>
              <w:bottom w:w="80" w:type="dxa"/>
              <w:end w:w="100" w:type="dxa"/>
            </w:tcMar>
          </w:tcPr>
          <w:p>
            <w:pPr>
              <w:jc w:val="left"/>
            </w:pPr>
            <w:r/>
            <w:r>
              <w:rPr>
                <w:rFonts w:ascii="Calibri" w:hAnsi="Calibri"/>
                <w:b w:val="0"/>
                <w:sz w:val="17"/>
              </w:rPr>
              <w:t>1.27 (1.01-1.62); P=0.045</w:t>
            </w:r>
          </w:p>
        </w:tc>
        <w:tc>
          <w:tcPr>
            <w:tcW w:type="dxa" w:w="1066"/>
            <w:vAlign w:val="center"/>
            <w:tcMar>
              <w:top w:w="80" w:type="dxa"/>
              <w:start w:w="100" w:type="dxa"/>
              <w:bottom w:w="80" w:type="dxa"/>
              <w:end w:w="100" w:type="dxa"/>
            </w:tcMar>
          </w:tcPr>
          <w:p>
            <w:pPr>
              <w:jc w:val="left"/>
            </w:pPr>
            <w:r/>
            <w:r>
              <w:rPr>
                <w:rFonts w:ascii="Calibri" w:hAnsi="Calibri"/>
                <w:b w:val="0"/>
                <w:sz w:val="17"/>
              </w:rPr>
              <w:t>0.053</w:t>
            </w:r>
          </w:p>
        </w:tc>
      </w:tr>
      <w:tr>
        <w:trPr>
          <w:cantSplit/>
        </w:trPr>
        <w:tc>
          <w:tcPr>
            <w:tcW w:type="dxa" w:w="1238"/>
            <w:vAlign w:val="center"/>
            <w:tcMar>
              <w:top w:w="80" w:type="dxa"/>
              <w:start w:w="100" w:type="dxa"/>
              <w:bottom w:w="80" w:type="dxa"/>
              <w:end w:w="100" w:type="dxa"/>
            </w:tcMar>
          </w:tcPr>
          <w:p>
            <w:pPr>
              <w:jc w:val="left"/>
            </w:pPr>
            <w:r/>
            <w:r>
              <w:rPr>
                <w:rFonts w:ascii="Calibri" w:hAnsi="Calibri"/>
                <w:b w:val="0"/>
                <w:sz w:val="17"/>
              </w:rPr>
              <w:t>1-year mortality</w:t>
            </w:r>
          </w:p>
        </w:tc>
        <w:tc>
          <w:tcPr>
            <w:tcW w:type="dxa" w:w="1728"/>
            <w:vAlign w:val="center"/>
            <w:tcMar>
              <w:top w:w="80" w:type="dxa"/>
              <w:start w:w="100" w:type="dxa"/>
              <w:bottom w:w="80" w:type="dxa"/>
              <w:end w:w="100" w:type="dxa"/>
            </w:tcMar>
          </w:tcPr>
          <w:p>
            <w:pPr>
              <w:jc w:val="left"/>
            </w:pPr>
            <w:r/>
            <w:r>
              <w:rPr>
                <w:rFonts w:ascii="Calibri" w:hAnsi="Calibri"/>
                <w:b w:val="0"/>
                <w:sz w:val="17"/>
              </w:rPr>
              <w:t>Chronic renal disease</w:t>
            </w:r>
          </w:p>
        </w:tc>
        <w:tc>
          <w:tcPr>
            <w:tcW w:type="dxa" w:w="1555"/>
            <w:vAlign w:val="center"/>
            <w:tcMar>
              <w:top w:w="80" w:type="dxa"/>
              <w:start w:w="100" w:type="dxa"/>
              <w:bottom w:w="80" w:type="dxa"/>
              <w:end w:w="100" w:type="dxa"/>
            </w:tcMar>
          </w:tcPr>
          <w:p>
            <w:pPr>
              <w:jc w:val="left"/>
            </w:pPr>
            <w:r/>
            <w:r>
              <w:rPr>
                <w:rFonts w:ascii="Calibri" w:hAnsi="Calibri"/>
                <w:b w:val="0"/>
                <w:sz w:val="17"/>
              </w:rPr>
              <w:t>Yes</w:t>
            </w:r>
          </w:p>
        </w:tc>
        <w:tc>
          <w:tcPr>
            <w:tcW w:type="dxa" w:w="1066"/>
            <w:vAlign w:val="center"/>
            <w:tcMar>
              <w:top w:w="80" w:type="dxa"/>
              <w:start w:w="100" w:type="dxa"/>
              <w:bottom w:w="80" w:type="dxa"/>
              <w:end w:w="100" w:type="dxa"/>
            </w:tcMar>
          </w:tcPr>
          <w:p>
            <w:pPr>
              <w:jc w:val="left"/>
            </w:pPr>
            <w:r/>
            <w:r>
              <w:rPr>
                <w:rFonts w:ascii="Calibri" w:hAnsi="Calibri"/>
                <w:b w:val="0"/>
                <w:sz w:val="17"/>
              </w:rPr>
              <w:t>1243</w:t>
            </w:r>
          </w:p>
        </w:tc>
        <w:tc>
          <w:tcPr>
            <w:tcW w:type="dxa" w:w="1037"/>
            <w:vAlign w:val="center"/>
            <w:tcMar>
              <w:top w:w="80" w:type="dxa"/>
              <w:start w:w="100" w:type="dxa"/>
              <w:bottom w:w="80" w:type="dxa"/>
              <w:end w:w="100" w:type="dxa"/>
            </w:tcMar>
          </w:tcPr>
          <w:p>
            <w:pPr>
              <w:jc w:val="left"/>
            </w:pPr>
            <w:r/>
            <w:r>
              <w:rPr>
                <w:rFonts w:ascii="Calibri" w:hAnsi="Calibri"/>
                <w:b w:val="0"/>
                <w:sz w:val="17"/>
              </w:rPr>
              <w:t>573</w:t>
            </w:r>
          </w:p>
        </w:tc>
        <w:tc>
          <w:tcPr>
            <w:tcW w:type="dxa" w:w="2448"/>
            <w:vAlign w:val="center"/>
            <w:tcMar>
              <w:top w:w="80" w:type="dxa"/>
              <w:start w:w="100" w:type="dxa"/>
              <w:bottom w:w="80" w:type="dxa"/>
              <w:end w:w="100" w:type="dxa"/>
            </w:tcMar>
          </w:tcPr>
          <w:p>
            <w:pPr>
              <w:jc w:val="left"/>
            </w:pPr>
            <w:r/>
            <w:r>
              <w:rPr>
                <w:rFonts w:ascii="Calibri" w:hAnsi="Calibri"/>
                <w:b w:val="0"/>
                <w:sz w:val="17"/>
              </w:rPr>
              <w:t>1.30 (0.88-1.91); P=0.187</w:t>
            </w:r>
          </w:p>
        </w:tc>
        <w:tc>
          <w:tcPr>
            <w:tcW w:type="dxa" w:w="2664"/>
            <w:vAlign w:val="center"/>
            <w:tcMar>
              <w:top w:w="80" w:type="dxa"/>
              <w:start w:w="100" w:type="dxa"/>
              <w:bottom w:w="80" w:type="dxa"/>
              <w:end w:w="100" w:type="dxa"/>
            </w:tcMar>
          </w:tcPr>
          <w:p>
            <w:pPr>
              <w:jc w:val="left"/>
            </w:pPr>
            <w:r/>
            <w:r>
              <w:rPr>
                <w:rFonts w:ascii="Calibri" w:hAnsi="Calibri"/>
                <w:b w:val="0"/>
                <w:sz w:val="17"/>
              </w:rPr>
              <w:t>1.51 (1.06-2.17); P=0.024</w:t>
            </w:r>
          </w:p>
        </w:tc>
        <w:tc>
          <w:tcPr>
            <w:tcW w:type="dxa" w:w="1066"/>
            <w:vAlign w:val="center"/>
            <w:tcMar>
              <w:top w:w="80" w:type="dxa"/>
              <w:start w:w="100" w:type="dxa"/>
              <w:bottom w:w="80" w:type="dxa"/>
              <w:end w:w="100" w:type="dxa"/>
            </w:tcMar>
          </w:tcPr>
          <w:p>
            <w:pPr>
              <w:jc w:val="left"/>
            </w:pPr>
            <w:r/>
            <w:r>
              <w:rPr>
                <w:rFonts w:ascii="Calibri" w:hAnsi="Calibri"/>
                <w:b w:val="0"/>
                <w:sz w:val="17"/>
              </w:rPr>
              <w:t>0.053</w:t>
            </w:r>
          </w:p>
        </w:tc>
      </w:tr>
      <w:tr>
        <w:trPr>
          <w:cantSplit/>
        </w:trPr>
        <w:tc>
          <w:tcPr>
            <w:tcW w:type="dxa" w:w="1238"/>
            <w:vAlign w:val="center"/>
            <w:tcMar>
              <w:top w:w="80" w:type="dxa"/>
              <w:start w:w="100" w:type="dxa"/>
              <w:bottom w:w="80" w:type="dxa"/>
              <w:end w:w="100" w:type="dxa"/>
            </w:tcMar>
          </w:tcPr>
          <w:p>
            <w:pPr>
              <w:jc w:val="left"/>
            </w:pPr>
            <w:r/>
            <w:r>
              <w:rPr>
                <w:rFonts w:ascii="Calibri" w:hAnsi="Calibri"/>
                <w:b w:val="0"/>
                <w:sz w:val="17"/>
              </w:rPr>
              <w:t>1-year mortality</w:t>
            </w:r>
          </w:p>
        </w:tc>
        <w:tc>
          <w:tcPr>
            <w:tcW w:type="dxa" w:w="1728"/>
            <w:vAlign w:val="center"/>
            <w:tcMar>
              <w:top w:w="80" w:type="dxa"/>
              <w:start w:w="100" w:type="dxa"/>
              <w:bottom w:w="80" w:type="dxa"/>
              <w:end w:w="100" w:type="dxa"/>
            </w:tcMar>
          </w:tcPr>
          <w:p>
            <w:pPr>
              <w:jc w:val="left"/>
            </w:pPr>
            <w:r/>
            <w:r>
              <w:rPr>
                <w:rFonts w:ascii="Calibri" w:hAnsi="Calibri"/>
                <w:b w:val="0"/>
                <w:sz w:val="17"/>
              </w:rPr>
              <w:t>Vasoactive drug use within 72 h</w:t>
            </w:r>
          </w:p>
        </w:tc>
        <w:tc>
          <w:tcPr>
            <w:tcW w:type="dxa" w:w="1555"/>
            <w:vAlign w:val="center"/>
            <w:tcMar>
              <w:top w:w="80" w:type="dxa"/>
              <w:start w:w="100" w:type="dxa"/>
              <w:bottom w:w="80" w:type="dxa"/>
              <w:end w:w="100" w:type="dxa"/>
            </w:tcMar>
          </w:tcPr>
          <w:p>
            <w:pPr>
              <w:jc w:val="left"/>
            </w:pPr>
            <w:r/>
            <w:r>
              <w:rPr>
                <w:rFonts w:ascii="Calibri" w:hAnsi="Calibri"/>
                <w:b w:val="0"/>
                <w:sz w:val="17"/>
              </w:rPr>
              <w:t>No</w:t>
            </w:r>
          </w:p>
        </w:tc>
        <w:tc>
          <w:tcPr>
            <w:tcW w:type="dxa" w:w="1066"/>
            <w:vAlign w:val="center"/>
            <w:tcMar>
              <w:top w:w="80" w:type="dxa"/>
              <w:start w:w="100" w:type="dxa"/>
              <w:bottom w:w="80" w:type="dxa"/>
              <w:end w:w="100" w:type="dxa"/>
            </w:tcMar>
          </w:tcPr>
          <w:p>
            <w:pPr>
              <w:jc w:val="left"/>
            </w:pPr>
            <w:r/>
            <w:r>
              <w:rPr>
                <w:rFonts w:ascii="Calibri" w:hAnsi="Calibri"/>
                <w:b w:val="0"/>
                <w:sz w:val="17"/>
              </w:rPr>
              <w:t>1682</w:t>
            </w:r>
          </w:p>
        </w:tc>
        <w:tc>
          <w:tcPr>
            <w:tcW w:type="dxa" w:w="1037"/>
            <w:vAlign w:val="center"/>
            <w:tcMar>
              <w:top w:w="80" w:type="dxa"/>
              <w:start w:w="100" w:type="dxa"/>
              <w:bottom w:w="80" w:type="dxa"/>
              <w:end w:w="100" w:type="dxa"/>
            </w:tcMar>
          </w:tcPr>
          <w:p>
            <w:pPr>
              <w:jc w:val="left"/>
            </w:pPr>
            <w:r/>
            <w:r>
              <w:rPr>
                <w:rFonts w:ascii="Calibri" w:hAnsi="Calibri"/>
                <w:b w:val="0"/>
                <w:sz w:val="17"/>
              </w:rPr>
              <w:t>585</w:t>
            </w:r>
          </w:p>
        </w:tc>
        <w:tc>
          <w:tcPr>
            <w:tcW w:type="dxa" w:w="2448"/>
            <w:vAlign w:val="center"/>
            <w:tcMar>
              <w:top w:w="80" w:type="dxa"/>
              <w:start w:w="100" w:type="dxa"/>
              <w:bottom w:w="80" w:type="dxa"/>
              <w:end w:w="100" w:type="dxa"/>
            </w:tcMar>
          </w:tcPr>
          <w:p>
            <w:pPr>
              <w:jc w:val="left"/>
            </w:pPr>
            <w:r/>
            <w:r>
              <w:rPr>
                <w:rFonts w:ascii="Calibri" w:hAnsi="Calibri"/>
                <w:b w:val="0"/>
                <w:sz w:val="17"/>
              </w:rPr>
              <w:t>1.07 (0.80-1.42); P=0.653</w:t>
            </w:r>
          </w:p>
        </w:tc>
        <w:tc>
          <w:tcPr>
            <w:tcW w:type="dxa" w:w="2664"/>
            <w:vAlign w:val="center"/>
            <w:tcMar>
              <w:top w:w="80" w:type="dxa"/>
              <w:start w:w="100" w:type="dxa"/>
              <w:bottom w:w="80" w:type="dxa"/>
              <w:end w:w="100" w:type="dxa"/>
            </w:tcMar>
          </w:tcPr>
          <w:p>
            <w:pPr>
              <w:jc w:val="left"/>
            </w:pPr>
            <w:r/>
            <w:r>
              <w:rPr>
                <w:rFonts w:ascii="Calibri" w:hAnsi="Calibri"/>
                <w:b w:val="0"/>
                <w:sz w:val="17"/>
              </w:rPr>
              <w:t>1.24 (0.95-1.61); P=0.113</w:t>
            </w:r>
          </w:p>
        </w:tc>
        <w:tc>
          <w:tcPr>
            <w:tcW w:type="dxa" w:w="1066"/>
            <w:vAlign w:val="center"/>
            <w:tcMar>
              <w:top w:w="80" w:type="dxa"/>
              <w:start w:w="100" w:type="dxa"/>
              <w:bottom w:w="80" w:type="dxa"/>
              <w:end w:w="100" w:type="dxa"/>
            </w:tcMar>
          </w:tcPr>
          <w:p>
            <w:pPr>
              <w:jc w:val="left"/>
            </w:pPr>
            <w:r/>
            <w:r>
              <w:rPr>
                <w:rFonts w:ascii="Calibri" w:hAnsi="Calibri"/>
                <w:b w:val="0"/>
                <w:sz w:val="17"/>
              </w:rPr>
              <w:t>0.141</w:t>
            </w:r>
          </w:p>
        </w:tc>
      </w:tr>
      <w:tr>
        <w:trPr>
          <w:cantSplit/>
        </w:trPr>
        <w:tc>
          <w:tcPr>
            <w:tcW w:type="dxa" w:w="1238"/>
            <w:vAlign w:val="center"/>
            <w:tcMar>
              <w:top w:w="80" w:type="dxa"/>
              <w:start w:w="100" w:type="dxa"/>
              <w:bottom w:w="80" w:type="dxa"/>
              <w:end w:w="100" w:type="dxa"/>
            </w:tcMar>
          </w:tcPr>
          <w:p>
            <w:pPr>
              <w:jc w:val="left"/>
            </w:pPr>
            <w:r/>
            <w:r>
              <w:rPr>
                <w:rFonts w:ascii="Calibri" w:hAnsi="Calibri"/>
                <w:b w:val="0"/>
                <w:sz w:val="17"/>
              </w:rPr>
              <w:t>1-year mortality</w:t>
            </w:r>
          </w:p>
        </w:tc>
        <w:tc>
          <w:tcPr>
            <w:tcW w:type="dxa" w:w="1728"/>
            <w:vAlign w:val="center"/>
            <w:tcMar>
              <w:top w:w="80" w:type="dxa"/>
              <w:start w:w="100" w:type="dxa"/>
              <w:bottom w:w="80" w:type="dxa"/>
              <w:end w:w="100" w:type="dxa"/>
            </w:tcMar>
          </w:tcPr>
          <w:p>
            <w:pPr>
              <w:jc w:val="left"/>
            </w:pPr>
            <w:r/>
            <w:r>
              <w:rPr>
                <w:rFonts w:ascii="Calibri" w:hAnsi="Calibri"/>
                <w:b w:val="0"/>
                <w:sz w:val="17"/>
              </w:rPr>
              <w:t>Vasoactive drug use within 72 h</w:t>
            </w:r>
          </w:p>
        </w:tc>
        <w:tc>
          <w:tcPr>
            <w:tcW w:type="dxa" w:w="1555"/>
            <w:vAlign w:val="center"/>
            <w:tcMar>
              <w:top w:w="80" w:type="dxa"/>
              <w:start w:w="100" w:type="dxa"/>
              <w:bottom w:w="80" w:type="dxa"/>
              <w:end w:w="100" w:type="dxa"/>
            </w:tcMar>
          </w:tcPr>
          <w:p>
            <w:pPr>
              <w:jc w:val="left"/>
            </w:pPr>
            <w:r/>
            <w:r>
              <w:rPr>
                <w:rFonts w:ascii="Calibri" w:hAnsi="Calibri"/>
                <w:b w:val="0"/>
                <w:sz w:val="17"/>
              </w:rPr>
              <w:t>Yes</w:t>
            </w:r>
          </w:p>
        </w:tc>
        <w:tc>
          <w:tcPr>
            <w:tcW w:type="dxa" w:w="1066"/>
            <w:vAlign w:val="center"/>
            <w:tcMar>
              <w:top w:w="80" w:type="dxa"/>
              <w:start w:w="100" w:type="dxa"/>
              <w:bottom w:w="80" w:type="dxa"/>
              <w:end w:w="100" w:type="dxa"/>
            </w:tcMar>
          </w:tcPr>
          <w:p>
            <w:pPr>
              <w:jc w:val="left"/>
            </w:pPr>
            <w:r/>
            <w:r>
              <w:rPr>
                <w:rFonts w:ascii="Calibri" w:hAnsi="Calibri"/>
                <w:b w:val="0"/>
                <w:sz w:val="17"/>
              </w:rPr>
              <w:t>1776</w:t>
            </w:r>
          </w:p>
        </w:tc>
        <w:tc>
          <w:tcPr>
            <w:tcW w:type="dxa" w:w="1037"/>
            <w:vAlign w:val="center"/>
            <w:tcMar>
              <w:top w:w="80" w:type="dxa"/>
              <w:start w:w="100" w:type="dxa"/>
              <w:bottom w:w="80" w:type="dxa"/>
              <w:end w:w="100" w:type="dxa"/>
            </w:tcMar>
          </w:tcPr>
          <w:p>
            <w:pPr>
              <w:jc w:val="left"/>
            </w:pPr>
            <w:r/>
            <w:r>
              <w:rPr>
                <w:rFonts w:ascii="Calibri" w:hAnsi="Calibri"/>
                <w:b w:val="0"/>
                <w:sz w:val="17"/>
              </w:rPr>
              <w:t>707</w:t>
            </w:r>
          </w:p>
        </w:tc>
        <w:tc>
          <w:tcPr>
            <w:tcW w:type="dxa" w:w="2448"/>
            <w:vAlign w:val="center"/>
            <w:tcMar>
              <w:top w:w="80" w:type="dxa"/>
              <w:start w:w="100" w:type="dxa"/>
              <w:bottom w:w="80" w:type="dxa"/>
              <w:end w:w="100" w:type="dxa"/>
            </w:tcMar>
          </w:tcPr>
          <w:p>
            <w:pPr>
              <w:jc w:val="left"/>
            </w:pPr>
            <w:r/>
            <w:r>
              <w:rPr>
                <w:rFonts w:ascii="Calibri" w:hAnsi="Calibri"/>
                <w:b w:val="0"/>
                <w:sz w:val="17"/>
              </w:rPr>
              <w:t>0.89 (0.64-1.24); P=0.504</w:t>
            </w:r>
          </w:p>
        </w:tc>
        <w:tc>
          <w:tcPr>
            <w:tcW w:type="dxa" w:w="2664"/>
            <w:vAlign w:val="center"/>
            <w:tcMar>
              <w:top w:w="80" w:type="dxa"/>
              <w:start w:w="100" w:type="dxa"/>
              <w:bottom w:w="80" w:type="dxa"/>
              <w:end w:w="100" w:type="dxa"/>
            </w:tcMar>
          </w:tcPr>
          <w:p>
            <w:pPr>
              <w:jc w:val="left"/>
            </w:pPr>
            <w:r/>
            <w:r>
              <w:rPr>
                <w:rFonts w:ascii="Calibri" w:hAnsi="Calibri"/>
                <w:b w:val="0"/>
                <w:sz w:val="17"/>
              </w:rPr>
              <w:t>1.41 (1.05-1.89); P=0.022</w:t>
            </w:r>
          </w:p>
        </w:tc>
        <w:tc>
          <w:tcPr>
            <w:tcW w:type="dxa" w:w="1066"/>
            <w:vAlign w:val="center"/>
            <w:tcMar>
              <w:top w:w="80" w:type="dxa"/>
              <w:start w:w="100" w:type="dxa"/>
              <w:bottom w:w="80" w:type="dxa"/>
              <w:end w:w="100" w:type="dxa"/>
            </w:tcMar>
          </w:tcPr>
          <w:p>
            <w:pPr>
              <w:jc w:val="left"/>
            </w:pPr>
            <w:r/>
            <w:r>
              <w:rPr>
                <w:rFonts w:ascii="Calibri" w:hAnsi="Calibri"/>
                <w:b w:val="0"/>
                <w:sz w:val="17"/>
              </w:rPr>
              <w:t>0.141</w:t>
            </w:r>
          </w:p>
        </w:tc>
      </w:tr>
      <w:tr>
        <w:trPr>
          <w:cantSplit/>
        </w:trPr>
        <w:tc>
          <w:tcPr>
            <w:tcW w:type="dxa" w:w="1238"/>
            <w:vAlign w:val="center"/>
            <w:tcMar>
              <w:top w:w="80" w:type="dxa"/>
              <w:start w:w="100" w:type="dxa"/>
              <w:bottom w:w="80" w:type="dxa"/>
              <w:end w:w="100" w:type="dxa"/>
            </w:tcMar>
          </w:tcPr>
          <w:p>
            <w:pPr>
              <w:jc w:val="left"/>
            </w:pPr>
            <w:r/>
            <w:r>
              <w:rPr>
                <w:rFonts w:ascii="Calibri" w:hAnsi="Calibri"/>
                <w:b w:val="0"/>
                <w:sz w:val="17"/>
              </w:rPr>
              <w:t>1-year mortality</w:t>
            </w:r>
          </w:p>
        </w:tc>
        <w:tc>
          <w:tcPr>
            <w:tcW w:type="dxa" w:w="1728"/>
            <w:vAlign w:val="center"/>
            <w:tcMar>
              <w:top w:w="80" w:type="dxa"/>
              <w:start w:w="100" w:type="dxa"/>
              <w:bottom w:w="80" w:type="dxa"/>
              <w:end w:w="100" w:type="dxa"/>
            </w:tcMar>
          </w:tcPr>
          <w:p>
            <w:pPr>
              <w:jc w:val="left"/>
            </w:pPr>
            <w:r/>
            <w:r>
              <w:rPr>
                <w:rFonts w:ascii="Calibri" w:hAnsi="Calibri"/>
                <w:b w:val="0"/>
                <w:sz w:val="17"/>
              </w:rPr>
              <w:t>Invasive ventilation within 72 h</w:t>
            </w:r>
          </w:p>
        </w:tc>
        <w:tc>
          <w:tcPr>
            <w:tcW w:type="dxa" w:w="1555"/>
            <w:vAlign w:val="center"/>
            <w:tcMar>
              <w:top w:w="80" w:type="dxa"/>
              <w:start w:w="100" w:type="dxa"/>
              <w:bottom w:w="80" w:type="dxa"/>
              <w:end w:w="100" w:type="dxa"/>
            </w:tcMar>
          </w:tcPr>
          <w:p>
            <w:pPr>
              <w:jc w:val="left"/>
            </w:pPr>
            <w:r/>
            <w:r>
              <w:rPr>
                <w:rFonts w:ascii="Calibri" w:hAnsi="Calibri"/>
                <w:b w:val="0"/>
                <w:sz w:val="17"/>
              </w:rPr>
              <w:t>No</w:t>
            </w:r>
          </w:p>
        </w:tc>
        <w:tc>
          <w:tcPr>
            <w:tcW w:type="dxa" w:w="1066"/>
            <w:vAlign w:val="center"/>
            <w:tcMar>
              <w:top w:w="80" w:type="dxa"/>
              <w:start w:w="100" w:type="dxa"/>
              <w:bottom w:w="80" w:type="dxa"/>
              <w:end w:w="100" w:type="dxa"/>
            </w:tcMar>
          </w:tcPr>
          <w:p>
            <w:pPr>
              <w:jc w:val="left"/>
            </w:pPr>
            <w:r/>
            <w:r>
              <w:rPr>
                <w:rFonts w:ascii="Calibri" w:hAnsi="Calibri"/>
                <w:b w:val="0"/>
                <w:sz w:val="17"/>
              </w:rPr>
              <w:t>1434</w:t>
            </w:r>
          </w:p>
        </w:tc>
        <w:tc>
          <w:tcPr>
            <w:tcW w:type="dxa" w:w="1037"/>
            <w:vAlign w:val="center"/>
            <w:tcMar>
              <w:top w:w="80" w:type="dxa"/>
              <w:start w:w="100" w:type="dxa"/>
              <w:bottom w:w="80" w:type="dxa"/>
              <w:end w:w="100" w:type="dxa"/>
            </w:tcMar>
          </w:tcPr>
          <w:p>
            <w:pPr>
              <w:jc w:val="left"/>
            </w:pPr>
            <w:r/>
            <w:r>
              <w:rPr>
                <w:rFonts w:ascii="Calibri" w:hAnsi="Calibri"/>
                <w:b w:val="0"/>
                <w:sz w:val="17"/>
              </w:rPr>
              <w:t>537</w:t>
            </w:r>
          </w:p>
        </w:tc>
        <w:tc>
          <w:tcPr>
            <w:tcW w:type="dxa" w:w="2448"/>
            <w:vAlign w:val="center"/>
            <w:tcMar>
              <w:top w:w="80" w:type="dxa"/>
              <w:start w:w="100" w:type="dxa"/>
              <w:bottom w:w="80" w:type="dxa"/>
              <w:end w:w="100" w:type="dxa"/>
            </w:tcMar>
          </w:tcPr>
          <w:p>
            <w:pPr>
              <w:jc w:val="left"/>
            </w:pPr>
            <w:r/>
            <w:r>
              <w:rPr>
                <w:rFonts w:ascii="Calibri" w:hAnsi="Calibri"/>
                <w:b w:val="0"/>
                <w:sz w:val="17"/>
              </w:rPr>
              <w:t>0.88 (0.66-1.17); P=0.381</w:t>
            </w:r>
          </w:p>
        </w:tc>
        <w:tc>
          <w:tcPr>
            <w:tcW w:type="dxa" w:w="2664"/>
            <w:vAlign w:val="center"/>
            <w:tcMar>
              <w:top w:w="80" w:type="dxa"/>
              <w:start w:w="100" w:type="dxa"/>
              <w:bottom w:w="80" w:type="dxa"/>
              <w:end w:w="100" w:type="dxa"/>
            </w:tcMar>
          </w:tcPr>
          <w:p>
            <w:pPr>
              <w:jc w:val="left"/>
            </w:pPr>
            <w:r/>
            <w:r>
              <w:rPr>
                <w:rFonts w:ascii="Calibri" w:hAnsi="Calibri"/>
                <w:b w:val="0"/>
                <w:sz w:val="17"/>
              </w:rPr>
              <w:t>1.14 (0.87-1.48); P=0.337</w:t>
            </w:r>
          </w:p>
        </w:tc>
        <w:tc>
          <w:tcPr>
            <w:tcW w:type="dxa" w:w="1066"/>
            <w:vAlign w:val="center"/>
            <w:tcMar>
              <w:top w:w="80" w:type="dxa"/>
              <w:start w:w="100" w:type="dxa"/>
              <w:bottom w:w="80" w:type="dxa"/>
              <w:end w:w="100" w:type="dxa"/>
            </w:tcMar>
          </w:tcPr>
          <w:p>
            <w:pPr>
              <w:jc w:val="left"/>
            </w:pPr>
            <w:r/>
            <w:r>
              <w:rPr>
                <w:rFonts w:ascii="Calibri" w:hAnsi="Calibri"/>
                <w:b w:val="0"/>
                <w:sz w:val="17"/>
              </w:rPr>
              <w:t>0.512</w:t>
            </w:r>
          </w:p>
        </w:tc>
      </w:tr>
      <w:tr>
        <w:trPr>
          <w:cantSplit/>
        </w:trPr>
        <w:tc>
          <w:tcPr>
            <w:tcW w:type="dxa" w:w="1238"/>
            <w:vAlign w:val="center"/>
            <w:tcMar>
              <w:top w:w="80" w:type="dxa"/>
              <w:start w:w="100" w:type="dxa"/>
              <w:bottom w:w="80" w:type="dxa"/>
              <w:end w:w="100" w:type="dxa"/>
            </w:tcMar>
          </w:tcPr>
          <w:p>
            <w:pPr>
              <w:jc w:val="left"/>
            </w:pPr>
            <w:r/>
            <w:r>
              <w:rPr>
                <w:rFonts w:ascii="Calibri" w:hAnsi="Calibri"/>
                <w:b w:val="0"/>
                <w:sz w:val="17"/>
              </w:rPr>
              <w:t>1-year mortality</w:t>
            </w:r>
          </w:p>
        </w:tc>
        <w:tc>
          <w:tcPr>
            <w:tcW w:type="dxa" w:w="1728"/>
            <w:vAlign w:val="center"/>
            <w:tcMar>
              <w:top w:w="80" w:type="dxa"/>
              <w:start w:w="100" w:type="dxa"/>
              <w:bottom w:w="80" w:type="dxa"/>
              <w:end w:w="100" w:type="dxa"/>
            </w:tcMar>
          </w:tcPr>
          <w:p>
            <w:pPr>
              <w:jc w:val="left"/>
            </w:pPr>
            <w:r/>
            <w:r>
              <w:rPr>
                <w:rFonts w:ascii="Calibri" w:hAnsi="Calibri"/>
                <w:b w:val="0"/>
                <w:sz w:val="17"/>
              </w:rPr>
              <w:t>Invasive ventilation within 72 h</w:t>
            </w:r>
          </w:p>
        </w:tc>
        <w:tc>
          <w:tcPr>
            <w:tcW w:type="dxa" w:w="1555"/>
            <w:vAlign w:val="center"/>
            <w:tcMar>
              <w:top w:w="80" w:type="dxa"/>
              <w:start w:w="100" w:type="dxa"/>
              <w:bottom w:w="80" w:type="dxa"/>
              <w:end w:w="100" w:type="dxa"/>
            </w:tcMar>
          </w:tcPr>
          <w:p>
            <w:pPr>
              <w:jc w:val="left"/>
            </w:pPr>
            <w:r/>
            <w:r>
              <w:rPr>
                <w:rFonts w:ascii="Calibri" w:hAnsi="Calibri"/>
                <w:b w:val="0"/>
                <w:sz w:val="17"/>
              </w:rPr>
              <w:t>Yes</w:t>
            </w:r>
          </w:p>
        </w:tc>
        <w:tc>
          <w:tcPr>
            <w:tcW w:type="dxa" w:w="1066"/>
            <w:vAlign w:val="center"/>
            <w:tcMar>
              <w:top w:w="80" w:type="dxa"/>
              <w:start w:w="100" w:type="dxa"/>
              <w:bottom w:w="80" w:type="dxa"/>
              <w:end w:w="100" w:type="dxa"/>
            </w:tcMar>
          </w:tcPr>
          <w:p>
            <w:pPr>
              <w:jc w:val="left"/>
            </w:pPr>
            <w:r/>
            <w:r>
              <w:rPr>
                <w:rFonts w:ascii="Calibri" w:hAnsi="Calibri"/>
                <w:b w:val="0"/>
                <w:sz w:val="17"/>
              </w:rPr>
              <w:t>2024</w:t>
            </w:r>
          </w:p>
        </w:tc>
        <w:tc>
          <w:tcPr>
            <w:tcW w:type="dxa" w:w="1037"/>
            <w:vAlign w:val="center"/>
            <w:tcMar>
              <w:top w:w="80" w:type="dxa"/>
              <w:start w:w="100" w:type="dxa"/>
              <w:bottom w:w="80" w:type="dxa"/>
              <w:end w:w="100" w:type="dxa"/>
            </w:tcMar>
          </w:tcPr>
          <w:p>
            <w:pPr>
              <w:jc w:val="left"/>
            </w:pPr>
            <w:r/>
            <w:r>
              <w:rPr>
                <w:rFonts w:ascii="Calibri" w:hAnsi="Calibri"/>
                <w:b w:val="0"/>
                <w:sz w:val="17"/>
              </w:rPr>
              <w:t>755</w:t>
            </w:r>
          </w:p>
        </w:tc>
        <w:tc>
          <w:tcPr>
            <w:tcW w:type="dxa" w:w="2448"/>
            <w:vAlign w:val="center"/>
            <w:tcMar>
              <w:top w:w="80" w:type="dxa"/>
              <w:start w:w="100" w:type="dxa"/>
              <w:bottom w:w="80" w:type="dxa"/>
              <w:end w:w="100" w:type="dxa"/>
            </w:tcMar>
          </w:tcPr>
          <w:p>
            <w:pPr>
              <w:jc w:val="left"/>
            </w:pPr>
            <w:r/>
            <w:r>
              <w:rPr>
                <w:rFonts w:ascii="Calibri" w:hAnsi="Calibri"/>
                <w:b w:val="0"/>
                <w:sz w:val="17"/>
              </w:rPr>
              <w:t>1.06 (0.76-1.48); P=0.722</w:t>
            </w:r>
          </w:p>
        </w:tc>
        <w:tc>
          <w:tcPr>
            <w:tcW w:type="dxa" w:w="2664"/>
            <w:vAlign w:val="center"/>
            <w:tcMar>
              <w:top w:w="80" w:type="dxa"/>
              <w:start w:w="100" w:type="dxa"/>
              <w:bottom w:w="80" w:type="dxa"/>
              <w:end w:w="100" w:type="dxa"/>
            </w:tcMar>
          </w:tcPr>
          <w:p>
            <w:pPr>
              <w:jc w:val="left"/>
            </w:pPr>
            <w:r/>
            <w:r>
              <w:rPr>
                <w:rFonts w:ascii="Calibri" w:hAnsi="Calibri"/>
                <w:b w:val="0"/>
                <w:sz w:val="17"/>
              </w:rPr>
              <w:t>1.53 (1.14-2.05); P=0.005</w:t>
            </w:r>
          </w:p>
        </w:tc>
        <w:tc>
          <w:tcPr>
            <w:tcW w:type="dxa" w:w="1066"/>
            <w:vAlign w:val="center"/>
            <w:tcMar>
              <w:top w:w="80" w:type="dxa"/>
              <w:start w:w="100" w:type="dxa"/>
              <w:bottom w:w="80" w:type="dxa"/>
              <w:end w:w="100" w:type="dxa"/>
            </w:tcMar>
          </w:tcPr>
          <w:p>
            <w:pPr>
              <w:jc w:val="left"/>
            </w:pPr>
            <w:r/>
            <w:r>
              <w:rPr>
                <w:rFonts w:ascii="Calibri" w:hAnsi="Calibri"/>
                <w:b w:val="0"/>
                <w:sz w:val="17"/>
              </w:rPr>
              <w:t>0.512</w:t>
            </w:r>
          </w:p>
        </w:tc>
      </w:tr>
    </w:tbl>
    <w:p>
      <w:pPr>
        <w:spacing w:before="120"/>
      </w:pPr>
      <w:r>
        <w:rPr>
          <w:sz w:val="17"/>
        </w:rPr>
        <w:t>Abbreviations: AKI, acute kidney injury; AMI, acute myocardial infarction; CI, confidence interval; HR, hazard ratio.</w:t>
      </w:r>
    </w:p>
    <w:p>
      <w:r>
        <w:br w:type="page"/>
      </w:r>
    </w:p>
    <w:p>
      <w:pPr>
        <w:pStyle w:val="Heading1"/>
      </w:pPr>
      <w:r>
        <w:t>Supplementary Table S10</w:t>
      </w:r>
    </w:p>
    <w:p>
      <w:r>
        <w:t>Comparison of patients included and not included in the primary analysis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5" w:type="dxa"/>
          <w:bottom w:w="65" w:type="dxa"/>
          <w:left w:w="65" w:type="dxa"/>
          <w:right w:w="65" w:type="dxa"/>
        </w:tblCellMar>
      </w:tblPr>
      <w:tblGrid>
        <w:gridCol w:w="5904"/>
        <w:gridCol w:w="3240"/>
        <w:gridCol w:w="3240"/>
        <w:gridCol w:w="1728"/>
      </w:tblGrid>
      <w:tr>
        <w:trPr>
          <w:tblHeader/>
          <w:cantSplit/>
          <w:cantSplit/>
          <w:tblHeader/>
        </w:trPr>
        <w:tc>
          <w:tcPr>
            <w:tcW w:type="dxa" w:w="5904"/>
            <w:vAlign w:val="center"/>
            <w:shd w:fill="EAEAEA"/>
          </w:tcPr>
          <w:p>
            <w:pPr>
              <w:spacing w:before="0" w:after="0" w:line="240" w:lineRule="auto"/>
              <w:jc w:val="left"/>
            </w:pPr>
            <w:r>
              <w:rPr>
                <w:sz w:val="18"/>
                <w:b/>
              </w:rPr>
              <w:t>Characteristic</w:t>
            </w:r>
          </w:p>
        </w:tc>
        <w:tc>
          <w:tcPr>
            <w:tcW w:type="dxa" w:w="3240"/>
            <w:vAlign w:val="center"/>
            <w:shd w:fill="EAEAEA"/>
          </w:tcPr>
          <w:p>
            <w:pPr>
              <w:spacing w:before="0" w:after="0" w:line="240" w:lineRule="auto"/>
              <w:jc w:val="center"/>
            </w:pPr>
            <w:r>
              <w:rPr>
                <w:sz w:val="18"/>
                <w:b/>
              </w:rPr>
              <w:t>Included (n = 3464)</w:t>
            </w:r>
          </w:p>
        </w:tc>
        <w:tc>
          <w:tcPr>
            <w:tcW w:type="dxa" w:w="3240"/>
            <w:vAlign w:val="center"/>
            <w:shd w:fill="EAEAEA"/>
          </w:tcPr>
          <w:p>
            <w:pPr>
              <w:spacing w:before="0" w:after="0" w:line="240" w:lineRule="auto"/>
              <w:jc w:val="center"/>
            </w:pPr>
            <w:r>
              <w:rPr>
                <w:sz w:val="18"/>
                <w:b/>
              </w:rPr>
              <w:t>Not included (n = 2810)</w:t>
            </w:r>
          </w:p>
        </w:tc>
        <w:tc>
          <w:tcPr>
            <w:tcW w:type="dxa" w:w="1728"/>
            <w:vAlign w:val="center"/>
            <w:shd w:fill="EAEAEA"/>
          </w:tcPr>
          <w:p>
            <w:pPr>
              <w:spacing w:before="0" w:after="0" w:line="240" w:lineRule="auto"/>
              <w:jc w:val="center"/>
            </w:pPr>
            <w:r>
              <w:rPr>
                <w:sz w:val="18"/>
                <w:b/>
              </w:rPr>
              <w:t>P value</w:t>
            </w:r>
          </w:p>
        </w:tc>
      </w:tr>
      <w:tr>
        <w:trPr>
          <w:cantSplit/>
          <w:cantSplit/>
        </w:trPr>
        <w:tc>
          <w:tcPr>
            <w:tcW w:type="dxa" w:w="5904"/>
            <w:vAlign w:val="center"/>
          </w:tcPr>
          <w:p>
            <w:pPr>
              <w:spacing w:before="0" w:after="0" w:line="240" w:lineRule="auto"/>
              <w:jc w:val="left"/>
            </w:pPr>
            <w:r>
              <w:rPr>
                <w:sz w:val="18"/>
              </w:rPr>
              <w:t>No. of patients</w:t>
            </w:r>
          </w:p>
        </w:tc>
        <w:tc>
          <w:tcPr>
            <w:tcW w:type="dxa" w:w="3240"/>
            <w:vAlign w:val="center"/>
          </w:tcPr>
          <w:p>
            <w:pPr>
              <w:spacing w:before="0" w:after="0" w:line="240" w:lineRule="auto"/>
              <w:jc w:val="center"/>
            </w:pPr>
            <w:r>
              <w:rPr>
                <w:sz w:val="18"/>
              </w:rPr>
              <w:t>3464</w:t>
            </w:r>
          </w:p>
        </w:tc>
        <w:tc>
          <w:tcPr>
            <w:tcW w:type="dxa" w:w="3240"/>
            <w:vAlign w:val="center"/>
          </w:tcPr>
          <w:p>
            <w:pPr>
              <w:spacing w:before="0" w:after="0" w:line="240" w:lineRule="auto"/>
              <w:jc w:val="center"/>
            </w:pPr>
            <w:r>
              <w:rPr>
                <w:sz w:val="18"/>
              </w:rPr>
              <w:t>2810</w:t>
            </w:r>
          </w:p>
        </w:tc>
        <w:tc>
          <w:tcPr>
            <w:tcW w:type="dxa" w:w="1728"/>
            <w:vAlign w:val="center"/>
          </w:tcPr>
          <w:p>
            <w:pPr>
              <w:spacing w:before="0" w:after="0" w:line="240" w:lineRule="auto"/>
              <w:jc w:val="center"/>
            </w:pPr>
            <w:r>
              <w:rPr>
                <w:sz w:val="18"/>
              </w:rPr>
            </w:r>
          </w:p>
        </w:tc>
      </w:tr>
      <w:tr>
        <w:trPr>
          <w:cantSplit/>
          <w:cantSplit/>
        </w:trPr>
        <w:tc>
          <w:tcPr>
            <w:tcW w:type="dxa" w:w="5904"/>
            <w:vAlign w:val="center"/>
          </w:tcPr>
          <w:p>
            <w:pPr>
              <w:spacing w:before="0" w:after="0" w:line="240" w:lineRule="auto"/>
              <w:jc w:val="left"/>
            </w:pPr>
            <w:r>
              <w:rPr>
                <w:sz w:val="18"/>
              </w:rPr>
              <w:t>Age (anchor_age), years</w:t>
            </w:r>
          </w:p>
        </w:tc>
        <w:tc>
          <w:tcPr>
            <w:tcW w:type="dxa" w:w="3240"/>
            <w:vAlign w:val="center"/>
          </w:tcPr>
          <w:p>
            <w:pPr>
              <w:spacing w:before="0" w:after="0" w:line="240" w:lineRule="auto"/>
              <w:jc w:val="center"/>
            </w:pPr>
            <w:r>
              <w:rPr>
                <w:sz w:val="18"/>
              </w:rPr>
              <w:t>71.0 [61.8-78.0]</w:t>
            </w:r>
          </w:p>
        </w:tc>
        <w:tc>
          <w:tcPr>
            <w:tcW w:type="dxa" w:w="3240"/>
            <w:vAlign w:val="center"/>
          </w:tcPr>
          <w:p>
            <w:pPr>
              <w:spacing w:before="0" w:after="0" w:line="240" w:lineRule="auto"/>
              <w:jc w:val="center"/>
            </w:pPr>
            <w:r>
              <w:rPr>
                <w:sz w:val="18"/>
              </w:rPr>
              <w:t>69.0 [60.0-79.0]</w:t>
            </w:r>
          </w:p>
        </w:tc>
        <w:tc>
          <w:tcPr>
            <w:tcW w:type="dxa" w:w="1728"/>
            <w:vAlign w:val="center"/>
          </w:tcPr>
          <w:p>
            <w:pPr>
              <w:spacing w:before="0" w:after="0" w:line="240" w:lineRule="auto"/>
              <w:jc w:val="center"/>
            </w:pPr>
            <w:r>
              <w:rPr>
                <w:sz w:val="18"/>
              </w:rPr>
              <w:t>0.056</w:t>
            </w:r>
          </w:p>
        </w:tc>
      </w:tr>
      <w:tr>
        <w:trPr>
          <w:cantSplit/>
          <w:cantSplit/>
        </w:trPr>
        <w:tc>
          <w:tcPr>
            <w:tcW w:type="dxa" w:w="5904"/>
            <w:vAlign w:val="center"/>
          </w:tcPr>
          <w:p>
            <w:pPr>
              <w:spacing w:before="0" w:after="0" w:line="240" w:lineRule="auto"/>
              <w:jc w:val="left"/>
            </w:pPr>
            <w:r>
              <w:rPr>
                <w:sz w:val="18"/>
              </w:rPr>
              <w:t>Male sex, n/N (%)</w:t>
            </w:r>
          </w:p>
        </w:tc>
        <w:tc>
          <w:tcPr>
            <w:tcW w:type="dxa" w:w="3240"/>
            <w:vAlign w:val="center"/>
          </w:tcPr>
          <w:p>
            <w:pPr>
              <w:spacing w:before="0" w:after="0" w:line="240" w:lineRule="auto"/>
              <w:jc w:val="center"/>
            </w:pPr>
            <w:r>
              <w:rPr>
                <w:sz w:val="18"/>
              </w:rPr>
              <w:t>2174/3464 (62.8)</w:t>
            </w:r>
          </w:p>
        </w:tc>
        <w:tc>
          <w:tcPr>
            <w:tcW w:type="dxa" w:w="3240"/>
            <w:vAlign w:val="center"/>
          </w:tcPr>
          <w:p>
            <w:pPr>
              <w:spacing w:before="0" w:after="0" w:line="240" w:lineRule="auto"/>
              <w:jc w:val="center"/>
            </w:pPr>
            <w:r>
              <w:rPr>
                <w:sz w:val="18"/>
              </w:rPr>
              <w:t>1820/2810 (64.8)</w:t>
            </w:r>
          </w:p>
        </w:tc>
        <w:tc>
          <w:tcPr>
            <w:tcW w:type="dxa" w:w="1728"/>
            <w:vAlign w:val="center"/>
          </w:tcPr>
          <w:p>
            <w:pPr>
              <w:spacing w:before="0" w:after="0" w:line="240" w:lineRule="auto"/>
              <w:jc w:val="center"/>
            </w:pPr>
            <w:r>
              <w:rPr>
                <w:sz w:val="18"/>
              </w:rPr>
              <w:t>0.106</w:t>
            </w:r>
          </w:p>
        </w:tc>
      </w:tr>
      <w:tr>
        <w:trPr>
          <w:cantSplit/>
          <w:cantSplit/>
        </w:trPr>
        <w:tc>
          <w:tcPr>
            <w:tcW w:type="dxa" w:w="5904"/>
            <w:vAlign w:val="center"/>
          </w:tcPr>
          <w:p>
            <w:pPr>
              <w:spacing w:before="0" w:after="0" w:line="240" w:lineRule="auto"/>
              <w:jc w:val="left"/>
            </w:pPr>
            <w:r>
              <w:rPr>
                <w:sz w:val="18"/>
              </w:rPr>
              <w:t>NSTEMI, n/N (%)</w:t>
            </w:r>
          </w:p>
        </w:tc>
        <w:tc>
          <w:tcPr>
            <w:tcW w:type="dxa" w:w="3240"/>
            <w:vAlign w:val="center"/>
          </w:tcPr>
          <w:p>
            <w:pPr>
              <w:spacing w:before="0" w:after="0" w:line="240" w:lineRule="auto"/>
              <w:jc w:val="center"/>
            </w:pPr>
            <w:r>
              <w:rPr>
                <w:sz w:val="18"/>
              </w:rPr>
              <w:t>2065/3464 (59.6)</w:t>
            </w:r>
          </w:p>
        </w:tc>
        <w:tc>
          <w:tcPr>
            <w:tcW w:type="dxa" w:w="3240"/>
            <w:vAlign w:val="center"/>
          </w:tcPr>
          <w:p>
            <w:pPr>
              <w:spacing w:before="0" w:after="0" w:line="240" w:lineRule="auto"/>
              <w:jc w:val="center"/>
            </w:pPr>
            <w:r>
              <w:rPr>
                <w:sz w:val="18"/>
              </w:rPr>
              <w:t>1638/2810 (58.3)</w:t>
            </w:r>
          </w:p>
        </w:tc>
        <w:tc>
          <w:tcPr>
            <w:tcW w:type="dxa" w:w="1728"/>
            <w:vAlign w:val="center"/>
          </w:tcPr>
          <w:p>
            <w:pPr>
              <w:spacing w:before="0" w:after="0" w:line="240" w:lineRule="auto"/>
              <w:jc w:val="center"/>
            </w:pPr>
            <w:r>
              <w:rPr>
                <w:sz w:val="18"/>
              </w:rPr>
              <w:t>0.302</w:t>
            </w:r>
          </w:p>
        </w:tc>
      </w:tr>
      <w:tr>
        <w:trPr>
          <w:cantSplit/>
          <w:cantSplit/>
        </w:trPr>
        <w:tc>
          <w:tcPr>
            <w:tcW w:type="dxa" w:w="5904"/>
            <w:vAlign w:val="center"/>
          </w:tcPr>
          <w:p>
            <w:pPr>
              <w:spacing w:before="0" w:after="0" w:line="240" w:lineRule="auto"/>
              <w:jc w:val="left"/>
            </w:pPr>
            <w:r>
              <w:rPr>
                <w:sz w:val="18"/>
              </w:rPr>
              <w:t>Congestive heart failure, n/N (%)</w:t>
            </w:r>
          </w:p>
        </w:tc>
        <w:tc>
          <w:tcPr>
            <w:tcW w:type="dxa" w:w="3240"/>
            <w:vAlign w:val="center"/>
          </w:tcPr>
          <w:p>
            <w:pPr>
              <w:spacing w:before="0" w:after="0" w:line="240" w:lineRule="auto"/>
              <w:jc w:val="center"/>
            </w:pPr>
            <w:r>
              <w:rPr>
                <w:sz w:val="18"/>
              </w:rPr>
              <w:t>2084/3447 (60.5)</w:t>
            </w:r>
          </w:p>
        </w:tc>
        <w:tc>
          <w:tcPr>
            <w:tcW w:type="dxa" w:w="3240"/>
            <w:vAlign w:val="center"/>
          </w:tcPr>
          <w:p>
            <w:pPr>
              <w:spacing w:before="0" w:after="0" w:line="240" w:lineRule="auto"/>
              <w:jc w:val="center"/>
            </w:pPr>
            <w:r>
              <w:rPr>
                <w:sz w:val="18"/>
              </w:rPr>
              <w:t>1356/2793 (48.5)</w:t>
            </w:r>
          </w:p>
        </w:tc>
        <w:tc>
          <w:tcPr>
            <w:tcW w:type="dxa" w:w="1728"/>
            <w:vAlign w:val="center"/>
          </w:tcPr>
          <w:p>
            <w:pPr>
              <w:spacing w:before="0" w:after="0" w:line="240" w:lineRule="auto"/>
              <w:jc w:val="center"/>
            </w:pPr>
            <w:r>
              <w:rPr>
                <w:sz w:val="18"/>
              </w:rPr>
              <w:t>&lt;0.001</w:t>
            </w:r>
          </w:p>
        </w:tc>
      </w:tr>
      <w:tr>
        <w:trPr>
          <w:cantSplit/>
          <w:cantSplit/>
        </w:trPr>
        <w:tc>
          <w:tcPr>
            <w:tcW w:type="dxa" w:w="5904"/>
            <w:vAlign w:val="center"/>
          </w:tcPr>
          <w:p>
            <w:pPr>
              <w:spacing w:before="0" w:after="0" w:line="240" w:lineRule="auto"/>
              <w:jc w:val="left"/>
            </w:pPr>
            <w:r>
              <w:rPr>
                <w:sz w:val="18"/>
              </w:rPr>
              <w:t>Chronic renal disease, n/N (%)</w:t>
            </w:r>
          </w:p>
        </w:tc>
        <w:tc>
          <w:tcPr>
            <w:tcW w:type="dxa" w:w="3240"/>
            <w:vAlign w:val="center"/>
          </w:tcPr>
          <w:p>
            <w:pPr>
              <w:spacing w:before="0" w:after="0" w:line="240" w:lineRule="auto"/>
              <w:jc w:val="center"/>
            </w:pPr>
            <w:r>
              <w:rPr>
                <w:sz w:val="18"/>
              </w:rPr>
              <w:t>1245/3447 (36.1)</w:t>
            </w:r>
          </w:p>
        </w:tc>
        <w:tc>
          <w:tcPr>
            <w:tcW w:type="dxa" w:w="3240"/>
            <w:vAlign w:val="center"/>
          </w:tcPr>
          <w:p>
            <w:pPr>
              <w:spacing w:before="0" w:after="0" w:line="240" w:lineRule="auto"/>
              <w:jc w:val="center"/>
            </w:pPr>
            <w:r>
              <w:rPr>
                <w:sz w:val="18"/>
              </w:rPr>
              <w:t>908/2793 (32.5)</w:t>
            </w:r>
          </w:p>
        </w:tc>
        <w:tc>
          <w:tcPr>
            <w:tcW w:type="dxa" w:w="1728"/>
            <w:vAlign w:val="center"/>
          </w:tcPr>
          <w:p>
            <w:pPr>
              <w:spacing w:before="0" w:after="0" w:line="240" w:lineRule="auto"/>
              <w:jc w:val="center"/>
            </w:pPr>
            <w:r>
              <w:rPr>
                <w:sz w:val="18"/>
              </w:rPr>
              <w:t>0.003</w:t>
            </w:r>
          </w:p>
        </w:tc>
      </w:tr>
      <w:tr>
        <w:trPr>
          <w:cantSplit/>
          <w:cantSplit/>
        </w:trPr>
        <w:tc>
          <w:tcPr>
            <w:tcW w:type="dxa" w:w="5904"/>
            <w:vAlign w:val="center"/>
          </w:tcPr>
          <w:p>
            <w:pPr>
              <w:spacing w:before="0" w:after="0" w:line="240" w:lineRule="auto"/>
              <w:jc w:val="left"/>
            </w:pPr>
            <w:r>
              <w:rPr>
                <w:sz w:val="18"/>
              </w:rPr>
              <w:t>Charlson comorbidity index</w:t>
            </w:r>
          </w:p>
        </w:tc>
        <w:tc>
          <w:tcPr>
            <w:tcW w:type="dxa" w:w="3240"/>
            <w:vAlign w:val="center"/>
          </w:tcPr>
          <w:p>
            <w:pPr>
              <w:spacing w:before="0" w:after="0" w:line="240" w:lineRule="auto"/>
              <w:jc w:val="center"/>
            </w:pPr>
            <w:r>
              <w:rPr>
                <w:sz w:val="18"/>
              </w:rPr>
              <w:t>7.0 [5.0-9.0]</w:t>
            </w:r>
          </w:p>
        </w:tc>
        <w:tc>
          <w:tcPr>
            <w:tcW w:type="dxa" w:w="3240"/>
            <w:vAlign w:val="center"/>
          </w:tcPr>
          <w:p>
            <w:pPr>
              <w:spacing w:before="0" w:after="0" w:line="240" w:lineRule="auto"/>
              <w:jc w:val="center"/>
            </w:pPr>
            <w:r>
              <w:rPr>
                <w:sz w:val="18"/>
              </w:rPr>
              <w:t>6.0 [4.0-8.0]</w:t>
            </w:r>
          </w:p>
        </w:tc>
        <w:tc>
          <w:tcPr>
            <w:tcW w:type="dxa" w:w="1728"/>
            <w:vAlign w:val="center"/>
          </w:tcPr>
          <w:p>
            <w:pPr>
              <w:spacing w:before="0" w:after="0" w:line="240" w:lineRule="auto"/>
              <w:jc w:val="center"/>
            </w:pPr>
            <w:r>
              <w:rPr>
                <w:sz w:val="18"/>
              </w:rPr>
              <w:t>&lt;0.001</w:t>
            </w:r>
          </w:p>
        </w:tc>
      </w:tr>
      <w:tr>
        <w:trPr>
          <w:cantSplit/>
          <w:cantSplit/>
        </w:trPr>
        <w:tc>
          <w:tcPr>
            <w:tcW w:type="dxa" w:w="5904"/>
            <w:vAlign w:val="center"/>
          </w:tcPr>
          <w:p>
            <w:pPr>
              <w:spacing w:before="0" w:after="0" w:line="240" w:lineRule="auto"/>
              <w:jc w:val="left"/>
            </w:pPr>
            <w:r>
              <w:rPr>
                <w:sz w:val="18"/>
              </w:rPr>
              <w:t>Non-renal SOFA score</w:t>
            </w:r>
          </w:p>
        </w:tc>
        <w:tc>
          <w:tcPr>
            <w:tcW w:type="dxa" w:w="3240"/>
            <w:vAlign w:val="center"/>
          </w:tcPr>
          <w:p>
            <w:pPr>
              <w:spacing w:before="0" w:after="0" w:line="240" w:lineRule="auto"/>
              <w:jc w:val="center"/>
            </w:pPr>
            <w:r>
              <w:rPr>
                <w:sz w:val="18"/>
              </w:rPr>
              <w:t>4.0 [2.0-7.0]</w:t>
            </w:r>
          </w:p>
        </w:tc>
        <w:tc>
          <w:tcPr>
            <w:tcW w:type="dxa" w:w="3240"/>
            <w:vAlign w:val="center"/>
          </w:tcPr>
          <w:p>
            <w:pPr>
              <w:spacing w:before="0" w:after="0" w:line="240" w:lineRule="auto"/>
              <w:jc w:val="center"/>
            </w:pPr>
            <w:r>
              <w:rPr>
                <w:sz w:val="18"/>
              </w:rPr>
              <w:t>3.0 [1.0-5.0]</w:t>
            </w:r>
          </w:p>
        </w:tc>
        <w:tc>
          <w:tcPr>
            <w:tcW w:type="dxa" w:w="1728"/>
            <w:vAlign w:val="center"/>
          </w:tcPr>
          <w:p>
            <w:pPr>
              <w:spacing w:before="0" w:after="0" w:line="240" w:lineRule="auto"/>
              <w:jc w:val="center"/>
            </w:pPr>
            <w:r>
              <w:rPr>
                <w:sz w:val="18"/>
              </w:rPr>
              <w:t>&lt;0.001</w:t>
            </w:r>
          </w:p>
        </w:tc>
      </w:tr>
      <w:tr>
        <w:trPr>
          <w:cantSplit/>
          <w:cantSplit/>
        </w:trPr>
        <w:tc>
          <w:tcPr>
            <w:tcW w:type="dxa" w:w="5904"/>
            <w:vAlign w:val="center"/>
          </w:tcPr>
          <w:p>
            <w:pPr>
              <w:spacing w:before="0" w:after="0" w:line="240" w:lineRule="auto"/>
              <w:jc w:val="left"/>
            </w:pPr>
            <w:r>
              <w:rPr>
                <w:sz w:val="18"/>
              </w:rPr>
              <w:t>SAPS II</w:t>
            </w:r>
          </w:p>
        </w:tc>
        <w:tc>
          <w:tcPr>
            <w:tcW w:type="dxa" w:w="3240"/>
            <w:vAlign w:val="center"/>
          </w:tcPr>
          <w:p>
            <w:pPr>
              <w:spacing w:before="0" w:after="0" w:line="240" w:lineRule="auto"/>
              <w:jc w:val="center"/>
            </w:pPr>
            <w:r>
              <w:rPr>
                <w:sz w:val="18"/>
              </w:rPr>
              <w:t>41.0 [33.0-50.0]</w:t>
            </w:r>
          </w:p>
        </w:tc>
        <w:tc>
          <w:tcPr>
            <w:tcW w:type="dxa" w:w="3240"/>
            <w:vAlign w:val="center"/>
          </w:tcPr>
          <w:p>
            <w:pPr>
              <w:spacing w:before="0" w:after="0" w:line="240" w:lineRule="auto"/>
              <w:jc w:val="center"/>
            </w:pPr>
            <w:r>
              <w:rPr>
                <w:sz w:val="18"/>
              </w:rPr>
              <w:t>34.0 [28.0-42.0]</w:t>
            </w:r>
          </w:p>
        </w:tc>
        <w:tc>
          <w:tcPr>
            <w:tcW w:type="dxa" w:w="1728"/>
            <w:vAlign w:val="center"/>
          </w:tcPr>
          <w:p>
            <w:pPr>
              <w:spacing w:before="0" w:after="0" w:line="240" w:lineRule="auto"/>
              <w:jc w:val="center"/>
            </w:pPr>
            <w:r>
              <w:rPr>
                <w:sz w:val="18"/>
              </w:rPr>
              <w:t>&lt;0.001</w:t>
            </w:r>
          </w:p>
        </w:tc>
      </w:tr>
      <w:tr>
        <w:trPr>
          <w:cantSplit/>
          <w:cantSplit/>
        </w:trPr>
        <w:tc>
          <w:tcPr>
            <w:tcW w:type="dxa" w:w="5904"/>
            <w:vAlign w:val="center"/>
          </w:tcPr>
          <w:p>
            <w:pPr>
              <w:spacing w:before="0" w:after="0" w:line="240" w:lineRule="auto"/>
              <w:jc w:val="left"/>
            </w:pPr>
            <w:r>
              <w:rPr>
                <w:sz w:val="18"/>
              </w:rPr>
              <w:t>OASIS</w:t>
            </w:r>
          </w:p>
        </w:tc>
        <w:tc>
          <w:tcPr>
            <w:tcW w:type="dxa" w:w="3240"/>
            <w:vAlign w:val="center"/>
          </w:tcPr>
          <w:p>
            <w:pPr>
              <w:spacing w:before="0" w:after="0" w:line="240" w:lineRule="auto"/>
              <w:jc w:val="center"/>
            </w:pPr>
            <w:r>
              <w:rPr>
                <w:sz w:val="18"/>
              </w:rPr>
              <w:t>34.0 [28.0-40.0]</w:t>
            </w:r>
          </w:p>
        </w:tc>
        <w:tc>
          <w:tcPr>
            <w:tcW w:type="dxa" w:w="3240"/>
            <w:vAlign w:val="center"/>
          </w:tcPr>
          <w:p>
            <w:pPr>
              <w:spacing w:before="0" w:after="0" w:line="240" w:lineRule="auto"/>
              <w:jc w:val="center"/>
            </w:pPr>
            <w:r>
              <w:rPr>
                <w:sz w:val="18"/>
              </w:rPr>
              <w:t>30.0 [25.0-35.0]</w:t>
            </w:r>
          </w:p>
        </w:tc>
        <w:tc>
          <w:tcPr>
            <w:tcW w:type="dxa" w:w="1728"/>
            <w:vAlign w:val="center"/>
          </w:tcPr>
          <w:p>
            <w:pPr>
              <w:spacing w:before="0" w:after="0" w:line="240" w:lineRule="auto"/>
              <w:jc w:val="center"/>
            </w:pPr>
            <w:r>
              <w:rPr>
                <w:sz w:val="18"/>
              </w:rPr>
              <w:t>&lt;0.001</w:t>
            </w:r>
          </w:p>
        </w:tc>
      </w:tr>
      <w:tr>
        <w:trPr>
          <w:cantSplit/>
          <w:cantSplit/>
        </w:trPr>
        <w:tc>
          <w:tcPr>
            <w:tcW w:type="dxa" w:w="5904"/>
            <w:vAlign w:val="center"/>
          </w:tcPr>
          <w:p>
            <w:pPr>
              <w:spacing w:before="0" w:after="0" w:line="240" w:lineRule="auto"/>
              <w:jc w:val="left"/>
            </w:pPr>
            <w:r>
              <w:rPr>
                <w:sz w:val="18"/>
              </w:rPr>
              <w:t>Mean heart rate, beats/min</w:t>
            </w:r>
          </w:p>
        </w:tc>
        <w:tc>
          <w:tcPr>
            <w:tcW w:type="dxa" w:w="3240"/>
            <w:vAlign w:val="center"/>
          </w:tcPr>
          <w:p>
            <w:pPr>
              <w:spacing w:before="0" w:after="0" w:line="240" w:lineRule="auto"/>
              <w:jc w:val="center"/>
            </w:pPr>
            <w:r>
              <w:rPr>
                <w:sz w:val="18"/>
              </w:rPr>
              <w:t>83.0 [73.7-93.5]</w:t>
            </w:r>
          </w:p>
        </w:tc>
        <w:tc>
          <w:tcPr>
            <w:tcW w:type="dxa" w:w="3240"/>
            <w:vAlign w:val="center"/>
          </w:tcPr>
          <w:p>
            <w:pPr>
              <w:spacing w:before="0" w:after="0" w:line="240" w:lineRule="auto"/>
              <w:jc w:val="center"/>
            </w:pPr>
            <w:r>
              <w:rPr>
                <w:sz w:val="18"/>
              </w:rPr>
              <w:t>81.2 [72.9-90.2]</w:t>
            </w:r>
          </w:p>
        </w:tc>
        <w:tc>
          <w:tcPr>
            <w:tcW w:type="dxa" w:w="1728"/>
            <w:vAlign w:val="center"/>
          </w:tcPr>
          <w:p>
            <w:pPr>
              <w:spacing w:before="0" w:after="0" w:line="240" w:lineRule="auto"/>
              <w:jc w:val="center"/>
            </w:pPr>
            <w:r>
              <w:rPr>
                <w:sz w:val="18"/>
              </w:rPr>
              <w:t>&lt;0.001</w:t>
            </w:r>
          </w:p>
        </w:tc>
      </w:tr>
      <w:tr>
        <w:trPr>
          <w:cantSplit/>
          <w:cantSplit/>
        </w:trPr>
        <w:tc>
          <w:tcPr>
            <w:tcW w:type="dxa" w:w="5904"/>
            <w:vAlign w:val="center"/>
          </w:tcPr>
          <w:p>
            <w:pPr>
              <w:spacing w:before="0" w:after="0" w:line="240" w:lineRule="auto"/>
              <w:jc w:val="left"/>
            </w:pPr>
            <w:r>
              <w:rPr>
                <w:sz w:val="18"/>
              </w:rPr>
              <w:t>Mean arterial pressure, mmHg</w:t>
            </w:r>
          </w:p>
        </w:tc>
        <w:tc>
          <w:tcPr>
            <w:tcW w:type="dxa" w:w="3240"/>
            <w:vAlign w:val="center"/>
          </w:tcPr>
          <w:p>
            <w:pPr>
              <w:spacing w:before="0" w:after="0" w:line="240" w:lineRule="auto"/>
              <w:jc w:val="center"/>
            </w:pPr>
            <w:r>
              <w:rPr>
                <w:sz w:val="18"/>
              </w:rPr>
              <w:t>75.5 [70.2-81.9]</w:t>
            </w:r>
          </w:p>
        </w:tc>
        <w:tc>
          <w:tcPr>
            <w:tcW w:type="dxa" w:w="3240"/>
            <w:vAlign w:val="center"/>
          </w:tcPr>
          <w:p>
            <w:pPr>
              <w:spacing w:before="0" w:after="0" w:line="240" w:lineRule="auto"/>
              <w:jc w:val="center"/>
            </w:pPr>
            <w:r>
              <w:rPr>
                <w:sz w:val="18"/>
              </w:rPr>
              <w:t>77.6 [71.9-84.5]</w:t>
            </w:r>
          </w:p>
        </w:tc>
        <w:tc>
          <w:tcPr>
            <w:tcW w:type="dxa" w:w="1728"/>
            <w:vAlign w:val="center"/>
          </w:tcPr>
          <w:p>
            <w:pPr>
              <w:spacing w:before="0" w:after="0" w:line="240" w:lineRule="auto"/>
              <w:jc w:val="center"/>
            </w:pPr>
            <w:r>
              <w:rPr>
                <w:sz w:val="18"/>
              </w:rPr>
              <w:t>&lt;0.001</w:t>
            </w:r>
          </w:p>
        </w:tc>
      </w:tr>
      <w:tr>
        <w:trPr>
          <w:cantSplit/>
          <w:cantSplit/>
        </w:trPr>
        <w:tc>
          <w:tcPr>
            <w:tcW w:type="dxa" w:w="5904"/>
            <w:vAlign w:val="center"/>
          </w:tcPr>
          <w:p>
            <w:pPr>
              <w:spacing w:before="0" w:after="0" w:line="240" w:lineRule="auto"/>
              <w:jc w:val="left"/>
            </w:pPr>
            <w:r>
              <w:rPr>
                <w:sz w:val="18"/>
              </w:rPr>
              <w:t>Respiratory rate, breaths/min</w:t>
            </w:r>
          </w:p>
        </w:tc>
        <w:tc>
          <w:tcPr>
            <w:tcW w:type="dxa" w:w="3240"/>
            <w:vAlign w:val="center"/>
          </w:tcPr>
          <w:p>
            <w:pPr>
              <w:spacing w:before="0" w:after="0" w:line="240" w:lineRule="auto"/>
              <w:jc w:val="center"/>
            </w:pPr>
            <w:r>
              <w:rPr>
                <w:sz w:val="18"/>
              </w:rPr>
              <w:t>19.3 [17.2-22.0]</w:t>
            </w:r>
          </w:p>
        </w:tc>
        <w:tc>
          <w:tcPr>
            <w:tcW w:type="dxa" w:w="3240"/>
            <w:vAlign w:val="center"/>
          </w:tcPr>
          <w:p>
            <w:pPr>
              <w:spacing w:before="0" w:after="0" w:line="240" w:lineRule="auto"/>
              <w:jc w:val="center"/>
            </w:pPr>
            <w:r>
              <w:rPr>
                <w:sz w:val="18"/>
              </w:rPr>
              <w:t>18.8 [16.9-21.1]</w:t>
            </w:r>
          </w:p>
        </w:tc>
        <w:tc>
          <w:tcPr>
            <w:tcW w:type="dxa" w:w="1728"/>
            <w:vAlign w:val="center"/>
          </w:tcPr>
          <w:p>
            <w:pPr>
              <w:spacing w:before="0" w:after="0" w:line="240" w:lineRule="auto"/>
              <w:jc w:val="center"/>
            </w:pPr>
            <w:r>
              <w:rPr>
                <w:sz w:val="18"/>
              </w:rPr>
              <w:t>&lt;0.001</w:t>
            </w:r>
          </w:p>
        </w:tc>
      </w:tr>
      <w:tr>
        <w:trPr>
          <w:cantSplit/>
          <w:cantSplit/>
        </w:trPr>
        <w:tc>
          <w:tcPr>
            <w:tcW w:type="dxa" w:w="5904"/>
            <w:vAlign w:val="center"/>
          </w:tcPr>
          <w:p>
            <w:pPr>
              <w:spacing w:before="0" w:after="0" w:line="240" w:lineRule="auto"/>
              <w:jc w:val="left"/>
            </w:pPr>
            <w:r>
              <w:rPr>
                <w:sz w:val="18"/>
              </w:rPr>
              <w:t>Mean oxygen saturation, %</w:t>
            </w:r>
          </w:p>
        </w:tc>
        <w:tc>
          <w:tcPr>
            <w:tcW w:type="dxa" w:w="3240"/>
            <w:vAlign w:val="center"/>
          </w:tcPr>
          <w:p>
            <w:pPr>
              <w:spacing w:before="0" w:after="0" w:line="240" w:lineRule="auto"/>
              <w:jc w:val="center"/>
            </w:pPr>
            <w:r>
              <w:rPr>
                <w:sz w:val="18"/>
              </w:rPr>
              <w:t>97.2 [95.8-98.5]</w:t>
            </w:r>
          </w:p>
        </w:tc>
        <w:tc>
          <w:tcPr>
            <w:tcW w:type="dxa" w:w="3240"/>
            <w:vAlign w:val="center"/>
          </w:tcPr>
          <w:p>
            <w:pPr>
              <w:spacing w:before="0" w:after="0" w:line="240" w:lineRule="auto"/>
              <w:jc w:val="center"/>
            </w:pPr>
            <w:r>
              <w:rPr>
                <w:sz w:val="18"/>
              </w:rPr>
              <w:t>97.0 [95.8-98.2]</w:t>
            </w:r>
          </w:p>
        </w:tc>
        <w:tc>
          <w:tcPr>
            <w:tcW w:type="dxa" w:w="1728"/>
            <w:vAlign w:val="center"/>
          </w:tcPr>
          <w:p>
            <w:pPr>
              <w:spacing w:before="0" w:after="0" w:line="240" w:lineRule="auto"/>
              <w:jc w:val="center"/>
            </w:pPr>
            <w:r>
              <w:rPr>
                <w:sz w:val="18"/>
              </w:rPr>
              <w:t>&lt;0.001</w:t>
            </w:r>
          </w:p>
        </w:tc>
      </w:tr>
      <w:tr>
        <w:trPr>
          <w:cantSplit/>
          <w:cantSplit/>
        </w:trPr>
        <w:tc>
          <w:tcPr>
            <w:tcW w:type="dxa" w:w="5904"/>
            <w:vAlign w:val="center"/>
          </w:tcPr>
          <w:p>
            <w:pPr>
              <w:spacing w:before="0" w:after="0" w:line="240" w:lineRule="auto"/>
              <w:jc w:val="left"/>
            </w:pPr>
            <w:r>
              <w:rPr>
                <w:sz w:val="18"/>
              </w:rPr>
              <w:t>Maximum creatinine, mg/dL</w:t>
            </w:r>
          </w:p>
        </w:tc>
        <w:tc>
          <w:tcPr>
            <w:tcW w:type="dxa" w:w="3240"/>
            <w:vAlign w:val="center"/>
          </w:tcPr>
          <w:p>
            <w:pPr>
              <w:spacing w:before="0" w:after="0" w:line="240" w:lineRule="auto"/>
              <w:jc w:val="center"/>
            </w:pPr>
            <w:r>
              <w:rPr>
                <w:sz w:val="18"/>
              </w:rPr>
              <w:t>1.40 [1.00-2.40]</w:t>
            </w:r>
          </w:p>
        </w:tc>
        <w:tc>
          <w:tcPr>
            <w:tcW w:type="dxa" w:w="3240"/>
            <w:vAlign w:val="center"/>
          </w:tcPr>
          <w:p>
            <w:pPr>
              <w:spacing w:before="0" w:after="0" w:line="240" w:lineRule="auto"/>
              <w:jc w:val="center"/>
            </w:pPr>
            <w:r>
              <w:rPr>
                <w:sz w:val="18"/>
              </w:rPr>
              <w:t>1.10 [0.90-1.70]</w:t>
            </w:r>
          </w:p>
        </w:tc>
        <w:tc>
          <w:tcPr>
            <w:tcW w:type="dxa" w:w="1728"/>
            <w:vAlign w:val="center"/>
          </w:tcPr>
          <w:p>
            <w:pPr>
              <w:spacing w:before="0" w:after="0" w:line="240" w:lineRule="auto"/>
              <w:jc w:val="center"/>
            </w:pPr>
            <w:r>
              <w:rPr>
                <w:sz w:val="18"/>
              </w:rPr>
              <w:t>&lt;0.001</w:t>
            </w:r>
          </w:p>
        </w:tc>
      </w:tr>
      <w:tr>
        <w:trPr>
          <w:cantSplit/>
          <w:cantSplit/>
        </w:trPr>
        <w:tc>
          <w:tcPr>
            <w:tcW w:type="dxa" w:w="5904"/>
            <w:vAlign w:val="center"/>
          </w:tcPr>
          <w:p>
            <w:pPr>
              <w:spacing w:before="0" w:after="0" w:line="240" w:lineRule="auto"/>
              <w:jc w:val="left"/>
            </w:pPr>
            <w:r>
              <w:rPr>
                <w:sz w:val="18"/>
              </w:rPr>
              <w:t>Maximum blood urea nitrogen, mg/dL</w:t>
            </w:r>
          </w:p>
        </w:tc>
        <w:tc>
          <w:tcPr>
            <w:tcW w:type="dxa" w:w="3240"/>
            <w:vAlign w:val="center"/>
          </w:tcPr>
          <w:p>
            <w:pPr>
              <w:spacing w:before="0" w:after="0" w:line="240" w:lineRule="auto"/>
              <w:jc w:val="center"/>
            </w:pPr>
            <w:r>
              <w:rPr>
                <w:sz w:val="18"/>
              </w:rPr>
              <w:t>28.0 [19.0-48.0]</w:t>
            </w:r>
          </w:p>
        </w:tc>
        <w:tc>
          <w:tcPr>
            <w:tcW w:type="dxa" w:w="3240"/>
            <w:vAlign w:val="center"/>
          </w:tcPr>
          <w:p>
            <w:pPr>
              <w:spacing w:before="0" w:after="0" w:line="240" w:lineRule="auto"/>
              <w:jc w:val="center"/>
            </w:pPr>
            <w:r>
              <w:rPr>
                <w:sz w:val="18"/>
              </w:rPr>
              <w:t>23.0 [16.0-38.0]</w:t>
            </w:r>
          </w:p>
        </w:tc>
        <w:tc>
          <w:tcPr>
            <w:tcW w:type="dxa" w:w="1728"/>
            <w:vAlign w:val="center"/>
          </w:tcPr>
          <w:p>
            <w:pPr>
              <w:spacing w:before="0" w:after="0" w:line="240" w:lineRule="auto"/>
              <w:jc w:val="center"/>
            </w:pPr>
            <w:r>
              <w:rPr>
                <w:sz w:val="18"/>
              </w:rPr>
              <w:t>&lt;0.001</w:t>
            </w:r>
          </w:p>
        </w:tc>
      </w:tr>
      <w:tr>
        <w:trPr>
          <w:cantSplit/>
          <w:cantSplit/>
        </w:trPr>
        <w:tc>
          <w:tcPr>
            <w:tcW w:type="dxa" w:w="5904"/>
            <w:vAlign w:val="center"/>
          </w:tcPr>
          <w:p>
            <w:pPr>
              <w:spacing w:before="0" w:after="0" w:line="240" w:lineRule="auto"/>
              <w:jc w:val="left"/>
            </w:pPr>
            <w:r>
              <w:rPr>
                <w:sz w:val="18"/>
              </w:rPr>
              <w:t>Vasoactive drug use within 72 h, n/N (%)</w:t>
            </w:r>
          </w:p>
        </w:tc>
        <w:tc>
          <w:tcPr>
            <w:tcW w:type="dxa" w:w="3240"/>
            <w:vAlign w:val="center"/>
          </w:tcPr>
          <w:p>
            <w:pPr>
              <w:spacing w:before="0" w:after="0" w:line="240" w:lineRule="auto"/>
              <w:jc w:val="center"/>
            </w:pPr>
            <w:r>
              <w:rPr>
                <w:sz w:val="18"/>
              </w:rPr>
              <w:t>1776/3464 (51.3)</w:t>
            </w:r>
          </w:p>
        </w:tc>
        <w:tc>
          <w:tcPr>
            <w:tcW w:type="dxa" w:w="3240"/>
            <w:vAlign w:val="center"/>
          </w:tcPr>
          <w:p>
            <w:pPr>
              <w:spacing w:before="0" w:after="0" w:line="240" w:lineRule="auto"/>
              <w:jc w:val="center"/>
            </w:pPr>
            <w:r>
              <w:rPr>
                <w:sz w:val="18"/>
              </w:rPr>
              <w:t>829/2810 (29.5)</w:t>
            </w:r>
          </w:p>
        </w:tc>
        <w:tc>
          <w:tcPr>
            <w:tcW w:type="dxa" w:w="1728"/>
            <w:vAlign w:val="center"/>
          </w:tcPr>
          <w:p>
            <w:pPr>
              <w:spacing w:before="0" w:after="0" w:line="240" w:lineRule="auto"/>
              <w:jc w:val="center"/>
            </w:pPr>
            <w:r>
              <w:rPr>
                <w:sz w:val="18"/>
              </w:rPr>
              <w:t>&lt;0.001</w:t>
            </w:r>
          </w:p>
        </w:tc>
      </w:tr>
      <w:tr>
        <w:trPr>
          <w:cantSplit/>
          <w:cantSplit/>
        </w:trPr>
        <w:tc>
          <w:tcPr>
            <w:tcW w:type="dxa" w:w="5904"/>
            <w:vAlign w:val="center"/>
          </w:tcPr>
          <w:p>
            <w:pPr>
              <w:spacing w:before="0" w:after="0" w:line="240" w:lineRule="auto"/>
              <w:jc w:val="left"/>
            </w:pPr>
            <w:r>
              <w:rPr>
                <w:sz w:val="18"/>
              </w:rPr>
              <w:t>Invasive ventilation within 72 h, n/N (%)</w:t>
            </w:r>
          </w:p>
        </w:tc>
        <w:tc>
          <w:tcPr>
            <w:tcW w:type="dxa" w:w="3240"/>
            <w:vAlign w:val="center"/>
          </w:tcPr>
          <w:p>
            <w:pPr>
              <w:spacing w:before="0" w:after="0" w:line="240" w:lineRule="auto"/>
              <w:jc w:val="center"/>
            </w:pPr>
            <w:r>
              <w:rPr>
                <w:sz w:val="18"/>
              </w:rPr>
              <w:t>2025/3464 (58.5)</w:t>
            </w:r>
          </w:p>
        </w:tc>
        <w:tc>
          <w:tcPr>
            <w:tcW w:type="dxa" w:w="3240"/>
            <w:vAlign w:val="center"/>
          </w:tcPr>
          <w:p>
            <w:pPr>
              <w:spacing w:before="0" w:after="0" w:line="240" w:lineRule="auto"/>
              <w:jc w:val="center"/>
            </w:pPr>
            <w:r>
              <w:rPr>
                <w:sz w:val="18"/>
              </w:rPr>
              <w:t>795/2810 (28.3)</w:t>
            </w:r>
          </w:p>
        </w:tc>
        <w:tc>
          <w:tcPr>
            <w:tcW w:type="dxa" w:w="1728"/>
            <w:vAlign w:val="center"/>
          </w:tcPr>
          <w:p>
            <w:pPr>
              <w:spacing w:before="0" w:after="0" w:line="240" w:lineRule="auto"/>
              <w:jc w:val="center"/>
            </w:pPr>
            <w:r>
              <w:rPr>
                <w:sz w:val="18"/>
              </w:rPr>
              <w:t>&lt;0.001</w:t>
            </w:r>
          </w:p>
        </w:tc>
      </w:tr>
      <w:tr>
        <w:trPr>
          <w:cantSplit/>
          <w:cantSplit/>
        </w:trPr>
        <w:tc>
          <w:tcPr>
            <w:tcW w:type="dxa" w:w="5904"/>
            <w:vAlign w:val="center"/>
          </w:tcPr>
          <w:p>
            <w:pPr>
              <w:spacing w:before="0" w:after="0" w:line="240" w:lineRule="auto"/>
              <w:jc w:val="left"/>
            </w:pPr>
            <w:r>
              <w:rPr>
                <w:sz w:val="18"/>
              </w:rPr>
              <w:t>Observed ICU time, hours</w:t>
            </w:r>
          </w:p>
        </w:tc>
        <w:tc>
          <w:tcPr>
            <w:tcW w:type="dxa" w:w="3240"/>
            <w:vAlign w:val="center"/>
          </w:tcPr>
          <w:p>
            <w:pPr>
              <w:spacing w:before="0" w:after="0" w:line="240" w:lineRule="auto"/>
              <w:jc w:val="center"/>
            </w:pPr>
            <w:r>
              <w:rPr>
                <w:sz w:val="18"/>
              </w:rPr>
              <w:t>101.0 [72.0-170.0]</w:t>
            </w:r>
          </w:p>
        </w:tc>
        <w:tc>
          <w:tcPr>
            <w:tcW w:type="dxa" w:w="3240"/>
            <w:vAlign w:val="center"/>
          </w:tcPr>
          <w:p>
            <w:pPr>
              <w:spacing w:before="0" w:after="0" w:line="240" w:lineRule="auto"/>
              <w:jc w:val="center"/>
            </w:pPr>
            <w:r>
              <w:rPr>
                <w:sz w:val="18"/>
              </w:rPr>
              <w:t>31.0 [25.0-43.0]</w:t>
            </w:r>
          </w:p>
        </w:tc>
        <w:tc>
          <w:tcPr>
            <w:tcW w:type="dxa" w:w="1728"/>
            <w:vAlign w:val="center"/>
          </w:tcPr>
          <w:p>
            <w:pPr>
              <w:spacing w:before="0" w:after="0" w:line="240" w:lineRule="auto"/>
              <w:jc w:val="center"/>
            </w:pPr>
            <w:r>
              <w:rPr>
                <w:sz w:val="18"/>
              </w:rPr>
              <w:t>&lt;0.001</w:t>
            </w:r>
          </w:p>
        </w:tc>
      </w:tr>
      <w:tr>
        <w:trPr>
          <w:cantSplit/>
          <w:cantSplit/>
        </w:trPr>
        <w:tc>
          <w:tcPr>
            <w:tcW w:type="dxa" w:w="5904"/>
            <w:vAlign w:val="center"/>
          </w:tcPr>
          <w:p>
            <w:pPr>
              <w:spacing w:before="0" w:after="0" w:line="240" w:lineRule="auto"/>
              <w:jc w:val="left"/>
            </w:pPr>
            <w:r>
              <w:rPr>
                <w:sz w:val="18"/>
              </w:rPr>
              <w:t>Remained in ICU through 72 h, n/N (%)</w:t>
            </w:r>
          </w:p>
        </w:tc>
        <w:tc>
          <w:tcPr>
            <w:tcW w:type="dxa" w:w="3240"/>
            <w:vAlign w:val="center"/>
          </w:tcPr>
          <w:p>
            <w:pPr>
              <w:spacing w:before="0" w:after="0" w:line="240" w:lineRule="auto"/>
              <w:jc w:val="center"/>
            </w:pPr>
            <w:r>
              <w:rPr>
                <w:sz w:val="18"/>
              </w:rPr>
              <w:t>2599/3464 (75.0)</w:t>
            </w:r>
          </w:p>
        </w:tc>
        <w:tc>
          <w:tcPr>
            <w:tcW w:type="dxa" w:w="3240"/>
            <w:vAlign w:val="center"/>
          </w:tcPr>
          <w:p>
            <w:pPr>
              <w:spacing w:before="0" w:after="0" w:line="240" w:lineRule="auto"/>
              <w:jc w:val="center"/>
            </w:pPr>
            <w:r>
              <w:rPr>
                <w:sz w:val="18"/>
              </w:rPr>
              <w:t>161/2810 (5.7)</w:t>
            </w:r>
          </w:p>
        </w:tc>
        <w:tc>
          <w:tcPr>
            <w:tcW w:type="dxa" w:w="1728"/>
            <w:vAlign w:val="center"/>
          </w:tcPr>
          <w:p>
            <w:pPr>
              <w:spacing w:before="0" w:after="0" w:line="240" w:lineRule="auto"/>
              <w:jc w:val="center"/>
            </w:pPr>
            <w:r>
              <w:rPr>
                <w:sz w:val="18"/>
              </w:rPr>
              <w:t>&lt;0.001</w:t>
            </w:r>
          </w:p>
        </w:tc>
      </w:tr>
      <w:tr>
        <w:trPr>
          <w:cantSplit/>
          <w:cantSplit/>
        </w:trPr>
        <w:tc>
          <w:tcPr>
            <w:tcW w:type="dxa" w:w="5904"/>
            <w:vAlign w:val="center"/>
          </w:tcPr>
          <w:p>
            <w:pPr>
              <w:spacing w:before="0" w:after="0" w:line="240" w:lineRule="auto"/>
              <w:jc w:val="left"/>
            </w:pPr>
            <w:r>
              <w:rPr>
                <w:sz w:val="18"/>
              </w:rPr>
              <w:t>28-day mortality after landmark, n/N (%)</w:t>
            </w:r>
          </w:p>
        </w:tc>
        <w:tc>
          <w:tcPr>
            <w:tcW w:type="dxa" w:w="3240"/>
            <w:vAlign w:val="center"/>
          </w:tcPr>
          <w:p>
            <w:pPr>
              <w:spacing w:before="0" w:after="0" w:line="240" w:lineRule="auto"/>
              <w:jc w:val="center"/>
            </w:pPr>
            <w:r>
              <w:rPr>
                <w:sz w:val="18"/>
              </w:rPr>
              <w:t>733/3464 (21.2)</w:t>
            </w:r>
          </w:p>
        </w:tc>
        <w:tc>
          <w:tcPr>
            <w:tcW w:type="dxa" w:w="3240"/>
            <w:vAlign w:val="center"/>
          </w:tcPr>
          <w:p>
            <w:pPr>
              <w:spacing w:before="0" w:after="0" w:line="240" w:lineRule="auto"/>
              <w:jc w:val="center"/>
            </w:pPr>
            <w:r>
              <w:rPr>
                <w:sz w:val="18"/>
              </w:rPr>
              <w:t>262/2810 (9.3)</w:t>
            </w:r>
          </w:p>
        </w:tc>
        <w:tc>
          <w:tcPr>
            <w:tcW w:type="dxa" w:w="1728"/>
            <w:vAlign w:val="center"/>
          </w:tcPr>
          <w:p>
            <w:pPr>
              <w:spacing w:before="0" w:after="0" w:line="240" w:lineRule="auto"/>
              <w:jc w:val="center"/>
            </w:pPr>
            <w:r>
              <w:rPr>
                <w:sz w:val="18"/>
              </w:rPr>
              <w:t>&lt;0.001</w:t>
            </w:r>
          </w:p>
        </w:tc>
      </w:tr>
      <w:tr>
        <w:trPr>
          <w:cantSplit/>
          <w:cantSplit/>
        </w:trPr>
        <w:tc>
          <w:tcPr>
            <w:tcW w:type="dxa" w:w="5904"/>
            <w:vAlign w:val="center"/>
          </w:tcPr>
          <w:p>
            <w:pPr>
              <w:spacing w:before="0" w:after="0" w:line="240" w:lineRule="auto"/>
              <w:jc w:val="left"/>
            </w:pPr>
            <w:r>
              <w:rPr>
                <w:sz w:val="18"/>
              </w:rPr>
              <w:t>1-year mortality after landmark, n/N (%)</w:t>
            </w:r>
          </w:p>
        </w:tc>
        <w:tc>
          <w:tcPr>
            <w:tcW w:type="dxa" w:w="3240"/>
            <w:vAlign w:val="center"/>
          </w:tcPr>
          <w:p>
            <w:pPr>
              <w:spacing w:before="0" w:after="0" w:line="240" w:lineRule="auto"/>
              <w:jc w:val="center"/>
            </w:pPr>
            <w:r>
              <w:rPr>
                <w:sz w:val="18"/>
              </w:rPr>
              <w:t>1294/3464 (37.4)</w:t>
            </w:r>
          </w:p>
        </w:tc>
        <w:tc>
          <w:tcPr>
            <w:tcW w:type="dxa" w:w="3240"/>
            <w:vAlign w:val="center"/>
          </w:tcPr>
          <w:p>
            <w:pPr>
              <w:spacing w:before="0" w:after="0" w:line="240" w:lineRule="auto"/>
              <w:jc w:val="center"/>
            </w:pPr>
            <w:r>
              <w:rPr>
                <w:sz w:val="18"/>
              </w:rPr>
              <w:t>661/2810 (23.5)</w:t>
            </w:r>
          </w:p>
        </w:tc>
        <w:tc>
          <w:tcPr>
            <w:tcW w:type="dxa" w:w="1728"/>
            <w:vAlign w:val="center"/>
          </w:tcPr>
          <w:p>
            <w:pPr>
              <w:spacing w:before="0" w:after="0" w:line="240" w:lineRule="auto"/>
              <w:jc w:val="center"/>
            </w:pPr>
            <w:r>
              <w:rPr>
                <w:sz w:val="18"/>
              </w:rPr>
              <w:t>&lt;0.001</w:t>
            </w:r>
          </w:p>
        </w:tc>
      </w:tr>
    </w:tbl>
    <w:p>
      <w:r>
        <w:rPr>
          <w:rFonts w:ascii="Times New Roman" w:hAnsi="Times New Roman"/>
          <w:sz w:val="18"/>
        </w:rPr>
        <w:t>Values are median [IQR] or n/N (%). The not-included group comprises 2615 unobservable trajectories and 195 late-onset AKI cases. Denominators reflect available data. Tests are descriptive Kruskal-Wallis or chi-square tests, without multiplicity adjustment. This comparison does not estimate or correct selection bias. First-day measurements use the source definitions below; age is anchor_age.</w:t>
      </w:r>
    </w:p>
    <w:p>
      <w:r>
        <w:br w:type="page"/>
      </w:r>
    </w:p>
    <w:p>
      <w:pPr>
        <w:pStyle w:val="Heading1"/>
      </w:pPr>
      <w:r>
        <w:t>Supplementary Table S11</w:t>
      </w:r>
    </w:p>
    <w:p>
      <w:r>
        <w:t>Maximum KDIGO stage and severity-adjusted associations among early-AKI patients</w:t>
      </w:r>
    </w:p>
    <w:p>
      <w:pPr>
        <w:pStyle w:val="Heading2"/>
      </w:pPr>
      <w:r>
        <w:t>Stage distribution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5" w:type="dxa"/>
          <w:bottom w:w="65" w:type="dxa"/>
          <w:left w:w="65" w:type="dxa"/>
          <w:right w:w="65" w:type="dxa"/>
        </w:tblCellMar>
      </w:tblPr>
      <w:tblGrid>
        <w:gridCol w:w="5616"/>
        <w:gridCol w:w="3384"/>
        <w:gridCol w:w="3384"/>
        <w:gridCol w:w="1728"/>
      </w:tblGrid>
      <w:tr>
        <w:trPr>
          <w:tblHeader/>
          <w:cantSplit/>
          <w:cantSplit/>
          <w:tblHeader/>
        </w:trPr>
        <w:tc>
          <w:tcPr>
            <w:tcW w:type="dxa" w:w="5616"/>
            <w:vAlign w:val="center"/>
            <w:shd w:fill="EAEAEA"/>
          </w:tcPr>
          <w:p>
            <w:pPr>
              <w:spacing w:before="0" w:after="0" w:line="240" w:lineRule="auto"/>
              <w:jc w:val="left"/>
            </w:pPr>
            <w:r>
              <w:rPr>
                <w:sz w:val="20"/>
                <w:b/>
              </w:rPr>
              <w:t>Maximum stage during 0 to &lt;72 hours</w:t>
            </w:r>
          </w:p>
        </w:tc>
        <w:tc>
          <w:tcPr>
            <w:tcW w:type="dxa" w:w="3384"/>
            <w:vAlign w:val="center"/>
            <w:shd w:fill="EAEAEA"/>
          </w:tcPr>
          <w:p>
            <w:pPr>
              <w:spacing w:before="0" w:after="0" w:line="240" w:lineRule="auto"/>
              <w:jc w:val="center"/>
            </w:pPr>
            <w:r>
              <w:rPr>
                <w:sz w:val="20"/>
                <w:b/>
              </w:rPr>
              <w:t>Transient AKI (n = 892)</w:t>
            </w:r>
          </w:p>
        </w:tc>
        <w:tc>
          <w:tcPr>
            <w:tcW w:type="dxa" w:w="3384"/>
            <w:vAlign w:val="center"/>
            <w:shd w:fill="EAEAEA"/>
          </w:tcPr>
          <w:p>
            <w:pPr>
              <w:spacing w:before="0" w:after="0" w:line="240" w:lineRule="auto"/>
              <w:jc w:val="center"/>
            </w:pPr>
            <w:r>
              <w:rPr>
                <w:sz w:val="20"/>
                <w:b/>
              </w:rPr>
              <w:t>Persistent-pattern AKI (n = 2150)</w:t>
            </w:r>
          </w:p>
        </w:tc>
        <w:tc>
          <w:tcPr>
            <w:tcW w:type="dxa" w:w="1728"/>
            <w:vAlign w:val="center"/>
            <w:shd w:fill="EAEAEA"/>
          </w:tcPr>
          <w:p>
            <w:pPr>
              <w:spacing w:before="0" w:after="0" w:line="240" w:lineRule="auto"/>
              <w:jc w:val="center"/>
            </w:pPr>
            <w:r>
              <w:rPr>
                <w:sz w:val="20"/>
                <w:b/>
              </w:rPr>
              <w:t>P value</w:t>
            </w:r>
          </w:p>
        </w:tc>
      </w:tr>
      <w:tr>
        <w:trPr>
          <w:cantSplit/>
          <w:cantSplit/>
        </w:trPr>
        <w:tc>
          <w:tcPr>
            <w:tcW w:type="dxa" w:w="5616"/>
            <w:vAlign w:val="center"/>
          </w:tcPr>
          <w:p>
            <w:pPr>
              <w:spacing w:before="0" w:after="0" w:line="240" w:lineRule="auto"/>
              <w:jc w:val="left"/>
            </w:pPr>
            <w:r>
              <w:rPr>
                <w:sz w:val="20"/>
              </w:rPr>
              <w:t>Maximum KDIGO Stage 1 during 0-72 h, n/N (%)</w:t>
            </w:r>
          </w:p>
        </w:tc>
        <w:tc>
          <w:tcPr>
            <w:tcW w:type="dxa" w:w="3384"/>
            <w:vAlign w:val="center"/>
          </w:tcPr>
          <w:p>
            <w:pPr>
              <w:spacing w:before="0" w:after="0" w:line="240" w:lineRule="auto"/>
              <w:jc w:val="center"/>
            </w:pPr>
            <w:r>
              <w:rPr>
                <w:sz w:val="20"/>
              </w:rPr>
              <w:t>390/892 (43.7)</w:t>
            </w:r>
          </w:p>
        </w:tc>
        <w:tc>
          <w:tcPr>
            <w:tcW w:type="dxa" w:w="3384"/>
            <w:vAlign w:val="center"/>
          </w:tcPr>
          <w:p>
            <w:pPr>
              <w:spacing w:before="0" w:after="0" w:line="240" w:lineRule="auto"/>
              <w:jc w:val="center"/>
            </w:pPr>
            <w:r>
              <w:rPr>
                <w:sz w:val="20"/>
              </w:rPr>
              <w:t>280/2150 (13.0)</w:t>
            </w:r>
          </w:p>
        </w:tc>
        <w:tc>
          <w:tcPr>
            <w:tcW w:type="dxa" w:w="1728"/>
            <w:vAlign w:val="center"/>
          </w:tcPr>
          <w:p>
            <w:pPr>
              <w:spacing w:before="0" w:after="0" w:line="240" w:lineRule="auto"/>
              <w:jc w:val="center"/>
            </w:pPr>
            <w:r>
              <w:rPr>
                <w:sz w:val="20"/>
              </w:rPr>
              <w:t>&lt;0.001</w:t>
            </w:r>
          </w:p>
        </w:tc>
      </w:tr>
      <w:tr>
        <w:trPr>
          <w:cantSplit/>
          <w:cantSplit/>
        </w:trPr>
        <w:tc>
          <w:tcPr>
            <w:tcW w:type="dxa" w:w="5616"/>
            <w:vAlign w:val="center"/>
          </w:tcPr>
          <w:p>
            <w:pPr>
              <w:spacing w:before="0" w:after="0" w:line="240" w:lineRule="auto"/>
              <w:jc w:val="left"/>
            </w:pPr>
            <w:r>
              <w:rPr>
                <w:sz w:val="20"/>
              </w:rPr>
              <w:t>Maximum KDIGO Stage 2 during 0-72 h, n/N (%)</w:t>
            </w:r>
          </w:p>
        </w:tc>
        <w:tc>
          <w:tcPr>
            <w:tcW w:type="dxa" w:w="3384"/>
            <w:vAlign w:val="center"/>
          </w:tcPr>
          <w:p>
            <w:pPr>
              <w:spacing w:before="0" w:after="0" w:line="240" w:lineRule="auto"/>
              <w:jc w:val="center"/>
            </w:pPr>
            <w:r>
              <w:rPr>
                <w:sz w:val="20"/>
              </w:rPr>
              <w:t>437/892 (49.0)</w:t>
            </w:r>
          </w:p>
        </w:tc>
        <w:tc>
          <w:tcPr>
            <w:tcW w:type="dxa" w:w="3384"/>
            <w:vAlign w:val="center"/>
          </w:tcPr>
          <w:p>
            <w:pPr>
              <w:spacing w:before="0" w:after="0" w:line="240" w:lineRule="auto"/>
              <w:jc w:val="center"/>
            </w:pPr>
            <w:r>
              <w:rPr>
                <w:sz w:val="20"/>
              </w:rPr>
              <w:t>1029/2150 (47.9)</w:t>
            </w:r>
          </w:p>
        </w:tc>
        <w:tc>
          <w:tcPr>
            <w:tcW w:type="dxa" w:w="1728"/>
            <w:vAlign w:val="center"/>
          </w:tcPr>
          <w:p>
            <w:pPr>
              <w:spacing w:before="0" w:after="0" w:line="240" w:lineRule="auto"/>
              <w:jc w:val="center"/>
            </w:pPr>
            <w:r>
              <w:rPr>
                <w:sz w:val="20"/>
              </w:rPr>
            </w:r>
          </w:p>
        </w:tc>
      </w:tr>
      <w:tr>
        <w:trPr>
          <w:cantSplit/>
          <w:cantSplit/>
        </w:trPr>
        <w:tc>
          <w:tcPr>
            <w:tcW w:type="dxa" w:w="5616"/>
            <w:vAlign w:val="center"/>
          </w:tcPr>
          <w:p>
            <w:pPr>
              <w:spacing w:before="0" w:after="0" w:line="240" w:lineRule="auto"/>
              <w:jc w:val="left"/>
            </w:pPr>
            <w:r>
              <w:rPr>
                <w:sz w:val="20"/>
              </w:rPr>
              <w:t>Maximum KDIGO Stage 3 during 0-72 h, n/N (%)</w:t>
            </w:r>
          </w:p>
        </w:tc>
        <w:tc>
          <w:tcPr>
            <w:tcW w:type="dxa" w:w="3384"/>
            <w:vAlign w:val="center"/>
          </w:tcPr>
          <w:p>
            <w:pPr>
              <w:spacing w:before="0" w:after="0" w:line="240" w:lineRule="auto"/>
              <w:jc w:val="center"/>
            </w:pPr>
            <w:r>
              <w:rPr>
                <w:sz w:val="20"/>
              </w:rPr>
              <w:t>65/892 (7.3)</w:t>
            </w:r>
          </w:p>
        </w:tc>
        <w:tc>
          <w:tcPr>
            <w:tcW w:type="dxa" w:w="3384"/>
            <w:vAlign w:val="center"/>
          </w:tcPr>
          <w:p>
            <w:pPr>
              <w:spacing w:before="0" w:after="0" w:line="240" w:lineRule="auto"/>
              <w:jc w:val="center"/>
            </w:pPr>
            <w:r>
              <w:rPr>
                <w:sz w:val="20"/>
              </w:rPr>
              <w:t>841/2150 (39.1)</w:t>
            </w:r>
          </w:p>
        </w:tc>
        <w:tc>
          <w:tcPr>
            <w:tcW w:type="dxa" w:w="1728"/>
            <w:vAlign w:val="center"/>
          </w:tcPr>
          <w:p>
            <w:pPr>
              <w:spacing w:before="0" w:after="0" w:line="240" w:lineRule="auto"/>
              <w:jc w:val="center"/>
            </w:pPr>
            <w:r>
              <w:rPr>
                <w:sz w:val="20"/>
              </w:rPr>
            </w:r>
          </w:p>
        </w:tc>
      </w:tr>
    </w:tbl>
    <w:p>
      <w:r>
        <w:t>Values are n/N (%). The P value is the overall chi-square comparison across stages 1-3, not a separate test for stage 1.</w:t>
      </w:r>
    </w:p>
    <w:p>
      <w:pPr>
        <w:pStyle w:val="Heading2"/>
      </w:pPr>
      <w:r>
        <w:t>Adjusted Cox models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5" w:type="dxa"/>
          <w:bottom w:w="65" w:type="dxa"/>
          <w:left w:w="65" w:type="dxa"/>
          <w:right w:w="65" w:type="dxa"/>
        </w:tblCellMar>
      </w:tblPr>
      <w:tblGrid>
        <w:gridCol w:w="1800"/>
        <w:gridCol w:w="3528"/>
        <w:gridCol w:w="1152"/>
        <w:gridCol w:w="1152"/>
        <w:gridCol w:w="4104"/>
        <w:gridCol w:w="1656"/>
      </w:tblGrid>
      <w:tr>
        <w:trPr>
          <w:tblHeader/>
          <w:cantSplit/>
          <w:cantSplit/>
          <w:tblHeader/>
        </w:trPr>
        <w:tc>
          <w:tcPr>
            <w:tcW w:type="dxa" w:w="1800"/>
            <w:vAlign w:val="center"/>
            <w:shd w:fill="EAEAEA"/>
          </w:tcPr>
          <w:p>
            <w:pPr>
              <w:spacing w:before="0" w:after="0" w:line="240" w:lineRule="auto"/>
              <w:jc w:val="left"/>
            </w:pPr>
            <w:r>
              <w:rPr>
                <w:sz w:val="20"/>
                <w:b/>
              </w:rPr>
              <w:t>Endpoint</w:t>
            </w:r>
          </w:p>
        </w:tc>
        <w:tc>
          <w:tcPr>
            <w:tcW w:type="dxa" w:w="3528"/>
            <w:vAlign w:val="center"/>
            <w:shd w:fill="EAEAEA"/>
          </w:tcPr>
          <w:p>
            <w:pPr>
              <w:spacing w:before="0" w:after="0" w:line="240" w:lineRule="auto"/>
              <w:jc w:val="center"/>
            </w:pPr>
            <w:r>
              <w:rPr>
                <w:sz w:val="20"/>
                <w:b/>
              </w:rPr>
              <w:t>Adjustment</w:t>
            </w:r>
          </w:p>
        </w:tc>
        <w:tc>
          <w:tcPr>
            <w:tcW w:type="dxa" w:w="1152"/>
            <w:vAlign w:val="center"/>
            <w:shd w:fill="EAEAEA"/>
          </w:tcPr>
          <w:p>
            <w:pPr>
              <w:spacing w:before="0" w:after="0" w:line="240" w:lineRule="auto"/>
              <w:jc w:val="center"/>
            </w:pPr>
            <w:r>
              <w:rPr>
                <w:sz w:val="20"/>
                <w:b/>
              </w:rPr>
              <w:t>n used</w:t>
            </w:r>
          </w:p>
        </w:tc>
        <w:tc>
          <w:tcPr>
            <w:tcW w:type="dxa" w:w="1152"/>
            <w:vAlign w:val="center"/>
            <w:shd w:fill="EAEAEA"/>
          </w:tcPr>
          <w:p>
            <w:pPr>
              <w:spacing w:before="0" w:after="0" w:line="240" w:lineRule="auto"/>
              <w:jc w:val="center"/>
            </w:pPr>
            <w:r>
              <w:rPr>
                <w:sz w:val="20"/>
                <w:b/>
              </w:rPr>
              <w:t>Deaths</w:t>
            </w:r>
          </w:p>
        </w:tc>
        <w:tc>
          <w:tcPr>
            <w:tcW w:type="dxa" w:w="4104"/>
            <w:vAlign w:val="center"/>
            <w:shd w:fill="EAEAEA"/>
          </w:tcPr>
          <w:p>
            <w:pPr>
              <w:spacing w:before="0" w:after="0" w:line="240" w:lineRule="auto"/>
              <w:jc w:val="center"/>
            </w:pPr>
            <w:r>
              <w:rPr>
                <w:sz w:val="20"/>
                <w:b/>
              </w:rPr>
              <w:t>Persistent-pattern vs transient AKI HR (95% CI)</w:t>
            </w:r>
          </w:p>
        </w:tc>
        <w:tc>
          <w:tcPr>
            <w:tcW w:type="dxa" w:w="1656"/>
            <w:vAlign w:val="center"/>
            <w:shd w:fill="EAEAEA"/>
          </w:tcPr>
          <w:p>
            <w:pPr>
              <w:spacing w:before="0" w:after="0" w:line="240" w:lineRule="auto"/>
              <w:jc w:val="center"/>
            </w:pPr>
            <w:r>
              <w:rPr>
                <w:sz w:val="20"/>
                <w:b/>
              </w:rPr>
              <w:t>P value</w:t>
            </w:r>
          </w:p>
        </w:tc>
      </w:tr>
      <w:tr>
        <w:trPr>
          <w:cantSplit/>
          <w:cantSplit/>
        </w:trPr>
        <w:tc>
          <w:tcPr>
            <w:tcW w:type="dxa" w:w="1800"/>
            <w:vAlign w:val="center"/>
          </w:tcPr>
          <w:p>
            <w:pPr>
              <w:spacing w:before="0" w:after="0" w:line="240" w:lineRule="auto"/>
              <w:jc w:val="left"/>
            </w:pPr>
            <w:r>
              <w:rPr>
                <w:sz w:val="20"/>
              </w:rPr>
              <w:t>28-day mortality</w:t>
            </w:r>
          </w:p>
        </w:tc>
        <w:tc>
          <w:tcPr>
            <w:tcW w:type="dxa" w:w="3528"/>
            <w:vAlign w:val="center"/>
          </w:tcPr>
          <w:p>
            <w:pPr>
              <w:spacing w:before="0" w:after="0" w:line="240" w:lineRule="auto"/>
              <w:jc w:val="center"/>
            </w:pPr>
            <w:r>
              <w:rPr>
                <w:sz w:val="20"/>
              </w:rPr>
              <w:t>Original covariates</w:t>
            </w:r>
          </w:p>
        </w:tc>
        <w:tc>
          <w:tcPr>
            <w:tcW w:type="dxa" w:w="1152"/>
            <w:vAlign w:val="center"/>
          </w:tcPr>
          <w:p>
            <w:pPr>
              <w:spacing w:before="0" w:after="0" w:line="240" w:lineRule="auto"/>
              <w:jc w:val="center"/>
            </w:pPr>
            <w:r>
              <w:rPr>
                <w:sz w:val="20"/>
              </w:rPr>
              <w:t>3037</w:t>
            </w:r>
          </w:p>
        </w:tc>
        <w:tc>
          <w:tcPr>
            <w:tcW w:type="dxa" w:w="1152"/>
            <w:vAlign w:val="center"/>
          </w:tcPr>
          <w:p>
            <w:pPr>
              <w:spacing w:before="0" w:after="0" w:line="240" w:lineRule="auto"/>
              <w:jc w:val="center"/>
            </w:pPr>
            <w:r>
              <w:rPr>
                <w:sz w:val="20"/>
              </w:rPr>
              <w:t>676</w:t>
            </w:r>
          </w:p>
        </w:tc>
        <w:tc>
          <w:tcPr>
            <w:tcW w:type="dxa" w:w="4104"/>
            <w:vAlign w:val="center"/>
          </w:tcPr>
          <w:p>
            <w:pPr>
              <w:spacing w:before="0" w:after="0" w:line="240" w:lineRule="auto"/>
              <w:jc w:val="center"/>
            </w:pPr>
            <w:r>
              <w:rPr>
                <w:sz w:val="20"/>
              </w:rPr>
              <w:t>1.70 (1.39-2.07)</w:t>
            </w:r>
          </w:p>
        </w:tc>
        <w:tc>
          <w:tcPr>
            <w:tcW w:type="dxa" w:w="1656"/>
            <w:vAlign w:val="center"/>
          </w:tcPr>
          <w:p>
            <w:pPr>
              <w:spacing w:before="0" w:after="0" w:line="240" w:lineRule="auto"/>
              <w:jc w:val="center"/>
            </w:pPr>
            <w:r>
              <w:rPr>
                <w:sz w:val="20"/>
              </w:rPr>
              <w:t>&lt;0.001</w:t>
            </w:r>
          </w:p>
        </w:tc>
      </w:tr>
      <w:tr>
        <w:trPr>
          <w:cantSplit/>
          <w:cantSplit/>
        </w:trPr>
        <w:tc>
          <w:tcPr>
            <w:tcW w:type="dxa" w:w="1800"/>
            <w:vAlign w:val="center"/>
          </w:tcPr>
          <w:p>
            <w:pPr>
              <w:spacing w:before="0" w:after="0" w:line="240" w:lineRule="auto"/>
              <w:jc w:val="left"/>
            </w:pPr>
            <w:r>
              <w:rPr>
                <w:sz w:val="20"/>
              </w:rPr>
              <w:t>28-day mortality</w:t>
            </w:r>
          </w:p>
        </w:tc>
        <w:tc>
          <w:tcPr>
            <w:tcW w:type="dxa" w:w="3528"/>
            <w:vAlign w:val="center"/>
          </w:tcPr>
          <w:p>
            <w:pPr>
              <w:spacing w:before="0" w:after="0" w:line="240" w:lineRule="auto"/>
              <w:jc w:val="center"/>
            </w:pPr>
            <w:r>
              <w:rPr>
                <w:sz w:val="20"/>
              </w:rPr>
              <w:t>Original covariates + maximum KDIGO stage</w:t>
            </w:r>
          </w:p>
        </w:tc>
        <w:tc>
          <w:tcPr>
            <w:tcW w:type="dxa" w:w="1152"/>
            <w:vAlign w:val="center"/>
          </w:tcPr>
          <w:p>
            <w:pPr>
              <w:spacing w:before="0" w:after="0" w:line="240" w:lineRule="auto"/>
              <w:jc w:val="center"/>
            </w:pPr>
            <w:r>
              <w:rPr>
                <w:sz w:val="20"/>
              </w:rPr>
              <w:t>3037</w:t>
            </w:r>
          </w:p>
        </w:tc>
        <w:tc>
          <w:tcPr>
            <w:tcW w:type="dxa" w:w="1152"/>
            <w:vAlign w:val="center"/>
          </w:tcPr>
          <w:p>
            <w:pPr>
              <w:spacing w:before="0" w:after="0" w:line="240" w:lineRule="auto"/>
              <w:jc w:val="center"/>
            </w:pPr>
            <w:r>
              <w:rPr>
                <w:sz w:val="20"/>
              </w:rPr>
              <w:t>676</w:t>
            </w:r>
          </w:p>
        </w:tc>
        <w:tc>
          <w:tcPr>
            <w:tcW w:type="dxa" w:w="4104"/>
            <w:vAlign w:val="center"/>
          </w:tcPr>
          <w:p>
            <w:pPr>
              <w:spacing w:before="0" w:after="0" w:line="240" w:lineRule="auto"/>
              <w:jc w:val="center"/>
            </w:pPr>
            <w:r>
              <w:rPr>
                <w:sz w:val="20"/>
              </w:rPr>
              <w:t>1.38 (1.12-1.71)</w:t>
            </w:r>
          </w:p>
        </w:tc>
        <w:tc>
          <w:tcPr>
            <w:tcW w:type="dxa" w:w="1656"/>
            <w:vAlign w:val="center"/>
          </w:tcPr>
          <w:p>
            <w:pPr>
              <w:spacing w:before="0" w:after="0" w:line="240" w:lineRule="auto"/>
              <w:jc w:val="center"/>
            </w:pPr>
            <w:r>
              <w:rPr>
                <w:sz w:val="20"/>
              </w:rPr>
              <w:t>0.003</w:t>
            </w:r>
          </w:p>
        </w:tc>
      </w:tr>
      <w:tr>
        <w:trPr>
          <w:cantSplit/>
          <w:cantSplit/>
        </w:trPr>
        <w:tc>
          <w:tcPr>
            <w:tcW w:type="dxa" w:w="1800"/>
            <w:vAlign w:val="center"/>
          </w:tcPr>
          <w:p>
            <w:pPr>
              <w:spacing w:before="0" w:after="0" w:line="240" w:lineRule="auto"/>
              <w:jc w:val="left"/>
            </w:pPr>
            <w:r>
              <w:rPr>
                <w:sz w:val="20"/>
              </w:rPr>
              <w:t>1-year mortality</w:t>
            </w:r>
          </w:p>
        </w:tc>
        <w:tc>
          <w:tcPr>
            <w:tcW w:type="dxa" w:w="3528"/>
            <w:vAlign w:val="center"/>
          </w:tcPr>
          <w:p>
            <w:pPr>
              <w:spacing w:before="0" w:after="0" w:line="240" w:lineRule="auto"/>
              <w:jc w:val="center"/>
            </w:pPr>
            <w:r>
              <w:rPr>
                <w:sz w:val="20"/>
              </w:rPr>
              <w:t>Original covariates</w:t>
            </w:r>
          </w:p>
        </w:tc>
        <w:tc>
          <w:tcPr>
            <w:tcW w:type="dxa" w:w="1152"/>
            <w:vAlign w:val="center"/>
          </w:tcPr>
          <w:p>
            <w:pPr>
              <w:spacing w:before="0" w:after="0" w:line="240" w:lineRule="auto"/>
              <w:jc w:val="center"/>
            </w:pPr>
            <w:r>
              <w:rPr>
                <w:sz w:val="20"/>
              </w:rPr>
              <w:t>3037</w:t>
            </w:r>
          </w:p>
        </w:tc>
        <w:tc>
          <w:tcPr>
            <w:tcW w:type="dxa" w:w="1152"/>
            <w:vAlign w:val="center"/>
          </w:tcPr>
          <w:p>
            <w:pPr>
              <w:spacing w:before="0" w:after="0" w:line="240" w:lineRule="auto"/>
              <w:jc w:val="center"/>
            </w:pPr>
            <w:r>
              <w:rPr>
                <w:sz w:val="20"/>
              </w:rPr>
              <w:t>1173</w:t>
            </w:r>
          </w:p>
        </w:tc>
        <w:tc>
          <w:tcPr>
            <w:tcW w:type="dxa" w:w="4104"/>
            <w:vAlign w:val="center"/>
          </w:tcPr>
          <w:p>
            <w:pPr>
              <w:spacing w:before="0" w:after="0" w:line="240" w:lineRule="auto"/>
              <w:jc w:val="center"/>
            </w:pPr>
            <w:r>
              <w:rPr>
                <w:sz w:val="20"/>
              </w:rPr>
              <w:t>1.37 (1.20-1.57)</w:t>
            </w:r>
          </w:p>
        </w:tc>
        <w:tc>
          <w:tcPr>
            <w:tcW w:type="dxa" w:w="1656"/>
            <w:vAlign w:val="center"/>
          </w:tcPr>
          <w:p>
            <w:pPr>
              <w:spacing w:before="0" w:after="0" w:line="240" w:lineRule="auto"/>
              <w:jc w:val="center"/>
            </w:pPr>
            <w:r>
              <w:rPr>
                <w:sz w:val="20"/>
              </w:rPr>
              <w:t>&lt;0.001</w:t>
            </w:r>
          </w:p>
        </w:tc>
      </w:tr>
      <w:tr>
        <w:trPr>
          <w:cantSplit/>
          <w:cantSplit/>
        </w:trPr>
        <w:tc>
          <w:tcPr>
            <w:tcW w:type="dxa" w:w="1800"/>
            <w:vAlign w:val="center"/>
          </w:tcPr>
          <w:p>
            <w:pPr>
              <w:spacing w:before="0" w:after="0" w:line="240" w:lineRule="auto"/>
              <w:jc w:val="left"/>
            </w:pPr>
            <w:r>
              <w:rPr>
                <w:sz w:val="20"/>
              </w:rPr>
              <w:t>1-year mortality</w:t>
            </w:r>
          </w:p>
        </w:tc>
        <w:tc>
          <w:tcPr>
            <w:tcW w:type="dxa" w:w="3528"/>
            <w:vAlign w:val="center"/>
          </w:tcPr>
          <w:p>
            <w:pPr>
              <w:spacing w:before="0" w:after="0" w:line="240" w:lineRule="auto"/>
              <w:jc w:val="center"/>
            </w:pPr>
            <w:r>
              <w:rPr>
                <w:sz w:val="20"/>
              </w:rPr>
              <w:t>Original covariates + maximum KDIGO stage</w:t>
            </w:r>
          </w:p>
        </w:tc>
        <w:tc>
          <w:tcPr>
            <w:tcW w:type="dxa" w:w="1152"/>
            <w:vAlign w:val="center"/>
          </w:tcPr>
          <w:p>
            <w:pPr>
              <w:spacing w:before="0" w:after="0" w:line="240" w:lineRule="auto"/>
              <w:jc w:val="center"/>
            </w:pPr>
            <w:r>
              <w:rPr>
                <w:sz w:val="20"/>
              </w:rPr>
              <w:t>3037</w:t>
            </w:r>
          </w:p>
        </w:tc>
        <w:tc>
          <w:tcPr>
            <w:tcW w:type="dxa" w:w="1152"/>
            <w:vAlign w:val="center"/>
          </w:tcPr>
          <w:p>
            <w:pPr>
              <w:spacing w:before="0" w:after="0" w:line="240" w:lineRule="auto"/>
              <w:jc w:val="center"/>
            </w:pPr>
            <w:r>
              <w:rPr>
                <w:sz w:val="20"/>
              </w:rPr>
              <w:t>1173</w:t>
            </w:r>
          </w:p>
        </w:tc>
        <w:tc>
          <w:tcPr>
            <w:tcW w:type="dxa" w:w="4104"/>
            <w:vAlign w:val="center"/>
          </w:tcPr>
          <w:p>
            <w:pPr>
              <w:spacing w:before="0" w:after="0" w:line="240" w:lineRule="auto"/>
              <w:jc w:val="center"/>
            </w:pPr>
            <w:r>
              <w:rPr>
                <w:sz w:val="20"/>
              </w:rPr>
              <w:t>1.19 (1.02-1.38)</w:t>
            </w:r>
          </w:p>
        </w:tc>
        <w:tc>
          <w:tcPr>
            <w:tcW w:type="dxa" w:w="1656"/>
            <w:vAlign w:val="center"/>
          </w:tcPr>
          <w:p>
            <w:pPr>
              <w:spacing w:before="0" w:after="0" w:line="240" w:lineRule="auto"/>
              <w:jc w:val="center"/>
            </w:pPr>
            <w:r>
              <w:rPr>
                <w:sz w:val="20"/>
              </w:rPr>
              <w:t>0.024</w:t>
            </w:r>
          </w:p>
        </w:tc>
      </w:tr>
    </w:tbl>
    <w:p>
      <w:r>
        <w:t>Models are restricted to early-AKI patients because no early AKI coincides with stage 0; simultaneous adjustment for the three exposure groups and stages 0-3 is structurally collinear. All 3037 complete cases contribute to each endpoint model (676 deaths at 28 days and 1173 at one year). Original covariates are age, sex, race/ethnicity, AMI subtype, Charlson index, non-renal SOFA, the four first-day mean vital signs, vasoactive use and invasive ventilation. Maximum KDIGO stage is categorical (1/2/3). All model matrices had full rank and no undefined coefficients.</w:t>
      </w:r>
    </w:p>
    <w:p>
      <w:r>
        <w:t>These are exploratory sensitivity analyses. The 28-day stage-adjusted model had exposure PH P = 0.204 and global P = 0.030, with Charlson P &lt;0.001. The one-year model had exposure and global PH P &lt;0.001, so its HR is an average association. Maximum severity overlaps the trajectory observation period and is not a distinct pre-exposure baseline confounder. The attenuation does not isolate a causal effect of persistence.</w:t>
      </w:r>
    </w:p>
    <w:p>
      <w:r>
        <w:br w:type="page"/>
      </w:r>
    </w:p>
    <w:p>
      <w:pPr>
        <w:pStyle w:val="Heading1"/>
      </w:pPr>
      <w:r>
        <w:t>Supplementary Table S12</w:t>
      </w:r>
    </w:p>
    <w:p>
      <w:r>
        <w:t>Non-proportional hazards in the 28-day primary model and Charlson sensitivity analysis</w:t>
      </w:r>
    </w:p>
    <w:p>
      <w:pPr>
        <w:pStyle w:val="Heading2"/>
      </w:pPr>
      <w:r>
        <w:t>Term-level Schoenfeld residual diagnostics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5" w:type="dxa"/>
          <w:bottom w:w="65" w:type="dxa"/>
          <w:left w:w="65" w:type="dxa"/>
          <w:right w:w="65" w:type="dxa"/>
        </w:tblCellMar>
      </w:tblPr>
      <w:tblGrid>
        <w:gridCol w:w="8352"/>
        <w:gridCol w:w="2016"/>
        <w:gridCol w:w="1440"/>
        <w:gridCol w:w="2304"/>
      </w:tblGrid>
      <w:tr>
        <w:trPr>
          <w:tblHeader/>
          <w:cantSplit/>
          <w:cantSplit/>
          <w:tblHeader/>
        </w:trPr>
        <w:tc>
          <w:tcPr>
            <w:tcW w:type="dxa" w:w="8352"/>
            <w:vAlign w:val="center"/>
            <w:shd w:fill="EAEAEA"/>
          </w:tcPr>
          <w:p>
            <w:pPr>
              <w:spacing w:before="0" w:after="0" w:line="240" w:lineRule="auto"/>
              <w:jc w:val="left"/>
            </w:pPr>
            <w:r>
              <w:rPr>
                <w:sz w:val="18"/>
                <w:b/>
              </w:rPr>
              <w:t>Model term</w:t>
            </w:r>
          </w:p>
        </w:tc>
        <w:tc>
          <w:tcPr>
            <w:tcW w:type="dxa" w:w="2016"/>
            <w:vAlign w:val="center"/>
            <w:shd w:fill="EAEAEA"/>
          </w:tcPr>
          <w:p>
            <w:pPr>
              <w:spacing w:before="0" w:after="0" w:line="240" w:lineRule="auto"/>
              <w:jc w:val="center"/>
            </w:pPr>
            <w:r>
              <w:rPr>
                <w:sz w:val="18"/>
                <w:b/>
              </w:rPr>
              <w:t>Chi-square</w:t>
            </w:r>
          </w:p>
        </w:tc>
        <w:tc>
          <w:tcPr>
            <w:tcW w:type="dxa" w:w="1440"/>
            <w:vAlign w:val="center"/>
            <w:shd w:fill="EAEAEA"/>
          </w:tcPr>
          <w:p>
            <w:pPr>
              <w:spacing w:before="0" w:after="0" w:line="240" w:lineRule="auto"/>
              <w:jc w:val="center"/>
            </w:pPr>
            <w:r>
              <w:rPr>
                <w:sz w:val="18"/>
                <w:b/>
              </w:rPr>
              <w:t>df</w:t>
            </w:r>
          </w:p>
        </w:tc>
        <w:tc>
          <w:tcPr>
            <w:tcW w:type="dxa" w:w="2304"/>
            <w:vAlign w:val="center"/>
            <w:shd w:fill="EAEAEA"/>
          </w:tcPr>
          <w:p>
            <w:pPr>
              <w:spacing w:before="0" w:after="0" w:line="240" w:lineRule="auto"/>
              <w:jc w:val="center"/>
            </w:pPr>
            <w:r>
              <w:rPr>
                <w:sz w:val="18"/>
                <w:b/>
              </w:rPr>
              <w:t>P value</w:t>
            </w:r>
          </w:p>
        </w:tc>
      </w:tr>
      <w:tr>
        <w:trPr>
          <w:cantSplit/>
          <w:cantSplit/>
        </w:trPr>
        <w:tc>
          <w:tcPr>
            <w:tcW w:type="dxa" w:w="8352"/>
            <w:vAlign w:val="center"/>
          </w:tcPr>
          <w:p>
            <w:pPr>
              <w:spacing w:before="0" w:after="0" w:line="240" w:lineRule="auto"/>
              <w:jc w:val="left"/>
            </w:pPr>
            <w:r>
              <w:rPr>
                <w:sz w:val="18"/>
              </w:rPr>
              <w:t>AKI trajectory</w:t>
            </w:r>
          </w:p>
        </w:tc>
        <w:tc>
          <w:tcPr>
            <w:tcW w:type="dxa" w:w="2016"/>
            <w:vAlign w:val="center"/>
          </w:tcPr>
          <w:p>
            <w:pPr>
              <w:spacing w:before="0" w:after="0" w:line="240" w:lineRule="auto"/>
              <w:jc w:val="center"/>
            </w:pPr>
            <w:r>
              <w:rPr>
                <w:sz w:val="18"/>
              </w:rPr>
              <w:t>3.706</w:t>
            </w:r>
          </w:p>
        </w:tc>
        <w:tc>
          <w:tcPr>
            <w:tcW w:type="dxa" w:w="1440"/>
            <w:vAlign w:val="center"/>
          </w:tcPr>
          <w:p>
            <w:pPr>
              <w:spacing w:before="0" w:after="0" w:line="240" w:lineRule="auto"/>
              <w:jc w:val="center"/>
            </w:pPr>
            <w:r>
              <w:rPr>
                <w:sz w:val="18"/>
              </w:rPr>
              <w:t>2</w:t>
            </w:r>
          </w:p>
        </w:tc>
        <w:tc>
          <w:tcPr>
            <w:tcW w:type="dxa" w:w="2304"/>
            <w:vAlign w:val="center"/>
          </w:tcPr>
          <w:p>
            <w:pPr>
              <w:spacing w:before="0" w:after="0" w:line="240" w:lineRule="auto"/>
              <w:jc w:val="center"/>
            </w:pPr>
            <w:r>
              <w:rPr>
                <w:sz w:val="18"/>
              </w:rPr>
              <w:t>0.157</w:t>
            </w:r>
          </w:p>
        </w:tc>
      </w:tr>
      <w:tr>
        <w:trPr>
          <w:cantSplit/>
          <w:cantSplit/>
        </w:trPr>
        <w:tc>
          <w:tcPr>
            <w:tcW w:type="dxa" w:w="8352"/>
            <w:vAlign w:val="center"/>
          </w:tcPr>
          <w:p>
            <w:pPr>
              <w:spacing w:before="0" w:after="0" w:line="240" w:lineRule="auto"/>
              <w:jc w:val="left"/>
            </w:pPr>
            <w:r>
              <w:rPr>
                <w:sz w:val="18"/>
              </w:rPr>
              <w:t>Age (anchor_age)</w:t>
            </w:r>
          </w:p>
        </w:tc>
        <w:tc>
          <w:tcPr>
            <w:tcW w:type="dxa" w:w="2016"/>
            <w:vAlign w:val="center"/>
          </w:tcPr>
          <w:p>
            <w:pPr>
              <w:spacing w:before="0" w:after="0" w:line="240" w:lineRule="auto"/>
              <w:jc w:val="center"/>
            </w:pPr>
            <w:r>
              <w:rPr>
                <w:sz w:val="18"/>
              </w:rPr>
              <w:t>0.032</w:t>
            </w:r>
          </w:p>
        </w:tc>
        <w:tc>
          <w:tcPr>
            <w:tcW w:type="dxa" w:w="1440"/>
            <w:vAlign w:val="center"/>
          </w:tcPr>
          <w:p>
            <w:pPr>
              <w:spacing w:before="0" w:after="0" w:line="240" w:lineRule="auto"/>
              <w:jc w:val="center"/>
            </w:pPr>
            <w:r>
              <w:rPr>
                <w:sz w:val="18"/>
              </w:rPr>
              <w:t>1</w:t>
            </w:r>
          </w:p>
        </w:tc>
        <w:tc>
          <w:tcPr>
            <w:tcW w:type="dxa" w:w="2304"/>
            <w:vAlign w:val="center"/>
          </w:tcPr>
          <w:p>
            <w:pPr>
              <w:spacing w:before="0" w:after="0" w:line="240" w:lineRule="auto"/>
              <w:jc w:val="center"/>
            </w:pPr>
            <w:r>
              <w:rPr>
                <w:sz w:val="18"/>
              </w:rPr>
              <w:t>0.858</w:t>
            </w:r>
          </w:p>
        </w:tc>
      </w:tr>
      <w:tr>
        <w:trPr>
          <w:cantSplit/>
          <w:cantSplit/>
        </w:trPr>
        <w:tc>
          <w:tcPr>
            <w:tcW w:type="dxa" w:w="8352"/>
            <w:vAlign w:val="center"/>
          </w:tcPr>
          <w:p>
            <w:pPr>
              <w:spacing w:before="0" w:after="0" w:line="240" w:lineRule="auto"/>
              <w:jc w:val="left"/>
            </w:pPr>
            <w:r>
              <w:rPr>
                <w:sz w:val="18"/>
              </w:rPr>
              <w:t>Sex</w:t>
            </w:r>
          </w:p>
        </w:tc>
        <w:tc>
          <w:tcPr>
            <w:tcW w:type="dxa" w:w="2016"/>
            <w:vAlign w:val="center"/>
          </w:tcPr>
          <w:p>
            <w:pPr>
              <w:spacing w:before="0" w:after="0" w:line="240" w:lineRule="auto"/>
              <w:jc w:val="center"/>
            </w:pPr>
            <w:r>
              <w:rPr>
                <w:sz w:val="18"/>
              </w:rPr>
              <w:t>0.723</w:t>
            </w:r>
          </w:p>
        </w:tc>
        <w:tc>
          <w:tcPr>
            <w:tcW w:type="dxa" w:w="1440"/>
            <w:vAlign w:val="center"/>
          </w:tcPr>
          <w:p>
            <w:pPr>
              <w:spacing w:before="0" w:after="0" w:line="240" w:lineRule="auto"/>
              <w:jc w:val="center"/>
            </w:pPr>
            <w:r>
              <w:rPr>
                <w:sz w:val="18"/>
              </w:rPr>
              <w:t>1</w:t>
            </w:r>
          </w:p>
        </w:tc>
        <w:tc>
          <w:tcPr>
            <w:tcW w:type="dxa" w:w="2304"/>
            <w:vAlign w:val="center"/>
          </w:tcPr>
          <w:p>
            <w:pPr>
              <w:spacing w:before="0" w:after="0" w:line="240" w:lineRule="auto"/>
              <w:jc w:val="center"/>
            </w:pPr>
            <w:r>
              <w:rPr>
                <w:sz w:val="18"/>
              </w:rPr>
              <w:t>0.395</w:t>
            </w:r>
          </w:p>
        </w:tc>
      </w:tr>
      <w:tr>
        <w:trPr>
          <w:cantSplit/>
          <w:cantSplit/>
        </w:trPr>
        <w:tc>
          <w:tcPr>
            <w:tcW w:type="dxa" w:w="8352"/>
            <w:vAlign w:val="center"/>
          </w:tcPr>
          <w:p>
            <w:pPr>
              <w:spacing w:before="0" w:after="0" w:line="240" w:lineRule="auto"/>
              <w:jc w:val="left"/>
            </w:pPr>
            <w:r>
              <w:rPr>
                <w:sz w:val="18"/>
              </w:rPr>
              <w:t>Race or ethnicity</w:t>
            </w:r>
          </w:p>
        </w:tc>
        <w:tc>
          <w:tcPr>
            <w:tcW w:type="dxa" w:w="2016"/>
            <w:vAlign w:val="center"/>
          </w:tcPr>
          <w:p>
            <w:pPr>
              <w:spacing w:before="0" w:after="0" w:line="240" w:lineRule="auto"/>
              <w:jc w:val="center"/>
            </w:pPr>
            <w:r>
              <w:rPr>
                <w:sz w:val="18"/>
              </w:rPr>
              <w:t>7.894</w:t>
            </w:r>
          </w:p>
        </w:tc>
        <w:tc>
          <w:tcPr>
            <w:tcW w:type="dxa" w:w="1440"/>
            <w:vAlign w:val="center"/>
          </w:tcPr>
          <w:p>
            <w:pPr>
              <w:spacing w:before="0" w:after="0" w:line="240" w:lineRule="auto"/>
              <w:jc w:val="center"/>
            </w:pPr>
            <w:r>
              <w:rPr>
                <w:sz w:val="18"/>
              </w:rPr>
              <w:t>4</w:t>
            </w:r>
          </w:p>
        </w:tc>
        <w:tc>
          <w:tcPr>
            <w:tcW w:type="dxa" w:w="2304"/>
            <w:vAlign w:val="center"/>
          </w:tcPr>
          <w:p>
            <w:pPr>
              <w:spacing w:before="0" w:after="0" w:line="240" w:lineRule="auto"/>
              <w:jc w:val="center"/>
            </w:pPr>
            <w:r>
              <w:rPr>
                <w:sz w:val="18"/>
              </w:rPr>
              <w:t>0.096</w:t>
            </w:r>
          </w:p>
        </w:tc>
      </w:tr>
      <w:tr>
        <w:trPr>
          <w:cantSplit/>
          <w:cantSplit/>
        </w:trPr>
        <w:tc>
          <w:tcPr>
            <w:tcW w:type="dxa" w:w="8352"/>
            <w:vAlign w:val="center"/>
          </w:tcPr>
          <w:p>
            <w:pPr>
              <w:spacing w:before="0" w:after="0" w:line="240" w:lineRule="auto"/>
              <w:jc w:val="left"/>
            </w:pPr>
            <w:r>
              <w:rPr>
                <w:sz w:val="18"/>
              </w:rPr>
              <w:t>AMI subtype</w:t>
            </w:r>
          </w:p>
        </w:tc>
        <w:tc>
          <w:tcPr>
            <w:tcW w:type="dxa" w:w="2016"/>
            <w:vAlign w:val="center"/>
          </w:tcPr>
          <w:p>
            <w:pPr>
              <w:spacing w:before="0" w:after="0" w:line="240" w:lineRule="auto"/>
              <w:jc w:val="center"/>
            </w:pPr>
            <w:r>
              <w:rPr>
                <w:sz w:val="18"/>
              </w:rPr>
              <w:t>0.544</w:t>
            </w:r>
          </w:p>
        </w:tc>
        <w:tc>
          <w:tcPr>
            <w:tcW w:type="dxa" w:w="1440"/>
            <w:vAlign w:val="center"/>
          </w:tcPr>
          <w:p>
            <w:pPr>
              <w:spacing w:before="0" w:after="0" w:line="240" w:lineRule="auto"/>
              <w:jc w:val="center"/>
            </w:pPr>
            <w:r>
              <w:rPr>
                <w:sz w:val="18"/>
              </w:rPr>
              <w:t>1</w:t>
            </w:r>
          </w:p>
        </w:tc>
        <w:tc>
          <w:tcPr>
            <w:tcW w:type="dxa" w:w="2304"/>
            <w:vAlign w:val="center"/>
          </w:tcPr>
          <w:p>
            <w:pPr>
              <w:spacing w:before="0" w:after="0" w:line="240" w:lineRule="auto"/>
              <w:jc w:val="center"/>
            </w:pPr>
            <w:r>
              <w:rPr>
                <w:sz w:val="18"/>
              </w:rPr>
              <w:t>0.461</w:t>
            </w:r>
          </w:p>
        </w:tc>
      </w:tr>
      <w:tr>
        <w:trPr>
          <w:cantSplit/>
          <w:cantSplit/>
        </w:trPr>
        <w:tc>
          <w:tcPr>
            <w:tcW w:type="dxa" w:w="8352"/>
            <w:vAlign w:val="center"/>
          </w:tcPr>
          <w:p>
            <w:pPr>
              <w:spacing w:before="0" w:after="0" w:line="240" w:lineRule="auto"/>
              <w:jc w:val="left"/>
            </w:pPr>
            <w:r>
              <w:rPr>
                <w:sz w:val="18"/>
              </w:rPr>
              <w:t>Charlson comorbidity index</w:t>
            </w:r>
          </w:p>
        </w:tc>
        <w:tc>
          <w:tcPr>
            <w:tcW w:type="dxa" w:w="2016"/>
            <w:vAlign w:val="center"/>
          </w:tcPr>
          <w:p>
            <w:pPr>
              <w:spacing w:before="0" w:after="0" w:line="240" w:lineRule="auto"/>
              <w:jc w:val="center"/>
            </w:pPr>
            <w:r>
              <w:rPr>
                <w:sz w:val="18"/>
              </w:rPr>
              <w:t>11.218</w:t>
            </w:r>
          </w:p>
        </w:tc>
        <w:tc>
          <w:tcPr>
            <w:tcW w:type="dxa" w:w="1440"/>
            <w:vAlign w:val="center"/>
          </w:tcPr>
          <w:p>
            <w:pPr>
              <w:spacing w:before="0" w:after="0" w:line="240" w:lineRule="auto"/>
              <w:jc w:val="center"/>
            </w:pPr>
            <w:r>
              <w:rPr>
                <w:sz w:val="18"/>
              </w:rPr>
              <w:t>1</w:t>
            </w:r>
          </w:p>
        </w:tc>
        <w:tc>
          <w:tcPr>
            <w:tcW w:type="dxa" w:w="2304"/>
            <w:vAlign w:val="center"/>
          </w:tcPr>
          <w:p>
            <w:pPr>
              <w:spacing w:before="0" w:after="0" w:line="240" w:lineRule="auto"/>
              <w:jc w:val="center"/>
            </w:pPr>
            <w:r>
              <w:rPr>
                <w:sz w:val="18"/>
              </w:rPr>
              <w:t>0.00081</w:t>
            </w:r>
          </w:p>
        </w:tc>
      </w:tr>
      <w:tr>
        <w:trPr>
          <w:cantSplit/>
          <w:cantSplit/>
        </w:trPr>
        <w:tc>
          <w:tcPr>
            <w:tcW w:type="dxa" w:w="8352"/>
            <w:vAlign w:val="center"/>
          </w:tcPr>
          <w:p>
            <w:pPr>
              <w:spacing w:before="0" w:after="0" w:line="240" w:lineRule="auto"/>
              <w:jc w:val="left"/>
            </w:pPr>
            <w:r>
              <w:rPr>
                <w:sz w:val="18"/>
              </w:rPr>
              <w:t>Non-renal SOFA</w:t>
            </w:r>
          </w:p>
        </w:tc>
        <w:tc>
          <w:tcPr>
            <w:tcW w:type="dxa" w:w="2016"/>
            <w:vAlign w:val="center"/>
          </w:tcPr>
          <w:p>
            <w:pPr>
              <w:spacing w:before="0" w:after="0" w:line="240" w:lineRule="auto"/>
              <w:jc w:val="center"/>
            </w:pPr>
            <w:r>
              <w:rPr>
                <w:sz w:val="18"/>
              </w:rPr>
              <w:t>2.557</w:t>
            </w:r>
          </w:p>
        </w:tc>
        <w:tc>
          <w:tcPr>
            <w:tcW w:type="dxa" w:w="1440"/>
            <w:vAlign w:val="center"/>
          </w:tcPr>
          <w:p>
            <w:pPr>
              <w:spacing w:before="0" w:after="0" w:line="240" w:lineRule="auto"/>
              <w:jc w:val="center"/>
            </w:pPr>
            <w:r>
              <w:rPr>
                <w:sz w:val="18"/>
              </w:rPr>
              <w:t>1</w:t>
            </w:r>
          </w:p>
        </w:tc>
        <w:tc>
          <w:tcPr>
            <w:tcW w:type="dxa" w:w="2304"/>
            <w:vAlign w:val="center"/>
          </w:tcPr>
          <w:p>
            <w:pPr>
              <w:spacing w:before="0" w:after="0" w:line="240" w:lineRule="auto"/>
              <w:jc w:val="center"/>
            </w:pPr>
            <w:r>
              <w:rPr>
                <w:sz w:val="18"/>
              </w:rPr>
              <w:t>0.110</w:t>
            </w:r>
          </w:p>
        </w:tc>
      </w:tr>
      <w:tr>
        <w:trPr>
          <w:cantSplit/>
          <w:cantSplit/>
        </w:trPr>
        <w:tc>
          <w:tcPr>
            <w:tcW w:type="dxa" w:w="8352"/>
            <w:vAlign w:val="center"/>
          </w:tcPr>
          <w:p>
            <w:pPr>
              <w:spacing w:before="0" w:after="0" w:line="240" w:lineRule="auto"/>
              <w:jc w:val="left"/>
            </w:pPr>
            <w:r>
              <w:rPr>
                <w:sz w:val="18"/>
              </w:rPr>
              <w:t>Mean heart rate</w:t>
            </w:r>
          </w:p>
        </w:tc>
        <w:tc>
          <w:tcPr>
            <w:tcW w:type="dxa" w:w="2016"/>
            <w:vAlign w:val="center"/>
          </w:tcPr>
          <w:p>
            <w:pPr>
              <w:spacing w:before="0" w:after="0" w:line="240" w:lineRule="auto"/>
              <w:jc w:val="center"/>
            </w:pPr>
            <w:r>
              <w:rPr>
                <w:sz w:val="18"/>
              </w:rPr>
              <w:t>0.873</w:t>
            </w:r>
          </w:p>
        </w:tc>
        <w:tc>
          <w:tcPr>
            <w:tcW w:type="dxa" w:w="1440"/>
            <w:vAlign w:val="center"/>
          </w:tcPr>
          <w:p>
            <w:pPr>
              <w:spacing w:before="0" w:after="0" w:line="240" w:lineRule="auto"/>
              <w:jc w:val="center"/>
            </w:pPr>
            <w:r>
              <w:rPr>
                <w:sz w:val="18"/>
              </w:rPr>
              <w:t>1</w:t>
            </w:r>
          </w:p>
        </w:tc>
        <w:tc>
          <w:tcPr>
            <w:tcW w:type="dxa" w:w="2304"/>
            <w:vAlign w:val="center"/>
          </w:tcPr>
          <w:p>
            <w:pPr>
              <w:spacing w:before="0" w:after="0" w:line="240" w:lineRule="auto"/>
              <w:jc w:val="center"/>
            </w:pPr>
            <w:r>
              <w:rPr>
                <w:sz w:val="18"/>
              </w:rPr>
              <w:t>0.350</w:t>
            </w:r>
          </w:p>
        </w:tc>
      </w:tr>
      <w:tr>
        <w:trPr>
          <w:cantSplit/>
          <w:cantSplit/>
        </w:trPr>
        <w:tc>
          <w:tcPr>
            <w:tcW w:type="dxa" w:w="8352"/>
            <w:vAlign w:val="center"/>
          </w:tcPr>
          <w:p>
            <w:pPr>
              <w:spacing w:before="0" w:after="0" w:line="240" w:lineRule="auto"/>
              <w:jc w:val="left"/>
            </w:pPr>
            <w:r>
              <w:rPr>
                <w:sz w:val="18"/>
              </w:rPr>
              <w:t>Mean arterial pressure</w:t>
            </w:r>
          </w:p>
        </w:tc>
        <w:tc>
          <w:tcPr>
            <w:tcW w:type="dxa" w:w="2016"/>
            <w:vAlign w:val="center"/>
          </w:tcPr>
          <w:p>
            <w:pPr>
              <w:spacing w:before="0" w:after="0" w:line="240" w:lineRule="auto"/>
              <w:jc w:val="center"/>
            </w:pPr>
            <w:r>
              <w:rPr>
                <w:sz w:val="18"/>
              </w:rPr>
              <w:t>0.069</w:t>
            </w:r>
          </w:p>
        </w:tc>
        <w:tc>
          <w:tcPr>
            <w:tcW w:type="dxa" w:w="1440"/>
            <w:vAlign w:val="center"/>
          </w:tcPr>
          <w:p>
            <w:pPr>
              <w:spacing w:before="0" w:after="0" w:line="240" w:lineRule="auto"/>
              <w:jc w:val="center"/>
            </w:pPr>
            <w:r>
              <w:rPr>
                <w:sz w:val="18"/>
              </w:rPr>
              <w:t>1</w:t>
            </w:r>
          </w:p>
        </w:tc>
        <w:tc>
          <w:tcPr>
            <w:tcW w:type="dxa" w:w="2304"/>
            <w:vAlign w:val="center"/>
          </w:tcPr>
          <w:p>
            <w:pPr>
              <w:spacing w:before="0" w:after="0" w:line="240" w:lineRule="auto"/>
              <w:jc w:val="center"/>
            </w:pPr>
            <w:r>
              <w:rPr>
                <w:sz w:val="18"/>
              </w:rPr>
              <w:t>0.792</w:t>
            </w:r>
          </w:p>
        </w:tc>
      </w:tr>
      <w:tr>
        <w:trPr>
          <w:cantSplit/>
          <w:cantSplit/>
        </w:trPr>
        <w:tc>
          <w:tcPr>
            <w:tcW w:type="dxa" w:w="8352"/>
            <w:vAlign w:val="center"/>
          </w:tcPr>
          <w:p>
            <w:pPr>
              <w:spacing w:before="0" w:after="0" w:line="240" w:lineRule="auto"/>
              <w:jc w:val="left"/>
            </w:pPr>
            <w:r>
              <w:rPr>
                <w:sz w:val="18"/>
              </w:rPr>
              <w:t>Mean respiratory rate</w:t>
            </w:r>
          </w:p>
        </w:tc>
        <w:tc>
          <w:tcPr>
            <w:tcW w:type="dxa" w:w="2016"/>
            <w:vAlign w:val="center"/>
          </w:tcPr>
          <w:p>
            <w:pPr>
              <w:spacing w:before="0" w:after="0" w:line="240" w:lineRule="auto"/>
              <w:jc w:val="center"/>
            </w:pPr>
            <w:r>
              <w:rPr>
                <w:sz w:val="18"/>
              </w:rPr>
              <w:t>0.689</w:t>
            </w:r>
          </w:p>
        </w:tc>
        <w:tc>
          <w:tcPr>
            <w:tcW w:type="dxa" w:w="1440"/>
            <w:vAlign w:val="center"/>
          </w:tcPr>
          <w:p>
            <w:pPr>
              <w:spacing w:before="0" w:after="0" w:line="240" w:lineRule="auto"/>
              <w:jc w:val="center"/>
            </w:pPr>
            <w:r>
              <w:rPr>
                <w:sz w:val="18"/>
              </w:rPr>
              <w:t>1</w:t>
            </w:r>
          </w:p>
        </w:tc>
        <w:tc>
          <w:tcPr>
            <w:tcW w:type="dxa" w:w="2304"/>
            <w:vAlign w:val="center"/>
          </w:tcPr>
          <w:p>
            <w:pPr>
              <w:spacing w:before="0" w:after="0" w:line="240" w:lineRule="auto"/>
              <w:jc w:val="center"/>
            </w:pPr>
            <w:r>
              <w:rPr>
                <w:sz w:val="18"/>
              </w:rPr>
              <w:t>0.406</w:t>
            </w:r>
          </w:p>
        </w:tc>
      </w:tr>
      <w:tr>
        <w:trPr>
          <w:cantSplit/>
          <w:cantSplit/>
        </w:trPr>
        <w:tc>
          <w:tcPr>
            <w:tcW w:type="dxa" w:w="8352"/>
            <w:vAlign w:val="center"/>
          </w:tcPr>
          <w:p>
            <w:pPr>
              <w:spacing w:before="0" w:after="0" w:line="240" w:lineRule="auto"/>
              <w:jc w:val="left"/>
            </w:pPr>
            <w:r>
              <w:rPr>
                <w:sz w:val="18"/>
              </w:rPr>
              <w:t>Mean oxygen saturation</w:t>
            </w:r>
          </w:p>
        </w:tc>
        <w:tc>
          <w:tcPr>
            <w:tcW w:type="dxa" w:w="2016"/>
            <w:vAlign w:val="center"/>
          </w:tcPr>
          <w:p>
            <w:pPr>
              <w:spacing w:before="0" w:after="0" w:line="240" w:lineRule="auto"/>
              <w:jc w:val="center"/>
            </w:pPr>
            <w:r>
              <w:rPr>
                <w:sz w:val="18"/>
              </w:rPr>
              <w:t>1.046</w:t>
            </w:r>
          </w:p>
        </w:tc>
        <w:tc>
          <w:tcPr>
            <w:tcW w:type="dxa" w:w="1440"/>
            <w:vAlign w:val="center"/>
          </w:tcPr>
          <w:p>
            <w:pPr>
              <w:spacing w:before="0" w:after="0" w:line="240" w:lineRule="auto"/>
              <w:jc w:val="center"/>
            </w:pPr>
            <w:r>
              <w:rPr>
                <w:sz w:val="18"/>
              </w:rPr>
              <w:t>1</w:t>
            </w:r>
          </w:p>
        </w:tc>
        <w:tc>
          <w:tcPr>
            <w:tcW w:type="dxa" w:w="2304"/>
            <w:vAlign w:val="center"/>
          </w:tcPr>
          <w:p>
            <w:pPr>
              <w:spacing w:before="0" w:after="0" w:line="240" w:lineRule="auto"/>
              <w:jc w:val="center"/>
            </w:pPr>
            <w:r>
              <w:rPr>
                <w:sz w:val="18"/>
              </w:rPr>
              <w:t>0.306</w:t>
            </w:r>
          </w:p>
        </w:tc>
      </w:tr>
      <w:tr>
        <w:trPr>
          <w:cantSplit/>
          <w:cantSplit/>
        </w:trPr>
        <w:tc>
          <w:tcPr>
            <w:tcW w:type="dxa" w:w="8352"/>
            <w:vAlign w:val="center"/>
          </w:tcPr>
          <w:p>
            <w:pPr>
              <w:spacing w:before="0" w:after="0" w:line="240" w:lineRule="auto"/>
              <w:jc w:val="left"/>
            </w:pPr>
            <w:r>
              <w:rPr>
                <w:sz w:val="18"/>
              </w:rPr>
              <w:t>Vasoactive use within 72 hours</w:t>
            </w:r>
          </w:p>
        </w:tc>
        <w:tc>
          <w:tcPr>
            <w:tcW w:type="dxa" w:w="2016"/>
            <w:vAlign w:val="center"/>
          </w:tcPr>
          <w:p>
            <w:pPr>
              <w:spacing w:before="0" w:after="0" w:line="240" w:lineRule="auto"/>
              <w:jc w:val="center"/>
            </w:pPr>
            <w:r>
              <w:rPr>
                <w:sz w:val="18"/>
              </w:rPr>
              <w:t>2.732</w:t>
            </w:r>
          </w:p>
        </w:tc>
        <w:tc>
          <w:tcPr>
            <w:tcW w:type="dxa" w:w="1440"/>
            <w:vAlign w:val="center"/>
          </w:tcPr>
          <w:p>
            <w:pPr>
              <w:spacing w:before="0" w:after="0" w:line="240" w:lineRule="auto"/>
              <w:jc w:val="center"/>
            </w:pPr>
            <w:r>
              <w:rPr>
                <w:sz w:val="18"/>
              </w:rPr>
              <w:t>1</w:t>
            </w:r>
          </w:p>
        </w:tc>
        <w:tc>
          <w:tcPr>
            <w:tcW w:type="dxa" w:w="2304"/>
            <w:vAlign w:val="center"/>
          </w:tcPr>
          <w:p>
            <w:pPr>
              <w:spacing w:before="0" w:after="0" w:line="240" w:lineRule="auto"/>
              <w:jc w:val="center"/>
            </w:pPr>
            <w:r>
              <w:rPr>
                <w:sz w:val="18"/>
              </w:rPr>
              <w:t>0.098</w:t>
            </w:r>
          </w:p>
        </w:tc>
      </w:tr>
      <w:tr>
        <w:trPr>
          <w:cantSplit/>
          <w:cantSplit/>
        </w:trPr>
        <w:tc>
          <w:tcPr>
            <w:tcW w:type="dxa" w:w="8352"/>
            <w:vAlign w:val="center"/>
          </w:tcPr>
          <w:p>
            <w:pPr>
              <w:spacing w:before="0" w:after="0" w:line="240" w:lineRule="auto"/>
              <w:jc w:val="left"/>
            </w:pPr>
            <w:r>
              <w:rPr>
                <w:sz w:val="18"/>
              </w:rPr>
              <w:t>Invasive ventilation within 72 hours</w:t>
            </w:r>
          </w:p>
        </w:tc>
        <w:tc>
          <w:tcPr>
            <w:tcW w:type="dxa" w:w="2016"/>
            <w:vAlign w:val="center"/>
          </w:tcPr>
          <w:p>
            <w:pPr>
              <w:spacing w:before="0" w:after="0" w:line="240" w:lineRule="auto"/>
              <w:jc w:val="center"/>
            </w:pPr>
            <w:r>
              <w:rPr>
                <w:sz w:val="18"/>
              </w:rPr>
              <w:t>2.930</w:t>
            </w:r>
          </w:p>
        </w:tc>
        <w:tc>
          <w:tcPr>
            <w:tcW w:type="dxa" w:w="1440"/>
            <w:vAlign w:val="center"/>
          </w:tcPr>
          <w:p>
            <w:pPr>
              <w:spacing w:before="0" w:after="0" w:line="240" w:lineRule="auto"/>
              <w:jc w:val="center"/>
            </w:pPr>
            <w:r>
              <w:rPr>
                <w:sz w:val="18"/>
              </w:rPr>
              <w:t>1</w:t>
            </w:r>
          </w:p>
        </w:tc>
        <w:tc>
          <w:tcPr>
            <w:tcW w:type="dxa" w:w="2304"/>
            <w:vAlign w:val="center"/>
          </w:tcPr>
          <w:p>
            <w:pPr>
              <w:spacing w:before="0" w:after="0" w:line="240" w:lineRule="auto"/>
              <w:jc w:val="center"/>
            </w:pPr>
            <w:r>
              <w:rPr>
                <w:sz w:val="18"/>
              </w:rPr>
              <w:t>0.087</w:t>
            </w:r>
          </w:p>
        </w:tc>
      </w:tr>
      <w:tr>
        <w:trPr>
          <w:cantSplit/>
          <w:cantSplit/>
        </w:trPr>
        <w:tc>
          <w:tcPr>
            <w:tcW w:type="dxa" w:w="8352"/>
            <w:vAlign w:val="center"/>
          </w:tcPr>
          <w:p>
            <w:pPr>
              <w:spacing w:before="0" w:after="0" w:line="240" w:lineRule="auto"/>
              <w:jc w:val="left"/>
            </w:pPr>
            <w:r>
              <w:rPr>
                <w:sz w:val="18"/>
              </w:rPr>
              <w:t>Global model</w:t>
            </w:r>
          </w:p>
        </w:tc>
        <w:tc>
          <w:tcPr>
            <w:tcW w:type="dxa" w:w="2016"/>
            <w:vAlign w:val="center"/>
          </w:tcPr>
          <w:p>
            <w:pPr>
              <w:spacing w:before="0" w:after="0" w:line="240" w:lineRule="auto"/>
              <w:jc w:val="center"/>
            </w:pPr>
            <w:r>
              <w:rPr>
                <w:sz w:val="18"/>
              </w:rPr>
              <w:t>32.451</w:t>
            </w:r>
          </w:p>
        </w:tc>
        <w:tc>
          <w:tcPr>
            <w:tcW w:type="dxa" w:w="1440"/>
            <w:vAlign w:val="center"/>
          </w:tcPr>
          <w:p>
            <w:pPr>
              <w:spacing w:before="0" w:after="0" w:line="240" w:lineRule="auto"/>
              <w:jc w:val="center"/>
            </w:pPr>
            <w:r>
              <w:rPr>
                <w:sz w:val="18"/>
              </w:rPr>
              <w:t>17</w:t>
            </w:r>
          </w:p>
        </w:tc>
        <w:tc>
          <w:tcPr>
            <w:tcW w:type="dxa" w:w="2304"/>
            <w:vAlign w:val="center"/>
          </w:tcPr>
          <w:p>
            <w:pPr>
              <w:spacing w:before="0" w:after="0" w:line="240" w:lineRule="auto"/>
              <w:jc w:val="center"/>
            </w:pPr>
            <w:r>
              <w:rPr>
                <w:sz w:val="18"/>
              </w:rPr>
              <w:t>0.013</w:t>
            </w:r>
          </w:p>
        </w:tc>
      </w:tr>
    </w:tbl>
    <w:p>
      <w:r>
        <w:rPr>
          <w:rFonts w:ascii="Times New Roman" w:hAnsi="Times New Roman"/>
          <w:sz w:val="18"/>
        </w:rPr>
        <w:t>Diagnostics use scaled Schoenfeld residuals and the default Kaplan-Meier time transformation in survival::cox.zph. Charlson was the only individual term with P &lt;0.05. The non-significant exposure-specific test does not prove global proportional hazards.</w:t>
      </w:r>
    </w:p>
    <w:p>
      <w:pPr>
        <w:pStyle w:val="Heading2"/>
      </w:pPr>
      <w:r>
        <w:t>Sensitivity to a time-dependent Charlson coefficient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5" w:type="dxa"/>
          <w:bottom w:w="65" w:type="dxa"/>
          <w:left w:w="65" w:type="dxa"/>
          <w:right w:w="65" w:type="dxa"/>
        </w:tblCellMar>
      </w:tblPr>
      <w:tblGrid>
        <w:gridCol w:w="3312"/>
        <w:gridCol w:w="3600"/>
        <w:gridCol w:w="1152"/>
        <w:gridCol w:w="1152"/>
        <w:gridCol w:w="2952"/>
        <w:gridCol w:w="1224"/>
      </w:tblGrid>
      <w:tr>
        <w:trPr>
          <w:tblHeader/>
          <w:cantSplit/>
          <w:cantSplit/>
          <w:tblHeader/>
        </w:trPr>
        <w:tc>
          <w:tcPr>
            <w:tcW w:type="dxa" w:w="3312"/>
            <w:vAlign w:val="center"/>
            <w:shd w:fill="EAEAEA"/>
          </w:tcPr>
          <w:p>
            <w:pPr>
              <w:spacing w:before="0" w:after="0" w:line="240" w:lineRule="auto"/>
              <w:jc w:val="left"/>
            </w:pPr>
            <w:r>
              <w:rPr>
                <w:sz w:val="18"/>
                <w:b/>
              </w:rPr>
              <w:t>Model</w:t>
            </w:r>
          </w:p>
        </w:tc>
        <w:tc>
          <w:tcPr>
            <w:tcW w:type="dxa" w:w="3600"/>
            <w:vAlign w:val="center"/>
            <w:shd w:fill="EAEAEA"/>
          </w:tcPr>
          <w:p>
            <w:pPr>
              <w:spacing w:before="0" w:after="0" w:line="240" w:lineRule="auto"/>
              <w:jc w:val="center"/>
            </w:pPr>
            <w:r>
              <w:rPr>
                <w:sz w:val="18"/>
                <w:b/>
              </w:rPr>
              <w:t>Comparison with no early AKI</w:t>
            </w:r>
          </w:p>
        </w:tc>
        <w:tc>
          <w:tcPr>
            <w:tcW w:type="dxa" w:w="1152"/>
            <w:vAlign w:val="center"/>
            <w:shd w:fill="EAEAEA"/>
          </w:tcPr>
          <w:p>
            <w:pPr>
              <w:spacing w:before="0" w:after="0" w:line="240" w:lineRule="auto"/>
              <w:jc w:val="center"/>
            </w:pPr>
            <w:r>
              <w:rPr>
                <w:sz w:val="18"/>
                <w:b/>
              </w:rPr>
              <w:t>n used</w:t>
            </w:r>
          </w:p>
        </w:tc>
        <w:tc>
          <w:tcPr>
            <w:tcW w:type="dxa" w:w="1152"/>
            <w:vAlign w:val="center"/>
            <w:shd w:fill="EAEAEA"/>
          </w:tcPr>
          <w:p>
            <w:pPr>
              <w:spacing w:before="0" w:after="0" w:line="240" w:lineRule="auto"/>
              <w:jc w:val="center"/>
            </w:pPr>
            <w:r>
              <w:rPr>
                <w:sz w:val="18"/>
                <w:b/>
              </w:rPr>
              <w:t>Deaths</w:t>
            </w:r>
          </w:p>
        </w:tc>
        <w:tc>
          <w:tcPr>
            <w:tcW w:type="dxa" w:w="2952"/>
            <w:vAlign w:val="center"/>
            <w:shd w:fill="EAEAEA"/>
          </w:tcPr>
          <w:p>
            <w:pPr>
              <w:spacing w:before="0" w:after="0" w:line="240" w:lineRule="auto"/>
              <w:jc w:val="center"/>
            </w:pPr>
            <w:r>
              <w:rPr>
                <w:sz w:val="18"/>
                <w:b/>
              </w:rPr>
              <w:t>HR (95% CI)</w:t>
            </w:r>
          </w:p>
        </w:tc>
        <w:tc>
          <w:tcPr>
            <w:tcW w:type="dxa" w:w="1224"/>
            <w:vAlign w:val="center"/>
            <w:shd w:fill="EAEAEA"/>
          </w:tcPr>
          <w:p>
            <w:pPr>
              <w:spacing w:before="0" w:after="0" w:line="240" w:lineRule="auto"/>
              <w:jc w:val="center"/>
            </w:pPr>
            <w:r>
              <w:rPr>
                <w:sz w:val="18"/>
                <w:b/>
              </w:rPr>
              <w:t>P value</w:t>
            </w:r>
          </w:p>
        </w:tc>
      </w:tr>
      <w:tr>
        <w:trPr>
          <w:cantSplit/>
          <w:cantSplit/>
        </w:trPr>
        <w:tc>
          <w:tcPr>
            <w:tcW w:type="dxa" w:w="3312"/>
            <w:vAlign w:val="center"/>
          </w:tcPr>
          <w:p>
            <w:pPr>
              <w:spacing w:before="0" w:after="0" w:line="240" w:lineRule="auto"/>
              <w:jc w:val="left"/>
            </w:pPr>
            <w:r>
              <w:rPr>
                <w:sz w:val="18"/>
              </w:rPr>
              <w:t>Primary adjusted Cox</w:t>
            </w:r>
          </w:p>
        </w:tc>
        <w:tc>
          <w:tcPr>
            <w:tcW w:type="dxa" w:w="3600"/>
            <w:vAlign w:val="center"/>
          </w:tcPr>
          <w:p>
            <w:pPr>
              <w:spacing w:before="0" w:after="0" w:line="240" w:lineRule="auto"/>
              <w:jc w:val="center"/>
            </w:pPr>
            <w:r>
              <w:rPr>
                <w:sz w:val="18"/>
              </w:rPr>
              <w:t>Transient AKI</w:t>
            </w:r>
          </w:p>
        </w:tc>
        <w:tc>
          <w:tcPr>
            <w:tcW w:type="dxa" w:w="1152"/>
            <w:vAlign w:val="center"/>
          </w:tcPr>
          <w:p>
            <w:pPr>
              <w:spacing w:before="0" w:after="0" w:line="240" w:lineRule="auto"/>
              <w:jc w:val="center"/>
            </w:pPr>
            <w:r>
              <w:rPr>
                <w:sz w:val="18"/>
              </w:rPr>
              <w:t>3458</w:t>
            </w:r>
          </w:p>
        </w:tc>
        <w:tc>
          <w:tcPr>
            <w:tcW w:type="dxa" w:w="1152"/>
            <w:vAlign w:val="center"/>
          </w:tcPr>
          <w:p>
            <w:pPr>
              <w:spacing w:before="0" w:after="0" w:line="240" w:lineRule="auto"/>
              <w:jc w:val="center"/>
            </w:pPr>
            <w:r>
              <w:rPr>
                <w:sz w:val="18"/>
              </w:rPr>
              <w:t>733</w:t>
            </w:r>
          </w:p>
        </w:tc>
        <w:tc>
          <w:tcPr>
            <w:tcW w:type="dxa" w:w="2952"/>
            <w:vAlign w:val="center"/>
          </w:tcPr>
          <w:p>
            <w:pPr>
              <w:spacing w:before="0" w:after="0" w:line="240" w:lineRule="auto"/>
              <w:jc w:val="center"/>
            </w:pPr>
            <w:r>
              <w:rPr>
                <w:sz w:val="18"/>
              </w:rPr>
              <w:t>0.91 (0.66-1.25)</w:t>
            </w:r>
          </w:p>
        </w:tc>
        <w:tc>
          <w:tcPr>
            <w:tcW w:type="dxa" w:w="1224"/>
            <w:vAlign w:val="center"/>
          </w:tcPr>
          <w:p>
            <w:pPr>
              <w:spacing w:before="0" w:after="0" w:line="240" w:lineRule="auto"/>
              <w:jc w:val="center"/>
            </w:pPr>
            <w:r>
              <w:rPr>
                <w:sz w:val="18"/>
              </w:rPr>
              <w:t>0.564</w:t>
            </w:r>
          </w:p>
        </w:tc>
      </w:tr>
      <w:tr>
        <w:trPr>
          <w:cantSplit/>
          <w:cantSplit/>
        </w:trPr>
        <w:tc>
          <w:tcPr>
            <w:tcW w:type="dxa" w:w="3312"/>
            <w:vAlign w:val="center"/>
          </w:tcPr>
          <w:p>
            <w:pPr>
              <w:spacing w:before="0" w:after="0" w:line="240" w:lineRule="auto"/>
              <w:jc w:val="left"/>
            </w:pPr>
            <w:r>
              <w:rPr>
                <w:sz w:val="18"/>
              </w:rPr>
              <w:t>Primary adjusted Cox</w:t>
            </w:r>
          </w:p>
        </w:tc>
        <w:tc>
          <w:tcPr>
            <w:tcW w:type="dxa" w:w="3600"/>
            <w:vAlign w:val="center"/>
          </w:tcPr>
          <w:p>
            <w:pPr>
              <w:spacing w:before="0" w:after="0" w:line="240" w:lineRule="auto"/>
              <w:jc w:val="center"/>
            </w:pPr>
            <w:r>
              <w:rPr>
                <w:sz w:val="18"/>
              </w:rPr>
              <w:t>Persistent-pattern AKI</w:t>
            </w:r>
          </w:p>
        </w:tc>
        <w:tc>
          <w:tcPr>
            <w:tcW w:type="dxa" w:w="1152"/>
            <w:vAlign w:val="center"/>
          </w:tcPr>
          <w:p>
            <w:pPr>
              <w:spacing w:before="0" w:after="0" w:line="240" w:lineRule="auto"/>
              <w:jc w:val="center"/>
            </w:pPr>
            <w:r>
              <w:rPr>
                <w:sz w:val="18"/>
              </w:rPr>
              <w:t>3458</w:t>
            </w:r>
          </w:p>
        </w:tc>
        <w:tc>
          <w:tcPr>
            <w:tcW w:type="dxa" w:w="1152"/>
            <w:vAlign w:val="center"/>
          </w:tcPr>
          <w:p>
            <w:pPr>
              <w:spacing w:before="0" w:after="0" w:line="240" w:lineRule="auto"/>
              <w:jc w:val="center"/>
            </w:pPr>
            <w:r>
              <w:rPr>
                <w:sz w:val="18"/>
              </w:rPr>
              <w:t>733</w:t>
            </w:r>
          </w:p>
        </w:tc>
        <w:tc>
          <w:tcPr>
            <w:tcW w:type="dxa" w:w="2952"/>
            <w:vAlign w:val="center"/>
          </w:tcPr>
          <w:p>
            <w:pPr>
              <w:spacing w:before="0" w:after="0" w:line="240" w:lineRule="auto"/>
              <w:jc w:val="center"/>
            </w:pPr>
            <w:r>
              <w:rPr>
                <w:sz w:val="18"/>
              </w:rPr>
              <w:t>1.54 (1.17-2.04)</w:t>
            </w:r>
          </w:p>
        </w:tc>
        <w:tc>
          <w:tcPr>
            <w:tcW w:type="dxa" w:w="1224"/>
            <w:vAlign w:val="center"/>
          </w:tcPr>
          <w:p>
            <w:pPr>
              <w:spacing w:before="0" w:after="0" w:line="240" w:lineRule="auto"/>
              <w:jc w:val="center"/>
            </w:pPr>
            <w:r>
              <w:rPr>
                <w:sz w:val="18"/>
              </w:rPr>
              <w:t>0.002</w:t>
            </w:r>
          </w:p>
        </w:tc>
      </w:tr>
      <w:tr>
        <w:trPr>
          <w:cantSplit/>
          <w:cantSplit/>
        </w:trPr>
        <w:tc>
          <w:tcPr>
            <w:tcW w:type="dxa" w:w="3312"/>
            <w:vAlign w:val="center"/>
          </w:tcPr>
          <w:p>
            <w:pPr>
              <w:spacing w:before="0" w:after="0" w:line="240" w:lineRule="auto"/>
              <w:jc w:val="left"/>
            </w:pPr>
            <w:r>
              <w:rPr>
                <w:sz w:val="18"/>
              </w:rPr>
              <w:t>Time-dependent Charlson</w:t>
            </w:r>
          </w:p>
        </w:tc>
        <w:tc>
          <w:tcPr>
            <w:tcW w:type="dxa" w:w="3600"/>
            <w:vAlign w:val="center"/>
          </w:tcPr>
          <w:p>
            <w:pPr>
              <w:spacing w:before="0" w:after="0" w:line="240" w:lineRule="auto"/>
              <w:jc w:val="center"/>
            </w:pPr>
            <w:r>
              <w:rPr>
                <w:sz w:val="18"/>
              </w:rPr>
              <w:t>Transient AKI</w:t>
            </w:r>
          </w:p>
        </w:tc>
        <w:tc>
          <w:tcPr>
            <w:tcW w:type="dxa" w:w="1152"/>
            <w:vAlign w:val="center"/>
          </w:tcPr>
          <w:p>
            <w:pPr>
              <w:spacing w:before="0" w:after="0" w:line="240" w:lineRule="auto"/>
              <w:jc w:val="center"/>
            </w:pPr>
            <w:r>
              <w:rPr>
                <w:sz w:val="18"/>
              </w:rPr>
              <w:t>3458</w:t>
            </w:r>
          </w:p>
        </w:tc>
        <w:tc>
          <w:tcPr>
            <w:tcW w:type="dxa" w:w="1152"/>
            <w:vAlign w:val="center"/>
          </w:tcPr>
          <w:p>
            <w:pPr>
              <w:spacing w:before="0" w:after="0" w:line="240" w:lineRule="auto"/>
              <w:jc w:val="center"/>
            </w:pPr>
            <w:r>
              <w:rPr>
                <w:sz w:val="18"/>
              </w:rPr>
              <w:t>733</w:t>
            </w:r>
          </w:p>
        </w:tc>
        <w:tc>
          <w:tcPr>
            <w:tcW w:type="dxa" w:w="2952"/>
            <w:vAlign w:val="center"/>
          </w:tcPr>
          <w:p>
            <w:pPr>
              <w:spacing w:before="0" w:after="0" w:line="240" w:lineRule="auto"/>
              <w:jc w:val="center"/>
            </w:pPr>
            <w:r>
              <w:rPr>
                <w:sz w:val="18"/>
              </w:rPr>
              <w:t>0.91 (0.66-1.25)</w:t>
            </w:r>
          </w:p>
        </w:tc>
        <w:tc>
          <w:tcPr>
            <w:tcW w:type="dxa" w:w="1224"/>
            <w:vAlign w:val="center"/>
          </w:tcPr>
          <w:p>
            <w:pPr>
              <w:spacing w:before="0" w:after="0" w:line="240" w:lineRule="auto"/>
              <w:jc w:val="center"/>
            </w:pPr>
            <w:r>
              <w:rPr>
                <w:sz w:val="18"/>
              </w:rPr>
              <w:t>0.562</w:t>
            </w:r>
          </w:p>
        </w:tc>
      </w:tr>
      <w:tr>
        <w:trPr>
          <w:cantSplit/>
          <w:cantSplit/>
        </w:trPr>
        <w:tc>
          <w:tcPr>
            <w:tcW w:type="dxa" w:w="3312"/>
            <w:vAlign w:val="center"/>
          </w:tcPr>
          <w:p>
            <w:pPr>
              <w:spacing w:before="0" w:after="0" w:line="240" w:lineRule="auto"/>
              <w:jc w:val="left"/>
            </w:pPr>
            <w:r>
              <w:rPr>
                <w:sz w:val="18"/>
              </w:rPr>
              <w:t>Time-dependent Charlson</w:t>
            </w:r>
          </w:p>
        </w:tc>
        <w:tc>
          <w:tcPr>
            <w:tcW w:type="dxa" w:w="3600"/>
            <w:vAlign w:val="center"/>
          </w:tcPr>
          <w:p>
            <w:pPr>
              <w:spacing w:before="0" w:after="0" w:line="240" w:lineRule="auto"/>
              <w:jc w:val="center"/>
            </w:pPr>
            <w:r>
              <w:rPr>
                <w:sz w:val="18"/>
              </w:rPr>
              <w:t>Persistent-pattern AKI</w:t>
            </w:r>
          </w:p>
        </w:tc>
        <w:tc>
          <w:tcPr>
            <w:tcW w:type="dxa" w:w="1152"/>
            <w:vAlign w:val="center"/>
          </w:tcPr>
          <w:p>
            <w:pPr>
              <w:spacing w:before="0" w:after="0" w:line="240" w:lineRule="auto"/>
              <w:jc w:val="center"/>
            </w:pPr>
            <w:r>
              <w:rPr>
                <w:sz w:val="18"/>
              </w:rPr>
              <w:t>3458</w:t>
            </w:r>
          </w:p>
        </w:tc>
        <w:tc>
          <w:tcPr>
            <w:tcW w:type="dxa" w:w="1152"/>
            <w:vAlign w:val="center"/>
          </w:tcPr>
          <w:p>
            <w:pPr>
              <w:spacing w:before="0" w:after="0" w:line="240" w:lineRule="auto"/>
              <w:jc w:val="center"/>
            </w:pPr>
            <w:r>
              <w:rPr>
                <w:sz w:val="18"/>
              </w:rPr>
              <w:t>733</w:t>
            </w:r>
          </w:p>
        </w:tc>
        <w:tc>
          <w:tcPr>
            <w:tcW w:type="dxa" w:w="2952"/>
            <w:vAlign w:val="center"/>
          </w:tcPr>
          <w:p>
            <w:pPr>
              <w:spacing w:before="0" w:after="0" w:line="240" w:lineRule="auto"/>
              <w:jc w:val="center"/>
            </w:pPr>
            <w:r>
              <w:rPr>
                <w:sz w:val="18"/>
              </w:rPr>
              <w:t>1.54 (1.17-2.04)</w:t>
            </w:r>
          </w:p>
        </w:tc>
        <w:tc>
          <w:tcPr>
            <w:tcW w:type="dxa" w:w="1224"/>
            <w:vAlign w:val="center"/>
          </w:tcPr>
          <w:p>
            <w:pPr>
              <w:spacing w:before="0" w:after="0" w:line="240" w:lineRule="auto"/>
              <w:jc w:val="center"/>
            </w:pPr>
            <w:r>
              <w:rPr>
                <w:sz w:val="18"/>
              </w:rPr>
              <w:t>0.002</w:t>
            </w:r>
          </w:p>
        </w:tc>
      </w:tr>
    </w:tbl>
    <w:p>
      <w:r>
        <w:rPr>
          <w:rFonts w:ascii="Times New Roman" w:hAnsi="Times New Roman"/>
          <w:sz w:val="18"/>
        </w:rPr>
        <w:t>The sensitivity model retains the Charlson main effect and adds Charlson multiplied by log follow-up time in days, using a minimum of one day. All other covariates and complete-case eligibility match the primary model. Similar exposure estimates demonstrate stability only to this specified sensitivity analysis, not proof that all model assumptions hold.</w:t>
      </w:r>
    </w:p>
    <w:p>
      <w:r>
        <w:br w:type="page"/>
      </w:r>
    </w:p>
    <w:p>
      <w:pPr>
        <w:pStyle w:val="Heading1"/>
      </w:pPr>
      <w:r>
        <w:t>Supplementary Table S13</w:t>
      </w:r>
    </w:p>
    <w:p>
      <w:r>
        <w:t>Post hoc AMI-specific residual-confounding sensitivity analyses</w:t>
      </w:r>
    </w:p>
    <w:p>
      <w:pPr>
        <w:pStyle w:val="Heading2"/>
      </w:pPr>
      <w:r>
        <w:t>Pre-landmark LVEF availability and distribution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5" w:type="dxa"/>
          <w:bottom w:w="65" w:type="dxa"/>
          <w:left w:w="65" w:type="dxa"/>
          <w:right w:w="65" w:type="dxa"/>
        </w:tblCellMar>
      </w:tblPr>
      <w:tblGrid>
        <w:gridCol w:w="5616"/>
        <w:gridCol w:w="2952"/>
        <w:gridCol w:w="2952"/>
        <w:gridCol w:w="3384"/>
      </w:tblGrid>
      <w:tr>
        <w:trPr>
          <w:tblHeader/>
          <w:cantSplit/>
          <w:cantSplit/>
          <w:tblHeader/>
        </w:trPr>
        <w:tc>
          <w:tcPr>
            <w:tcW w:type="dxa" w:w="5616"/>
            <w:vAlign w:val="center"/>
            <w:shd w:fill="EAEAEA"/>
          </w:tcPr>
          <w:p>
            <w:pPr>
              <w:spacing w:before="0" w:after="0" w:line="240" w:lineRule="auto"/>
              <w:jc w:val="left"/>
            </w:pPr>
            <w:r>
              <w:rPr>
                <w:sz w:val="18"/>
                <w:b/>
              </w:rPr>
              <w:t>Measure</w:t>
            </w:r>
          </w:p>
        </w:tc>
        <w:tc>
          <w:tcPr>
            <w:tcW w:type="dxa" w:w="2952"/>
            <w:vAlign w:val="center"/>
            <w:shd w:fill="EAEAEA"/>
          </w:tcPr>
          <w:p>
            <w:pPr>
              <w:spacing w:before="0" w:after="0" w:line="240" w:lineRule="auto"/>
              <w:jc w:val="center"/>
            </w:pPr>
            <w:r>
              <w:rPr>
                <w:sz w:val="18"/>
                <w:b/>
              </w:rPr>
              <w:t>No early AKI (n = 422)</w:t>
            </w:r>
          </w:p>
        </w:tc>
        <w:tc>
          <w:tcPr>
            <w:tcW w:type="dxa" w:w="2952"/>
            <w:vAlign w:val="center"/>
            <w:shd w:fill="EAEAEA"/>
          </w:tcPr>
          <w:p>
            <w:pPr>
              <w:spacing w:before="0" w:after="0" w:line="240" w:lineRule="auto"/>
              <w:jc w:val="center"/>
            </w:pPr>
            <w:r>
              <w:rPr>
                <w:sz w:val="18"/>
                <w:b/>
              </w:rPr>
              <w:t>Transient AKI (n = 892)</w:t>
            </w:r>
          </w:p>
        </w:tc>
        <w:tc>
          <w:tcPr>
            <w:tcW w:type="dxa" w:w="3384"/>
            <w:vAlign w:val="center"/>
            <w:shd w:fill="EAEAEA"/>
          </w:tcPr>
          <w:p>
            <w:pPr>
              <w:spacing w:before="0" w:after="0" w:line="240" w:lineRule="auto"/>
              <w:jc w:val="center"/>
            </w:pPr>
            <w:r>
              <w:rPr>
                <w:sz w:val="18"/>
                <w:b/>
              </w:rPr>
              <w:t>Persistent-pattern AKI (n = 2150)</w:t>
            </w:r>
          </w:p>
        </w:tc>
      </w:tr>
      <w:tr>
        <w:trPr>
          <w:cantSplit/>
          <w:cantSplit/>
        </w:trPr>
        <w:tc>
          <w:tcPr>
            <w:tcW w:type="dxa" w:w="5616"/>
            <w:vAlign w:val="center"/>
          </w:tcPr>
          <w:p>
            <w:pPr>
              <w:spacing w:before="0" w:after="0" w:line="240" w:lineRule="auto"/>
              <w:jc w:val="left"/>
            </w:pPr>
            <w:r>
              <w:rPr>
                <w:sz w:val="18"/>
              </w:rPr>
              <w:t>Categorical LVEF available</w:t>
            </w:r>
          </w:p>
        </w:tc>
        <w:tc>
          <w:tcPr>
            <w:tcW w:type="dxa" w:w="2952"/>
            <w:vAlign w:val="center"/>
          </w:tcPr>
          <w:p>
            <w:pPr>
              <w:spacing w:before="0" w:after="0" w:line="240" w:lineRule="auto"/>
              <w:jc w:val="center"/>
            </w:pPr>
            <w:r>
              <w:rPr>
                <w:sz w:val="18"/>
              </w:rPr>
              <w:t>289/422 (68.5)</w:t>
            </w:r>
          </w:p>
        </w:tc>
        <w:tc>
          <w:tcPr>
            <w:tcW w:type="dxa" w:w="2952"/>
            <w:vAlign w:val="center"/>
          </w:tcPr>
          <w:p>
            <w:pPr>
              <w:spacing w:before="0" w:after="0" w:line="240" w:lineRule="auto"/>
              <w:jc w:val="center"/>
            </w:pPr>
            <w:r>
              <w:rPr>
                <w:sz w:val="18"/>
              </w:rPr>
              <w:t>630/892 (70.6)</w:t>
            </w:r>
          </w:p>
        </w:tc>
        <w:tc>
          <w:tcPr>
            <w:tcW w:type="dxa" w:w="3384"/>
            <w:vAlign w:val="center"/>
          </w:tcPr>
          <w:p>
            <w:pPr>
              <w:spacing w:before="0" w:after="0" w:line="240" w:lineRule="auto"/>
              <w:jc w:val="center"/>
            </w:pPr>
            <w:r>
              <w:rPr>
                <w:sz w:val="18"/>
              </w:rPr>
              <w:t>1581/2150 (73.5)</w:t>
            </w:r>
          </w:p>
        </w:tc>
      </w:tr>
      <w:tr>
        <w:trPr>
          <w:cantSplit/>
          <w:cantSplit/>
        </w:trPr>
        <w:tc>
          <w:tcPr>
            <w:tcW w:type="dxa" w:w="5616"/>
            <w:vAlign w:val="center"/>
          </w:tcPr>
          <w:p>
            <w:pPr>
              <w:spacing w:before="0" w:after="0" w:line="240" w:lineRule="auto"/>
              <w:jc w:val="left"/>
            </w:pPr>
            <w:r>
              <w:rPr>
                <w:sz w:val="18"/>
              </w:rPr>
              <w:t>LVEF &gt;=50%</w:t>
            </w:r>
          </w:p>
        </w:tc>
        <w:tc>
          <w:tcPr>
            <w:tcW w:type="dxa" w:w="2952"/>
            <w:vAlign w:val="center"/>
          </w:tcPr>
          <w:p>
            <w:pPr>
              <w:spacing w:before="0" w:after="0" w:line="240" w:lineRule="auto"/>
              <w:jc w:val="center"/>
            </w:pPr>
            <w:r>
              <w:rPr>
                <w:sz w:val="18"/>
              </w:rPr>
              <w:t>145/289 (50.2)</w:t>
            </w:r>
          </w:p>
        </w:tc>
        <w:tc>
          <w:tcPr>
            <w:tcW w:type="dxa" w:w="2952"/>
            <w:vAlign w:val="center"/>
          </w:tcPr>
          <w:p>
            <w:pPr>
              <w:spacing w:before="0" w:after="0" w:line="240" w:lineRule="auto"/>
              <w:jc w:val="center"/>
            </w:pPr>
            <w:r>
              <w:rPr>
                <w:sz w:val="18"/>
              </w:rPr>
              <w:t>286/630 (45.4)</w:t>
            </w:r>
          </w:p>
        </w:tc>
        <w:tc>
          <w:tcPr>
            <w:tcW w:type="dxa" w:w="3384"/>
            <w:vAlign w:val="center"/>
          </w:tcPr>
          <w:p>
            <w:pPr>
              <w:spacing w:before="0" w:after="0" w:line="240" w:lineRule="auto"/>
              <w:jc w:val="center"/>
            </w:pPr>
            <w:r>
              <w:rPr>
                <w:sz w:val="18"/>
              </w:rPr>
              <w:t>658/1581 (41.6)</w:t>
            </w:r>
          </w:p>
        </w:tc>
      </w:tr>
      <w:tr>
        <w:trPr>
          <w:cantSplit/>
          <w:cantSplit/>
        </w:trPr>
        <w:tc>
          <w:tcPr>
            <w:tcW w:type="dxa" w:w="5616"/>
            <w:vAlign w:val="center"/>
          </w:tcPr>
          <w:p>
            <w:pPr>
              <w:spacing w:before="0" w:after="0" w:line="240" w:lineRule="auto"/>
              <w:jc w:val="left"/>
            </w:pPr>
            <w:r>
              <w:rPr>
                <w:sz w:val="18"/>
              </w:rPr>
              <w:t>LVEF 41-49%</w:t>
            </w:r>
          </w:p>
        </w:tc>
        <w:tc>
          <w:tcPr>
            <w:tcW w:type="dxa" w:w="2952"/>
            <w:vAlign w:val="center"/>
          </w:tcPr>
          <w:p>
            <w:pPr>
              <w:spacing w:before="0" w:after="0" w:line="240" w:lineRule="auto"/>
              <w:jc w:val="center"/>
            </w:pPr>
            <w:r>
              <w:rPr>
                <w:sz w:val="18"/>
              </w:rPr>
              <w:t>27/289 (9.3)</w:t>
            </w:r>
          </w:p>
        </w:tc>
        <w:tc>
          <w:tcPr>
            <w:tcW w:type="dxa" w:w="2952"/>
            <w:vAlign w:val="center"/>
          </w:tcPr>
          <w:p>
            <w:pPr>
              <w:spacing w:before="0" w:after="0" w:line="240" w:lineRule="auto"/>
              <w:jc w:val="center"/>
            </w:pPr>
            <w:r>
              <w:rPr>
                <w:sz w:val="18"/>
              </w:rPr>
              <w:t>51/630 (8.1)</w:t>
            </w:r>
          </w:p>
        </w:tc>
        <w:tc>
          <w:tcPr>
            <w:tcW w:type="dxa" w:w="3384"/>
            <w:vAlign w:val="center"/>
          </w:tcPr>
          <w:p>
            <w:pPr>
              <w:spacing w:before="0" w:after="0" w:line="240" w:lineRule="auto"/>
              <w:jc w:val="center"/>
            </w:pPr>
            <w:r>
              <w:rPr>
                <w:sz w:val="18"/>
              </w:rPr>
              <w:t>123/1581 (7.8)</w:t>
            </w:r>
          </w:p>
        </w:tc>
      </w:tr>
      <w:tr>
        <w:trPr>
          <w:cantSplit/>
          <w:cantSplit/>
        </w:trPr>
        <w:tc>
          <w:tcPr>
            <w:tcW w:type="dxa" w:w="5616"/>
            <w:vAlign w:val="center"/>
          </w:tcPr>
          <w:p>
            <w:pPr>
              <w:spacing w:before="0" w:after="0" w:line="240" w:lineRule="auto"/>
              <w:jc w:val="left"/>
            </w:pPr>
            <w:r>
              <w:rPr>
                <w:sz w:val="18"/>
              </w:rPr>
              <w:t>LVEF &lt;=40%</w:t>
            </w:r>
          </w:p>
        </w:tc>
        <w:tc>
          <w:tcPr>
            <w:tcW w:type="dxa" w:w="2952"/>
            <w:vAlign w:val="center"/>
          </w:tcPr>
          <w:p>
            <w:pPr>
              <w:spacing w:before="0" w:after="0" w:line="240" w:lineRule="auto"/>
              <w:jc w:val="center"/>
            </w:pPr>
            <w:r>
              <w:rPr>
                <w:sz w:val="18"/>
              </w:rPr>
              <w:t>117/289 (40.5)</w:t>
            </w:r>
          </w:p>
        </w:tc>
        <w:tc>
          <w:tcPr>
            <w:tcW w:type="dxa" w:w="2952"/>
            <w:vAlign w:val="center"/>
          </w:tcPr>
          <w:p>
            <w:pPr>
              <w:spacing w:before="0" w:after="0" w:line="240" w:lineRule="auto"/>
              <w:jc w:val="center"/>
            </w:pPr>
            <w:r>
              <w:rPr>
                <w:sz w:val="18"/>
              </w:rPr>
              <w:t>293/630 (46.5)</w:t>
            </w:r>
          </w:p>
        </w:tc>
        <w:tc>
          <w:tcPr>
            <w:tcW w:type="dxa" w:w="3384"/>
            <w:vAlign w:val="center"/>
          </w:tcPr>
          <w:p>
            <w:pPr>
              <w:spacing w:before="0" w:after="0" w:line="240" w:lineRule="auto"/>
              <w:jc w:val="center"/>
            </w:pPr>
            <w:r>
              <w:rPr>
                <w:sz w:val="18"/>
              </w:rPr>
              <w:t>800/1581 (50.6)</w:t>
            </w:r>
          </w:p>
        </w:tc>
      </w:tr>
    </w:tbl>
    <w:p>
      <w:r>
        <w:rPr>
          <w:rFonts w:ascii="Times New Roman" w:hAnsi="Times New Roman"/>
          <w:sz w:val="18"/>
        </w:rPr>
        <w:t>Values are n/N (%). LVEF categories use the number with an available categorical LVEF as the denominator. The primary LVEF definition selected the earliest valid transthoracic examination after hospital admission and before the 72-hour landmark, excluded stress examinations, prioritized numeric 3D and biplane values over the general LVEF field, and left threshold-crossing reported intervals unclassified. Overall, categorical LVEF was available for 2500/3464 patients (72.2%).</w:t>
      </w:r>
    </w:p>
    <w:p>
      <w:pPr>
        <w:pStyle w:val="Heading2"/>
      </w:pPr>
      <w:r>
        <w:t>AMI-specific severity, intervention and medication records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5" w:type="dxa"/>
          <w:bottom w:w="65" w:type="dxa"/>
          <w:left w:w="65" w:type="dxa"/>
          <w:right w:w="65" w:type="dxa"/>
        </w:tblCellMar>
      </w:tblPr>
      <w:tblGrid>
        <w:gridCol w:w="6768"/>
        <w:gridCol w:w="2664"/>
        <w:gridCol w:w="2664"/>
        <w:gridCol w:w="2880"/>
      </w:tblGrid>
      <w:tr>
        <w:trPr>
          <w:tblHeader/>
          <w:cantSplit/>
          <w:cantSplit/>
          <w:tblHeader/>
        </w:trPr>
        <w:tc>
          <w:tcPr>
            <w:tcW w:type="dxa" w:w="6768"/>
            <w:vAlign w:val="center"/>
            <w:shd w:fill="EAEAEA"/>
          </w:tcPr>
          <w:p>
            <w:pPr>
              <w:spacing w:before="0" w:after="0" w:line="240" w:lineRule="auto"/>
              <w:jc w:val="left"/>
            </w:pPr>
            <w:r>
              <w:rPr>
                <w:sz w:val="17"/>
                <w:b/>
              </w:rPr>
              <w:t>Variable</w:t>
            </w:r>
          </w:p>
        </w:tc>
        <w:tc>
          <w:tcPr>
            <w:tcW w:type="dxa" w:w="2664"/>
            <w:vAlign w:val="center"/>
            <w:shd w:fill="EAEAEA"/>
          </w:tcPr>
          <w:p>
            <w:pPr>
              <w:spacing w:before="0" w:after="0" w:line="240" w:lineRule="auto"/>
              <w:jc w:val="center"/>
            </w:pPr>
            <w:r>
              <w:rPr>
                <w:sz w:val="17"/>
                <w:b/>
              </w:rPr>
              <w:t>No early AKI (n = 422)</w:t>
            </w:r>
          </w:p>
        </w:tc>
        <w:tc>
          <w:tcPr>
            <w:tcW w:type="dxa" w:w="2664"/>
            <w:vAlign w:val="center"/>
            <w:shd w:fill="EAEAEA"/>
          </w:tcPr>
          <w:p>
            <w:pPr>
              <w:spacing w:before="0" w:after="0" w:line="240" w:lineRule="auto"/>
              <w:jc w:val="center"/>
            </w:pPr>
            <w:r>
              <w:rPr>
                <w:sz w:val="17"/>
                <w:b/>
              </w:rPr>
              <w:t>Transient AKI (n = 892)</w:t>
            </w:r>
          </w:p>
        </w:tc>
        <w:tc>
          <w:tcPr>
            <w:tcW w:type="dxa" w:w="2880"/>
            <w:vAlign w:val="center"/>
            <w:shd w:fill="EAEAEA"/>
          </w:tcPr>
          <w:p>
            <w:pPr>
              <w:spacing w:before="0" w:after="0" w:line="240" w:lineRule="auto"/>
              <w:jc w:val="center"/>
            </w:pPr>
            <w:r>
              <w:rPr>
                <w:sz w:val="17"/>
                <w:b/>
              </w:rPr>
              <w:t>Persistent-pattern AKI (n = 2150)</w:t>
            </w:r>
          </w:p>
        </w:tc>
      </w:tr>
      <w:tr>
        <w:trPr>
          <w:cantSplit/>
          <w:cantSplit/>
        </w:trPr>
        <w:tc>
          <w:tcPr>
            <w:tcW w:type="dxa" w:w="6768"/>
            <w:vAlign w:val="center"/>
          </w:tcPr>
          <w:p>
            <w:pPr>
              <w:spacing w:before="0" w:after="0" w:line="240" w:lineRule="auto"/>
              <w:jc w:val="left"/>
            </w:pPr>
            <w:r>
              <w:rPr>
                <w:sz w:val="17"/>
              </w:rPr>
              <w:t>Cardiogenic shock hospitalization diagnosis</w:t>
            </w:r>
          </w:p>
        </w:tc>
        <w:tc>
          <w:tcPr>
            <w:tcW w:type="dxa" w:w="2664"/>
            <w:vAlign w:val="center"/>
          </w:tcPr>
          <w:p>
            <w:pPr>
              <w:spacing w:before="0" w:after="0" w:line="240" w:lineRule="auto"/>
              <w:jc w:val="center"/>
            </w:pPr>
            <w:r>
              <w:rPr>
                <w:sz w:val="17"/>
              </w:rPr>
              <w:t>56/422 (13.3)</w:t>
            </w:r>
          </w:p>
        </w:tc>
        <w:tc>
          <w:tcPr>
            <w:tcW w:type="dxa" w:w="2664"/>
            <w:vAlign w:val="center"/>
          </w:tcPr>
          <w:p>
            <w:pPr>
              <w:spacing w:before="0" w:after="0" w:line="240" w:lineRule="auto"/>
              <w:jc w:val="center"/>
            </w:pPr>
            <w:r>
              <w:rPr>
                <w:sz w:val="17"/>
              </w:rPr>
              <w:t>133/892 (14.9)</w:t>
            </w:r>
          </w:p>
        </w:tc>
        <w:tc>
          <w:tcPr>
            <w:tcW w:type="dxa" w:w="2880"/>
            <w:vAlign w:val="center"/>
          </w:tcPr>
          <w:p>
            <w:pPr>
              <w:spacing w:before="0" w:after="0" w:line="240" w:lineRule="auto"/>
              <w:jc w:val="center"/>
            </w:pPr>
            <w:r>
              <w:rPr>
                <w:sz w:val="17"/>
              </w:rPr>
              <w:t>499/2150 (23.2)</w:t>
            </w:r>
          </w:p>
        </w:tc>
      </w:tr>
      <w:tr>
        <w:trPr>
          <w:cantSplit/>
          <w:cantSplit/>
        </w:trPr>
        <w:tc>
          <w:tcPr>
            <w:tcW w:type="dxa" w:w="6768"/>
            <w:vAlign w:val="center"/>
          </w:tcPr>
          <w:p>
            <w:pPr>
              <w:spacing w:before="0" w:after="0" w:line="240" w:lineRule="auto"/>
              <w:jc w:val="left"/>
            </w:pPr>
            <w:r>
              <w:rPr>
                <w:sz w:val="17"/>
              </w:rPr>
              <w:t>PCI possibly documented by landmark</w:t>
            </w:r>
          </w:p>
        </w:tc>
        <w:tc>
          <w:tcPr>
            <w:tcW w:type="dxa" w:w="2664"/>
            <w:vAlign w:val="center"/>
          </w:tcPr>
          <w:p>
            <w:pPr>
              <w:spacing w:before="0" w:after="0" w:line="240" w:lineRule="auto"/>
              <w:jc w:val="center"/>
            </w:pPr>
            <w:r>
              <w:rPr>
                <w:sz w:val="17"/>
              </w:rPr>
              <w:t>67/422 (15.9)</w:t>
            </w:r>
          </w:p>
        </w:tc>
        <w:tc>
          <w:tcPr>
            <w:tcW w:type="dxa" w:w="2664"/>
            <w:vAlign w:val="center"/>
          </w:tcPr>
          <w:p>
            <w:pPr>
              <w:spacing w:before="0" w:after="0" w:line="240" w:lineRule="auto"/>
              <w:jc w:val="center"/>
            </w:pPr>
            <w:r>
              <w:rPr>
                <w:sz w:val="17"/>
              </w:rPr>
              <w:t>136/892 (15.2)</w:t>
            </w:r>
          </w:p>
        </w:tc>
        <w:tc>
          <w:tcPr>
            <w:tcW w:type="dxa" w:w="2880"/>
            <w:vAlign w:val="center"/>
          </w:tcPr>
          <w:p>
            <w:pPr>
              <w:spacing w:before="0" w:after="0" w:line="240" w:lineRule="auto"/>
              <w:jc w:val="center"/>
            </w:pPr>
            <w:r>
              <w:rPr>
                <w:sz w:val="17"/>
              </w:rPr>
              <w:t>316/2150 (14.7)</w:t>
            </w:r>
          </w:p>
        </w:tc>
      </w:tr>
      <w:tr>
        <w:trPr>
          <w:cantSplit/>
          <w:cantSplit/>
        </w:trPr>
        <w:tc>
          <w:tcPr>
            <w:tcW w:type="dxa" w:w="6768"/>
            <w:vAlign w:val="center"/>
          </w:tcPr>
          <w:p>
            <w:pPr>
              <w:spacing w:before="0" w:after="0" w:line="240" w:lineRule="auto"/>
              <w:jc w:val="left"/>
            </w:pPr>
            <w:r>
              <w:rPr>
                <w:sz w:val="17"/>
              </w:rPr>
              <w:t>CABG possibly documented by landmark</w:t>
            </w:r>
          </w:p>
        </w:tc>
        <w:tc>
          <w:tcPr>
            <w:tcW w:type="dxa" w:w="2664"/>
            <w:vAlign w:val="center"/>
          </w:tcPr>
          <w:p>
            <w:pPr>
              <w:spacing w:before="0" w:after="0" w:line="240" w:lineRule="auto"/>
              <w:jc w:val="center"/>
            </w:pPr>
            <w:r>
              <w:rPr>
                <w:sz w:val="17"/>
              </w:rPr>
              <w:t>71/422 (16.8)</w:t>
            </w:r>
          </w:p>
        </w:tc>
        <w:tc>
          <w:tcPr>
            <w:tcW w:type="dxa" w:w="2664"/>
            <w:vAlign w:val="center"/>
          </w:tcPr>
          <w:p>
            <w:pPr>
              <w:spacing w:before="0" w:after="0" w:line="240" w:lineRule="auto"/>
              <w:jc w:val="center"/>
            </w:pPr>
            <w:r>
              <w:rPr>
                <w:sz w:val="17"/>
              </w:rPr>
              <w:t>209/892 (23.4)</w:t>
            </w:r>
          </w:p>
        </w:tc>
        <w:tc>
          <w:tcPr>
            <w:tcW w:type="dxa" w:w="2880"/>
            <w:vAlign w:val="center"/>
          </w:tcPr>
          <w:p>
            <w:pPr>
              <w:spacing w:before="0" w:after="0" w:line="240" w:lineRule="auto"/>
              <w:jc w:val="center"/>
            </w:pPr>
            <w:r>
              <w:rPr>
                <w:sz w:val="17"/>
              </w:rPr>
              <w:t>515/2150 (23.9)</w:t>
            </w:r>
          </w:p>
        </w:tc>
      </w:tr>
      <w:tr>
        <w:trPr>
          <w:cantSplit/>
          <w:cantSplit/>
        </w:trPr>
        <w:tc>
          <w:tcPr>
            <w:tcW w:type="dxa" w:w="6768"/>
            <w:vAlign w:val="center"/>
          </w:tcPr>
          <w:p>
            <w:pPr>
              <w:spacing w:before="0" w:after="0" w:line="240" w:lineRule="auto"/>
              <w:jc w:val="left"/>
            </w:pPr>
            <w:r>
              <w:rPr>
                <w:sz w:val="17"/>
              </w:rPr>
              <w:t>Mechanical circulatory support possibly documented by landmark</w:t>
            </w:r>
          </w:p>
        </w:tc>
        <w:tc>
          <w:tcPr>
            <w:tcW w:type="dxa" w:w="2664"/>
            <w:vAlign w:val="center"/>
          </w:tcPr>
          <w:p>
            <w:pPr>
              <w:spacing w:before="0" w:after="0" w:line="240" w:lineRule="auto"/>
              <w:jc w:val="center"/>
            </w:pPr>
            <w:r>
              <w:rPr>
                <w:sz w:val="17"/>
              </w:rPr>
              <w:t>37/422 (8.8)</w:t>
            </w:r>
          </w:p>
        </w:tc>
        <w:tc>
          <w:tcPr>
            <w:tcW w:type="dxa" w:w="2664"/>
            <w:vAlign w:val="center"/>
          </w:tcPr>
          <w:p>
            <w:pPr>
              <w:spacing w:before="0" w:after="0" w:line="240" w:lineRule="auto"/>
              <w:jc w:val="center"/>
            </w:pPr>
            <w:r>
              <w:rPr>
                <w:sz w:val="17"/>
              </w:rPr>
              <w:t>95/892 (10.7)</w:t>
            </w:r>
          </w:p>
        </w:tc>
        <w:tc>
          <w:tcPr>
            <w:tcW w:type="dxa" w:w="2880"/>
            <w:vAlign w:val="center"/>
          </w:tcPr>
          <w:p>
            <w:pPr>
              <w:spacing w:before="0" w:after="0" w:line="240" w:lineRule="auto"/>
              <w:jc w:val="center"/>
            </w:pPr>
            <w:r>
              <w:rPr>
                <w:sz w:val="17"/>
              </w:rPr>
              <w:t>367/2150 (17.1)</w:t>
            </w:r>
          </w:p>
        </w:tc>
      </w:tr>
      <w:tr>
        <w:trPr>
          <w:cantSplit/>
          <w:cantSplit/>
        </w:trPr>
        <w:tc>
          <w:tcPr>
            <w:tcW w:type="dxa" w:w="6768"/>
            <w:vAlign w:val="center"/>
          </w:tcPr>
          <w:p>
            <w:pPr>
              <w:spacing w:before="0" w:after="0" w:line="240" w:lineRule="auto"/>
              <w:jc w:val="left"/>
            </w:pPr>
            <w:r>
              <w:rPr>
                <w:sz w:val="17"/>
              </w:rPr>
              <w:t>Any fibrinolysis candidate possibly documented by landmark</w:t>
            </w:r>
          </w:p>
        </w:tc>
        <w:tc>
          <w:tcPr>
            <w:tcW w:type="dxa" w:w="2664"/>
            <w:vAlign w:val="center"/>
          </w:tcPr>
          <w:p>
            <w:pPr>
              <w:spacing w:before="0" w:after="0" w:line="240" w:lineRule="auto"/>
              <w:jc w:val="center"/>
            </w:pPr>
            <w:r>
              <w:rPr>
                <w:sz w:val="17"/>
              </w:rPr>
              <w:t>10/422 (2.4)</w:t>
            </w:r>
          </w:p>
        </w:tc>
        <w:tc>
          <w:tcPr>
            <w:tcW w:type="dxa" w:w="2664"/>
            <w:vAlign w:val="center"/>
          </w:tcPr>
          <w:p>
            <w:pPr>
              <w:spacing w:before="0" w:after="0" w:line="240" w:lineRule="auto"/>
              <w:jc w:val="center"/>
            </w:pPr>
            <w:r>
              <w:rPr>
                <w:sz w:val="17"/>
              </w:rPr>
              <w:t>13/892 (1.5)</w:t>
            </w:r>
          </w:p>
        </w:tc>
        <w:tc>
          <w:tcPr>
            <w:tcW w:type="dxa" w:w="2880"/>
            <w:vAlign w:val="center"/>
          </w:tcPr>
          <w:p>
            <w:pPr>
              <w:spacing w:before="0" w:after="0" w:line="240" w:lineRule="auto"/>
              <w:jc w:val="center"/>
            </w:pPr>
            <w:r>
              <w:rPr>
                <w:sz w:val="17"/>
              </w:rPr>
              <w:t>35/2150 (1.6)</w:t>
            </w:r>
          </w:p>
        </w:tc>
      </w:tr>
      <w:tr>
        <w:trPr>
          <w:cantSplit/>
          <w:cantSplit/>
        </w:trPr>
        <w:tc>
          <w:tcPr>
            <w:tcW w:type="dxa" w:w="6768"/>
            <w:vAlign w:val="center"/>
          </w:tcPr>
          <w:p>
            <w:pPr>
              <w:spacing w:before="0" w:after="0" w:line="240" w:lineRule="auto"/>
              <w:jc w:val="left"/>
            </w:pPr>
            <w:r>
              <w:rPr>
                <w:sz w:val="17"/>
              </w:rPr>
              <w:t>Coronary-specific fibrinolysis possibly documented by landmark</w:t>
            </w:r>
          </w:p>
        </w:tc>
        <w:tc>
          <w:tcPr>
            <w:tcW w:type="dxa" w:w="2664"/>
            <w:vAlign w:val="center"/>
          </w:tcPr>
          <w:p>
            <w:pPr>
              <w:spacing w:before="0" w:after="0" w:line="240" w:lineRule="auto"/>
              <w:jc w:val="center"/>
            </w:pPr>
            <w:r>
              <w:rPr>
                <w:sz w:val="17"/>
              </w:rPr>
              <w:t>1/422 (0.2)</w:t>
            </w:r>
          </w:p>
        </w:tc>
        <w:tc>
          <w:tcPr>
            <w:tcW w:type="dxa" w:w="2664"/>
            <w:vAlign w:val="center"/>
          </w:tcPr>
          <w:p>
            <w:pPr>
              <w:spacing w:before="0" w:after="0" w:line="240" w:lineRule="auto"/>
              <w:jc w:val="center"/>
            </w:pPr>
            <w:r>
              <w:rPr>
                <w:sz w:val="17"/>
              </w:rPr>
              <w:t>2/892 (0.2)</w:t>
            </w:r>
          </w:p>
        </w:tc>
        <w:tc>
          <w:tcPr>
            <w:tcW w:type="dxa" w:w="2880"/>
            <w:vAlign w:val="center"/>
          </w:tcPr>
          <w:p>
            <w:pPr>
              <w:spacing w:before="0" w:after="0" w:line="240" w:lineRule="auto"/>
              <w:jc w:val="center"/>
            </w:pPr>
            <w:r>
              <w:rPr>
                <w:sz w:val="17"/>
              </w:rPr>
              <w:t>1/2150 (0.1)</w:t>
            </w:r>
          </w:p>
        </w:tc>
      </w:tr>
      <w:tr>
        <w:trPr>
          <w:cantSplit/>
          <w:cantSplit/>
        </w:trPr>
        <w:tc>
          <w:tcPr>
            <w:tcW w:type="dxa" w:w="6768"/>
            <w:vAlign w:val="center"/>
          </w:tcPr>
          <w:p>
            <w:pPr>
              <w:spacing w:before="0" w:after="0" w:line="240" w:lineRule="auto"/>
              <w:jc w:val="left"/>
            </w:pPr>
            <w:r>
              <w:rPr>
                <w:sz w:val="17"/>
              </w:rPr>
              <w:t>Parenteral contrast candidate in ICU inputevents</w:t>
            </w:r>
          </w:p>
        </w:tc>
        <w:tc>
          <w:tcPr>
            <w:tcW w:type="dxa" w:w="2664"/>
            <w:vAlign w:val="center"/>
          </w:tcPr>
          <w:p>
            <w:pPr>
              <w:spacing w:before="0" w:after="0" w:line="240" w:lineRule="auto"/>
              <w:jc w:val="center"/>
            </w:pPr>
            <w:r>
              <w:rPr>
                <w:sz w:val="17"/>
              </w:rPr>
              <w:t>0/422 (0.0)</w:t>
            </w:r>
          </w:p>
        </w:tc>
        <w:tc>
          <w:tcPr>
            <w:tcW w:type="dxa" w:w="2664"/>
            <w:vAlign w:val="center"/>
          </w:tcPr>
          <w:p>
            <w:pPr>
              <w:spacing w:before="0" w:after="0" w:line="240" w:lineRule="auto"/>
              <w:jc w:val="center"/>
            </w:pPr>
            <w:r>
              <w:rPr>
                <w:sz w:val="17"/>
              </w:rPr>
              <w:t>0/892 (0.0)</w:t>
            </w:r>
          </w:p>
        </w:tc>
        <w:tc>
          <w:tcPr>
            <w:tcW w:type="dxa" w:w="2880"/>
            <w:vAlign w:val="center"/>
          </w:tcPr>
          <w:p>
            <w:pPr>
              <w:spacing w:before="0" w:after="0" w:line="240" w:lineRule="auto"/>
              <w:jc w:val="center"/>
            </w:pPr>
            <w:r>
              <w:rPr>
                <w:sz w:val="17"/>
              </w:rPr>
              <w:t>0/2150 (0.0)</w:t>
            </w:r>
          </w:p>
        </w:tc>
      </w:tr>
      <w:tr>
        <w:trPr>
          <w:cantSplit/>
          <w:cantSplit/>
        </w:trPr>
        <w:tc>
          <w:tcPr>
            <w:tcW w:type="dxa" w:w="6768"/>
            <w:vAlign w:val="center"/>
          </w:tcPr>
          <w:p>
            <w:pPr>
              <w:spacing w:before="0" w:after="0" w:line="240" w:lineRule="auto"/>
              <w:jc w:val="left"/>
            </w:pPr>
            <w:r>
              <w:rPr>
                <w:sz w:val="17"/>
              </w:rPr>
              <w:t>Any antiplatelet documented</w:t>
            </w:r>
          </w:p>
        </w:tc>
        <w:tc>
          <w:tcPr>
            <w:tcW w:type="dxa" w:w="2664"/>
            <w:vAlign w:val="center"/>
          </w:tcPr>
          <w:p>
            <w:pPr>
              <w:spacing w:before="0" w:after="0" w:line="240" w:lineRule="auto"/>
              <w:jc w:val="center"/>
            </w:pPr>
            <w:r>
              <w:rPr>
                <w:sz w:val="17"/>
              </w:rPr>
              <w:t>341/422 (80.8)</w:t>
            </w:r>
          </w:p>
        </w:tc>
        <w:tc>
          <w:tcPr>
            <w:tcW w:type="dxa" w:w="2664"/>
            <w:vAlign w:val="center"/>
          </w:tcPr>
          <w:p>
            <w:pPr>
              <w:spacing w:before="0" w:after="0" w:line="240" w:lineRule="auto"/>
              <w:jc w:val="center"/>
            </w:pPr>
            <w:r>
              <w:rPr>
                <w:sz w:val="17"/>
              </w:rPr>
              <w:t>749/892 (84.0)</w:t>
            </w:r>
          </w:p>
        </w:tc>
        <w:tc>
          <w:tcPr>
            <w:tcW w:type="dxa" w:w="2880"/>
            <w:vAlign w:val="center"/>
          </w:tcPr>
          <w:p>
            <w:pPr>
              <w:spacing w:before="0" w:after="0" w:line="240" w:lineRule="auto"/>
              <w:jc w:val="center"/>
            </w:pPr>
            <w:r>
              <w:rPr>
                <w:sz w:val="17"/>
              </w:rPr>
              <w:t>1789/2150 (83.2)</w:t>
            </w:r>
          </w:p>
        </w:tc>
      </w:tr>
      <w:tr>
        <w:trPr>
          <w:cantSplit/>
          <w:cantSplit/>
        </w:trPr>
        <w:tc>
          <w:tcPr>
            <w:tcW w:type="dxa" w:w="6768"/>
            <w:vAlign w:val="center"/>
          </w:tcPr>
          <w:p>
            <w:pPr>
              <w:spacing w:before="0" w:after="0" w:line="240" w:lineRule="auto"/>
              <w:jc w:val="left"/>
            </w:pPr>
            <w:r>
              <w:rPr>
                <w:sz w:val="17"/>
              </w:rPr>
              <w:t>Statin documented</w:t>
            </w:r>
          </w:p>
        </w:tc>
        <w:tc>
          <w:tcPr>
            <w:tcW w:type="dxa" w:w="2664"/>
            <w:vAlign w:val="center"/>
          </w:tcPr>
          <w:p>
            <w:pPr>
              <w:spacing w:before="0" w:after="0" w:line="240" w:lineRule="auto"/>
              <w:jc w:val="center"/>
            </w:pPr>
            <w:r>
              <w:rPr>
                <w:sz w:val="17"/>
              </w:rPr>
              <w:t>328/422 (77.7)</w:t>
            </w:r>
          </w:p>
        </w:tc>
        <w:tc>
          <w:tcPr>
            <w:tcW w:type="dxa" w:w="2664"/>
            <w:vAlign w:val="center"/>
          </w:tcPr>
          <w:p>
            <w:pPr>
              <w:spacing w:before="0" w:after="0" w:line="240" w:lineRule="auto"/>
              <w:jc w:val="center"/>
            </w:pPr>
            <w:r>
              <w:rPr>
                <w:sz w:val="17"/>
              </w:rPr>
              <w:t>715/892 (80.2)</w:t>
            </w:r>
          </w:p>
        </w:tc>
        <w:tc>
          <w:tcPr>
            <w:tcW w:type="dxa" w:w="2880"/>
            <w:vAlign w:val="center"/>
          </w:tcPr>
          <w:p>
            <w:pPr>
              <w:spacing w:before="0" w:after="0" w:line="240" w:lineRule="auto"/>
              <w:jc w:val="center"/>
            </w:pPr>
            <w:r>
              <w:rPr>
                <w:sz w:val="17"/>
              </w:rPr>
              <w:t>1707/2150 (79.4)</w:t>
            </w:r>
          </w:p>
        </w:tc>
      </w:tr>
      <w:tr>
        <w:trPr>
          <w:cantSplit/>
          <w:cantSplit/>
        </w:trPr>
        <w:tc>
          <w:tcPr>
            <w:tcW w:type="dxa" w:w="6768"/>
            <w:vAlign w:val="center"/>
          </w:tcPr>
          <w:p>
            <w:pPr>
              <w:spacing w:before="0" w:after="0" w:line="240" w:lineRule="auto"/>
              <w:jc w:val="left"/>
            </w:pPr>
            <w:r>
              <w:rPr>
                <w:sz w:val="17"/>
              </w:rPr>
              <w:t>Beta-blocker documented</w:t>
            </w:r>
          </w:p>
        </w:tc>
        <w:tc>
          <w:tcPr>
            <w:tcW w:type="dxa" w:w="2664"/>
            <w:vAlign w:val="center"/>
          </w:tcPr>
          <w:p>
            <w:pPr>
              <w:spacing w:before="0" w:after="0" w:line="240" w:lineRule="auto"/>
              <w:jc w:val="center"/>
            </w:pPr>
            <w:r>
              <w:rPr>
                <w:sz w:val="17"/>
              </w:rPr>
              <w:t>291/422 (69.0)</w:t>
            </w:r>
          </w:p>
        </w:tc>
        <w:tc>
          <w:tcPr>
            <w:tcW w:type="dxa" w:w="2664"/>
            <w:vAlign w:val="center"/>
          </w:tcPr>
          <w:p>
            <w:pPr>
              <w:spacing w:before="0" w:after="0" w:line="240" w:lineRule="auto"/>
              <w:jc w:val="center"/>
            </w:pPr>
            <w:r>
              <w:rPr>
                <w:sz w:val="17"/>
              </w:rPr>
              <w:t>665/892 (74.5)</w:t>
            </w:r>
          </w:p>
        </w:tc>
        <w:tc>
          <w:tcPr>
            <w:tcW w:type="dxa" w:w="2880"/>
            <w:vAlign w:val="center"/>
          </w:tcPr>
          <w:p>
            <w:pPr>
              <w:spacing w:before="0" w:after="0" w:line="240" w:lineRule="auto"/>
              <w:jc w:val="center"/>
            </w:pPr>
            <w:r>
              <w:rPr>
                <w:sz w:val="17"/>
              </w:rPr>
              <w:t>1495/2150 (69.5)</w:t>
            </w:r>
          </w:p>
        </w:tc>
      </w:tr>
      <w:tr>
        <w:trPr>
          <w:cantSplit/>
          <w:cantSplit/>
        </w:trPr>
        <w:tc>
          <w:tcPr>
            <w:tcW w:type="dxa" w:w="6768"/>
            <w:vAlign w:val="center"/>
          </w:tcPr>
          <w:p>
            <w:pPr>
              <w:spacing w:before="0" w:after="0" w:line="240" w:lineRule="auto"/>
              <w:jc w:val="left"/>
            </w:pPr>
            <w:r>
              <w:rPr>
                <w:sz w:val="17"/>
              </w:rPr>
              <w:t>ACEI, ARB or ARNI documented</w:t>
            </w:r>
          </w:p>
        </w:tc>
        <w:tc>
          <w:tcPr>
            <w:tcW w:type="dxa" w:w="2664"/>
            <w:vAlign w:val="center"/>
          </w:tcPr>
          <w:p>
            <w:pPr>
              <w:spacing w:before="0" w:after="0" w:line="240" w:lineRule="auto"/>
              <w:jc w:val="center"/>
            </w:pPr>
            <w:r>
              <w:rPr>
                <w:sz w:val="17"/>
              </w:rPr>
              <w:t>125/422 (29.6)</w:t>
            </w:r>
          </w:p>
        </w:tc>
        <w:tc>
          <w:tcPr>
            <w:tcW w:type="dxa" w:w="2664"/>
            <w:vAlign w:val="center"/>
          </w:tcPr>
          <w:p>
            <w:pPr>
              <w:spacing w:before="0" w:after="0" w:line="240" w:lineRule="auto"/>
              <w:jc w:val="center"/>
            </w:pPr>
            <w:r>
              <w:rPr>
                <w:sz w:val="17"/>
              </w:rPr>
              <w:t>300/892 (33.6)</w:t>
            </w:r>
          </w:p>
        </w:tc>
        <w:tc>
          <w:tcPr>
            <w:tcW w:type="dxa" w:w="2880"/>
            <w:vAlign w:val="center"/>
          </w:tcPr>
          <w:p>
            <w:pPr>
              <w:spacing w:before="0" w:after="0" w:line="240" w:lineRule="auto"/>
              <w:jc w:val="center"/>
            </w:pPr>
            <w:r>
              <w:rPr>
                <w:sz w:val="17"/>
              </w:rPr>
              <w:t>520/2150 (24.2)</w:t>
            </w:r>
          </w:p>
        </w:tc>
      </w:tr>
      <w:tr>
        <w:trPr>
          <w:cantSplit/>
          <w:cantSplit/>
        </w:trPr>
        <w:tc>
          <w:tcPr>
            <w:tcW w:type="dxa" w:w="6768"/>
            <w:vAlign w:val="center"/>
          </w:tcPr>
          <w:p>
            <w:pPr>
              <w:spacing w:before="0" w:after="0" w:line="240" w:lineRule="auto"/>
              <w:jc w:val="left"/>
            </w:pPr>
            <w:r>
              <w:rPr>
                <w:sz w:val="17"/>
              </w:rPr>
              <w:t>Diuretic documented</w:t>
            </w:r>
          </w:p>
        </w:tc>
        <w:tc>
          <w:tcPr>
            <w:tcW w:type="dxa" w:w="2664"/>
            <w:vAlign w:val="center"/>
          </w:tcPr>
          <w:p>
            <w:pPr>
              <w:spacing w:before="0" w:after="0" w:line="240" w:lineRule="auto"/>
              <w:jc w:val="center"/>
            </w:pPr>
            <w:r>
              <w:rPr>
                <w:sz w:val="17"/>
              </w:rPr>
              <w:t>244/422 (57.8)</w:t>
            </w:r>
          </w:p>
        </w:tc>
        <w:tc>
          <w:tcPr>
            <w:tcW w:type="dxa" w:w="2664"/>
            <w:vAlign w:val="center"/>
          </w:tcPr>
          <w:p>
            <w:pPr>
              <w:spacing w:before="0" w:after="0" w:line="240" w:lineRule="auto"/>
              <w:jc w:val="center"/>
            </w:pPr>
            <w:r>
              <w:rPr>
                <w:sz w:val="17"/>
              </w:rPr>
              <w:t>608/892 (68.2)</w:t>
            </w:r>
          </w:p>
        </w:tc>
        <w:tc>
          <w:tcPr>
            <w:tcW w:type="dxa" w:w="2880"/>
            <w:vAlign w:val="center"/>
          </w:tcPr>
          <w:p>
            <w:pPr>
              <w:spacing w:before="0" w:after="0" w:line="240" w:lineRule="auto"/>
              <w:jc w:val="center"/>
            </w:pPr>
            <w:r>
              <w:rPr>
                <w:sz w:val="17"/>
              </w:rPr>
              <w:t>1526/2150 (71.0)</w:t>
            </w:r>
          </w:p>
        </w:tc>
      </w:tr>
      <w:tr>
        <w:trPr>
          <w:cantSplit/>
          <w:cantSplit/>
        </w:trPr>
        <w:tc>
          <w:tcPr>
            <w:tcW w:type="dxa" w:w="6768"/>
            <w:vAlign w:val="center"/>
          </w:tcPr>
          <w:p>
            <w:pPr>
              <w:spacing w:before="0" w:after="0" w:line="240" w:lineRule="auto"/>
              <w:jc w:val="left"/>
            </w:pPr>
            <w:r>
              <w:rPr>
                <w:sz w:val="17"/>
              </w:rPr>
              <w:t>Nitrate or vasodilator documented</w:t>
            </w:r>
          </w:p>
        </w:tc>
        <w:tc>
          <w:tcPr>
            <w:tcW w:type="dxa" w:w="2664"/>
            <w:vAlign w:val="center"/>
          </w:tcPr>
          <w:p>
            <w:pPr>
              <w:spacing w:before="0" w:after="0" w:line="240" w:lineRule="auto"/>
              <w:jc w:val="center"/>
            </w:pPr>
            <w:r>
              <w:rPr>
                <w:sz w:val="17"/>
              </w:rPr>
              <w:t>170/422 (40.3)</w:t>
            </w:r>
          </w:p>
        </w:tc>
        <w:tc>
          <w:tcPr>
            <w:tcW w:type="dxa" w:w="2664"/>
            <w:vAlign w:val="center"/>
          </w:tcPr>
          <w:p>
            <w:pPr>
              <w:spacing w:before="0" w:after="0" w:line="240" w:lineRule="auto"/>
              <w:jc w:val="center"/>
            </w:pPr>
            <w:r>
              <w:rPr>
                <w:sz w:val="17"/>
              </w:rPr>
              <w:t>417/892 (46.8)</w:t>
            </w:r>
          </w:p>
        </w:tc>
        <w:tc>
          <w:tcPr>
            <w:tcW w:type="dxa" w:w="2880"/>
            <w:vAlign w:val="center"/>
          </w:tcPr>
          <w:p>
            <w:pPr>
              <w:spacing w:before="0" w:after="0" w:line="240" w:lineRule="auto"/>
              <w:jc w:val="center"/>
            </w:pPr>
            <w:r>
              <w:rPr>
                <w:sz w:val="17"/>
              </w:rPr>
              <w:t>1026/2150 (47.7)</w:t>
            </w:r>
          </w:p>
        </w:tc>
      </w:tr>
      <w:tr>
        <w:trPr>
          <w:cantSplit/>
          <w:cantSplit/>
        </w:trPr>
        <w:tc>
          <w:tcPr>
            <w:tcW w:type="dxa" w:w="6768"/>
            <w:vAlign w:val="center"/>
          </w:tcPr>
          <w:p>
            <w:pPr>
              <w:spacing w:before="0" w:after="0" w:line="240" w:lineRule="auto"/>
              <w:jc w:val="left"/>
            </w:pPr>
            <w:r>
              <w:rPr>
                <w:sz w:val="17"/>
              </w:rPr>
              <w:t>Calcium-channel blocker documented</w:t>
            </w:r>
          </w:p>
        </w:tc>
        <w:tc>
          <w:tcPr>
            <w:tcW w:type="dxa" w:w="2664"/>
            <w:vAlign w:val="center"/>
          </w:tcPr>
          <w:p>
            <w:pPr>
              <w:spacing w:before="0" w:after="0" w:line="240" w:lineRule="auto"/>
              <w:jc w:val="center"/>
            </w:pPr>
            <w:r>
              <w:rPr>
                <w:sz w:val="17"/>
              </w:rPr>
              <w:t>87/422 (20.6)</w:t>
            </w:r>
          </w:p>
        </w:tc>
        <w:tc>
          <w:tcPr>
            <w:tcW w:type="dxa" w:w="2664"/>
            <w:vAlign w:val="center"/>
          </w:tcPr>
          <w:p>
            <w:pPr>
              <w:spacing w:before="0" w:after="0" w:line="240" w:lineRule="auto"/>
              <w:jc w:val="center"/>
            </w:pPr>
            <w:r>
              <w:rPr>
                <w:sz w:val="17"/>
              </w:rPr>
              <w:t>239/892 (26.8)</w:t>
            </w:r>
          </w:p>
        </w:tc>
        <w:tc>
          <w:tcPr>
            <w:tcW w:type="dxa" w:w="2880"/>
            <w:vAlign w:val="center"/>
          </w:tcPr>
          <w:p>
            <w:pPr>
              <w:spacing w:before="0" w:after="0" w:line="240" w:lineRule="auto"/>
              <w:jc w:val="center"/>
            </w:pPr>
            <w:r>
              <w:rPr>
                <w:sz w:val="17"/>
              </w:rPr>
              <w:t>511/2150 (23.8)</w:t>
            </w:r>
          </w:p>
        </w:tc>
      </w:tr>
      <w:tr>
        <w:trPr>
          <w:cantSplit/>
          <w:cantSplit/>
        </w:trPr>
        <w:tc>
          <w:tcPr>
            <w:tcW w:type="dxa" w:w="6768"/>
            <w:vAlign w:val="center"/>
          </w:tcPr>
          <w:p>
            <w:pPr>
              <w:spacing w:before="0" w:after="0" w:line="240" w:lineRule="auto"/>
              <w:jc w:val="left"/>
            </w:pPr>
            <w:r>
              <w:rPr>
                <w:sz w:val="17"/>
              </w:rPr>
              <w:t>Parenteral therapeutic anticoagulant documented</w:t>
            </w:r>
          </w:p>
        </w:tc>
        <w:tc>
          <w:tcPr>
            <w:tcW w:type="dxa" w:w="2664"/>
            <w:vAlign w:val="center"/>
          </w:tcPr>
          <w:p>
            <w:pPr>
              <w:spacing w:before="0" w:after="0" w:line="240" w:lineRule="auto"/>
              <w:jc w:val="center"/>
            </w:pPr>
            <w:r>
              <w:rPr>
                <w:sz w:val="17"/>
              </w:rPr>
              <w:t>228/422 (54.0)</w:t>
            </w:r>
          </w:p>
        </w:tc>
        <w:tc>
          <w:tcPr>
            <w:tcW w:type="dxa" w:w="2664"/>
            <w:vAlign w:val="center"/>
          </w:tcPr>
          <w:p>
            <w:pPr>
              <w:spacing w:before="0" w:after="0" w:line="240" w:lineRule="auto"/>
              <w:jc w:val="center"/>
            </w:pPr>
            <w:r>
              <w:rPr>
                <w:sz w:val="17"/>
              </w:rPr>
              <w:t>531/892 (59.5)</w:t>
            </w:r>
          </w:p>
        </w:tc>
        <w:tc>
          <w:tcPr>
            <w:tcW w:type="dxa" w:w="2880"/>
            <w:vAlign w:val="center"/>
          </w:tcPr>
          <w:p>
            <w:pPr>
              <w:spacing w:before="0" w:after="0" w:line="240" w:lineRule="auto"/>
              <w:jc w:val="center"/>
            </w:pPr>
            <w:r>
              <w:rPr>
                <w:sz w:val="17"/>
              </w:rPr>
              <w:t>1374/2150 (63.9)</w:t>
            </w:r>
          </w:p>
        </w:tc>
      </w:tr>
      <w:tr>
        <w:trPr>
          <w:cantSplit/>
          <w:cantSplit/>
        </w:trPr>
        <w:tc>
          <w:tcPr>
            <w:tcW w:type="dxa" w:w="6768"/>
            <w:vAlign w:val="center"/>
          </w:tcPr>
          <w:p>
            <w:pPr>
              <w:spacing w:before="0" w:after="0" w:line="240" w:lineRule="auto"/>
              <w:jc w:val="left"/>
            </w:pPr>
            <w:r>
              <w:rPr>
                <w:sz w:val="17"/>
              </w:rPr>
              <w:t>Oral anticoagulant documented</w:t>
            </w:r>
          </w:p>
        </w:tc>
        <w:tc>
          <w:tcPr>
            <w:tcW w:type="dxa" w:w="2664"/>
            <w:vAlign w:val="center"/>
          </w:tcPr>
          <w:p>
            <w:pPr>
              <w:spacing w:before="0" w:after="0" w:line="240" w:lineRule="auto"/>
              <w:jc w:val="center"/>
            </w:pPr>
            <w:r>
              <w:rPr>
                <w:sz w:val="17"/>
              </w:rPr>
              <w:t>56/422 (13.3)</w:t>
            </w:r>
          </w:p>
        </w:tc>
        <w:tc>
          <w:tcPr>
            <w:tcW w:type="dxa" w:w="2664"/>
            <w:vAlign w:val="center"/>
          </w:tcPr>
          <w:p>
            <w:pPr>
              <w:spacing w:before="0" w:after="0" w:line="240" w:lineRule="auto"/>
              <w:jc w:val="center"/>
            </w:pPr>
            <w:r>
              <w:rPr>
                <w:sz w:val="17"/>
              </w:rPr>
              <w:t>128/892 (14.3)</w:t>
            </w:r>
          </w:p>
        </w:tc>
        <w:tc>
          <w:tcPr>
            <w:tcW w:type="dxa" w:w="2880"/>
            <w:vAlign w:val="center"/>
          </w:tcPr>
          <w:p>
            <w:pPr>
              <w:spacing w:before="0" w:after="0" w:line="240" w:lineRule="auto"/>
              <w:jc w:val="center"/>
            </w:pPr>
            <w:r>
              <w:rPr>
                <w:sz w:val="17"/>
              </w:rPr>
              <w:t>249/2150 (11.6)</w:t>
            </w:r>
          </w:p>
        </w:tc>
      </w:tr>
    </w:tbl>
    <w:p>
      <w:r>
        <w:rPr>
          <w:rFonts w:ascii="Times New Roman" w:hAnsi="Times New Roman"/>
          <w:sz w:val="17"/>
        </w:rPr>
        <w:t>Values are n/N (%). Cardiogenic shock was identified from hospitalization diagnosis codes without an event timestamp. PCI and CABG were identified from procedure codes with calendar-date resolution; the possible-by-landmark definition includes procedures recorded on the landmark calendar date and is therefore temporally ambiguous. Mechanical circulatory support combined dated procedure codes with timestamped ICU events. Fibrinolysis is a candidate-record definition; coronary-specific records were rare (4/3464). No usable parenteral contrast candidate was found in ICU inputevents, which does not establish absence of coronary angiography or quantify contrast exposure. Medication variables indicate a prescription order or positive electronic medication-administration record before the landmark and do not establish complete dose, adherence, indication or longitudinal treatment.</w:t>
      </w:r>
    </w:p>
    <w:p>
      <w:pPr>
        <w:pStyle w:val="Heading2"/>
      </w:pPr>
      <w:r>
        <w:t>Nested Cox sensitivity models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5" w:type="dxa"/>
          <w:bottom w:w="65" w:type="dxa"/>
          <w:left w:w="65" w:type="dxa"/>
          <w:right w:w="65" w:type="dxa"/>
        </w:tblCellMar>
      </w:tblPr>
      <w:tblGrid>
        <w:gridCol w:w="1080"/>
        <w:gridCol w:w="4320"/>
        <w:gridCol w:w="1440"/>
        <w:gridCol w:w="3096"/>
        <w:gridCol w:w="2592"/>
        <w:gridCol w:w="1296"/>
      </w:tblGrid>
      <w:tr>
        <w:trPr>
          <w:tblHeader/>
          <w:cantSplit/>
          <w:cantSplit/>
          <w:tblHeader/>
        </w:trPr>
        <w:tc>
          <w:tcPr>
            <w:tcW w:type="dxa" w:w="1080"/>
            <w:vAlign w:val="center"/>
            <w:shd w:fill="EAEAEA"/>
          </w:tcPr>
          <w:p>
            <w:pPr>
              <w:spacing w:before="0" w:after="0" w:line="240" w:lineRule="auto"/>
              <w:jc w:val="left"/>
            </w:pPr>
            <w:r>
              <w:rPr>
                <w:sz w:val="16"/>
                <w:b/>
              </w:rPr>
              <w:t>Endpoint</w:t>
            </w:r>
          </w:p>
        </w:tc>
        <w:tc>
          <w:tcPr>
            <w:tcW w:type="dxa" w:w="4320"/>
            <w:vAlign w:val="center"/>
            <w:shd w:fill="EAEAEA"/>
          </w:tcPr>
          <w:p>
            <w:pPr>
              <w:spacing w:before="0" w:after="0" w:line="240" w:lineRule="auto"/>
              <w:jc w:val="center"/>
            </w:pPr>
            <w:r>
              <w:rPr>
                <w:sz w:val="16"/>
                <w:b/>
              </w:rPr>
              <w:t>Adjustment model</w:t>
            </w:r>
          </w:p>
        </w:tc>
        <w:tc>
          <w:tcPr>
            <w:tcW w:type="dxa" w:w="1440"/>
            <w:vAlign w:val="center"/>
            <w:shd w:fill="EAEAEA"/>
          </w:tcPr>
          <w:p>
            <w:pPr>
              <w:spacing w:before="0" w:after="0" w:line="240" w:lineRule="auto"/>
              <w:jc w:val="center"/>
            </w:pPr>
            <w:r>
              <w:rPr>
                <w:sz w:val="16"/>
                <w:b/>
              </w:rPr>
              <w:t>n (deaths)</w:t>
            </w:r>
          </w:p>
        </w:tc>
        <w:tc>
          <w:tcPr>
            <w:tcW w:type="dxa" w:w="3096"/>
            <w:vAlign w:val="center"/>
            <w:shd w:fill="EAEAEA"/>
          </w:tcPr>
          <w:p>
            <w:pPr>
              <w:spacing w:before="0" w:after="0" w:line="240" w:lineRule="auto"/>
              <w:jc w:val="center"/>
            </w:pPr>
            <w:r>
              <w:rPr>
                <w:sz w:val="16"/>
                <w:b/>
              </w:rPr>
              <w:t>Comparison</w:t>
            </w:r>
          </w:p>
        </w:tc>
        <w:tc>
          <w:tcPr>
            <w:tcW w:type="dxa" w:w="2592"/>
            <w:vAlign w:val="center"/>
            <w:shd w:fill="EAEAEA"/>
          </w:tcPr>
          <w:p>
            <w:pPr>
              <w:spacing w:before="0" w:after="0" w:line="240" w:lineRule="auto"/>
              <w:jc w:val="center"/>
            </w:pPr>
            <w:r>
              <w:rPr>
                <w:sz w:val="16"/>
                <w:b/>
              </w:rPr>
              <w:t>HR (95% CI)</w:t>
            </w:r>
          </w:p>
        </w:tc>
        <w:tc>
          <w:tcPr>
            <w:tcW w:type="dxa" w:w="1296"/>
            <w:vAlign w:val="center"/>
            <w:shd w:fill="EAEAEA"/>
          </w:tcPr>
          <w:p>
            <w:pPr>
              <w:spacing w:before="0" w:after="0" w:line="240" w:lineRule="auto"/>
              <w:jc w:val="center"/>
            </w:pPr>
            <w:r>
              <w:rPr>
                <w:sz w:val="16"/>
                <w:b/>
              </w:rPr>
              <w:t>P value</w:t>
            </w:r>
          </w:p>
        </w:tc>
      </w:tr>
      <w:tr>
        <w:trPr>
          <w:cantSplit/>
          <w:cantSplit/>
        </w:trPr>
        <w:tc>
          <w:tcPr>
            <w:tcW w:type="dxa" w:w="1080"/>
            <w:vAlign w:val="center"/>
          </w:tcPr>
          <w:p>
            <w:pPr>
              <w:spacing w:before="0" w:after="0" w:line="240" w:lineRule="auto"/>
              <w:jc w:val="left"/>
            </w:pPr>
            <w:r>
              <w:rPr>
                <w:sz w:val="16"/>
              </w:rPr>
              <w:t>28 d</w:t>
            </w:r>
          </w:p>
        </w:tc>
        <w:tc>
          <w:tcPr>
            <w:tcW w:type="dxa" w:w="4320"/>
            <w:vAlign w:val="center"/>
          </w:tcPr>
          <w:p>
            <w:pPr>
              <w:spacing w:before="0" w:after="0" w:line="240" w:lineRule="auto"/>
              <w:jc w:val="center"/>
            </w:pPr>
            <w:r>
              <w:rPr>
                <w:sz w:val="16"/>
              </w:rPr>
              <w:t>Original covariates; full cohort</w:t>
            </w:r>
          </w:p>
        </w:tc>
        <w:tc>
          <w:tcPr>
            <w:tcW w:type="dxa" w:w="1440"/>
            <w:vAlign w:val="center"/>
          </w:tcPr>
          <w:p>
            <w:pPr>
              <w:spacing w:before="0" w:after="0" w:line="240" w:lineRule="auto"/>
              <w:jc w:val="center"/>
            </w:pPr>
            <w:r>
              <w:rPr>
                <w:sz w:val="16"/>
              </w:rPr>
              <w:t>3458 (733)</w:t>
            </w:r>
          </w:p>
        </w:tc>
        <w:tc>
          <w:tcPr>
            <w:tcW w:type="dxa" w:w="3096"/>
            <w:vAlign w:val="center"/>
          </w:tcPr>
          <w:p>
            <w:pPr>
              <w:spacing w:before="0" w:after="0" w:line="240" w:lineRule="auto"/>
              <w:jc w:val="center"/>
            </w:pPr>
            <w:r>
              <w:rPr>
                <w:sz w:val="16"/>
              </w:rPr>
              <w:t>Transient vs no early AKI</w:t>
            </w:r>
          </w:p>
        </w:tc>
        <w:tc>
          <w:tcPr>
            <w:tcW w:type="dxa" w:w="2592"/>
            <w:vAlign w:val="center"/>
          </w:tcPr>
          <w:p>
            <w:pPr>
              <w:spacing w:before="0" w:after="0" w:line="240" w:lineRule="auto"/>
              <w:jc w:val="center"/>
            </w:pPr>
            <w:r>
              <w:rPr>
                <w:sz w:val="16"/>
              </w:rPr>
              <w:t>0.91 (0.66-1.25)</w:t>
            </w:r>
          </w:p>
        </w:tc>
        <w:tc>
          <w:tcPr>
            <w:tcW w:type="dxa" w:w="1296"/>
            <w:vAlign w:val="center"/>
          </w:tcPr>
          <w:p>
            <w:pPr>
              <w:spacing w:before="0" w:after="0" w:line="240" w:lineRule="auto"/>
              <w:jc w:val="center"/>
            </w:pPr>
            <w:r>
              <w:rPr>
                <w:sz w:val="16"/>
              </w:rPr>
              <w:t>0.564</w:t>
            </w:r>
          </w:p>
        </w:tc>
      </w:tr>
      <w:tr>
        <w:trPr>
          <w:cantSplit/>
          <w:cantSplit/>
        </w:trPr>
        <w:tc>
          <w:tcPr>
            <w:tcW w:type="dxa" w:w="1080"/>
            <w:vAlign w:val="center"/>
          </w:tcPr>
          <w:p>
            <w:pPr>
              <w:spacing w:before="0" w:after="0" w:line="240" w:lineRule="auto"/>
              <w:jc w:val="left"/>
            </w:pPr>
            <w:r>
              <w:rPr>
                <w:sz w:val="16"/>
              </w:rPr>
              <w:t>28 d</w:t>
            </w:r>
          </w:p>
        </w:tc>
        <w:tc>
          <w:tcPr>
            <w:tcW w:type="dxa" w:w="4320"/>
            <w:vAlign w:val="center"/>
          </w:tcPr>
          <w:p>
            <w:pPr>
              <w:spacing w:before="0" w:after="0" w:line="240" w:lineRule="auto"/>
              <w:jc w:val="center"/>
            </w:pPr>
            <w:r>
              <w:rPr>
                <w:sz w:val="16"/>
              </w:rPr>
              <w:t>Original covariates; full cohort</w:t>
            </w:r>
          </w:p>
        </w:tc>
        <w:tc>
          <w:tcPr>
            <w:tcW w:type="dxa" w:w="1440"/>
            <w:vAlign w:val="center"/>
          </w:tcPr>
          <w:p>
            <w:pPr>
              <w:spacing w:before="0" w:after="0" w:line="240" w:lineRule="auto"/>
              <w:jc w:val="center"/>
            </w:pPr>
            <w:r>
              <w:rPr>
                <w:sz w:val="16"/>
              </w:rPr>
              <w:t>3458 (733)</w:t>
            </w:r>
          </w:p>
        </w:tc>
        <w:tc>
          <w:tcPr>
            <w:tcW w:type="dxa" w:w="3096"/>
            <w:vAlign w:val="center"/>
          </w:tcPr>
          <w:p>
            <w:pPr>
              <w:spacing w:before="0" w:after="0" w:line="240" w:lineRule="auto"/>
              <w:jc w:val="center"/>
            </w:pPr>
            <w:r>
              <w:rPr>
                <w:sz w:val="16"/>
              </w:rPr>
              <w:t>Persistent-pattern vs no early AKI</w:t>
            </w:r>
          </w:p>
        </w:tc>
        <w:tc>
          <w:tcPr>
            <w:tcW w:type="dxa" w:w="2592"/>
            <w:vAlign w:val="center"/>
          </w:tcPr>
          <w:p>
            <w:pPr>
              <w:spacing w:before="0" w:after="0" w:line="240" w:lineRule="auto"/>
              <w:jc w:val="center"/>
            </w:pPr>
            <w:r>
              <w:rPr>
                <w:sz w:val="16"/>
              </w:rPr>
              <w:t>1.54 (1.17-2.04)</w:t>
            </w:r>
          </w:p>
        </w:tc>
        <w:tc>
          <w:tcPr>
            <w:tcW w:type="dxa" w:w="1296"/>
            <w:vAlign w:val="center"/>
          </w:tcPr>
          <w:p>
            <w:pPr>
              <w:spacing w:before="0" w:after="0" w:line="240" w:lineRule="auto"/>
              <w:jc w:val="center"/>
            </w:pPr>
            <w:r>
              <w:rPr>
                <w:sz w:val="16"/>
              </w:rPr>
              <w:t>0.002</w:t>
            </w:r>
          </w:p>
        </w:tc>
      </w:tr>
      <w:tr>
        <w:trPr>
          <w:cantSplit/>
          <w:cantSplit/>
        </w:trPr>
        <w:tc>
          <w:tcPr>
            <w:tcW w:type="dxa" w:w="1080"/>
            <w:vAlign w:val="center"/>
          </w:tcPr>
          <w:p>
            <w:pPr>
              <w:spacing w:before="0" w:after="0" w:line="240" w:lineRule="auto"/>
              <w:jc w:val="left"/>
            </w:pPr>
            <w:r>
              <w:rPr>
                <w:sz w:val="16"/>
              </w:rPr>
              <w:t>28 d</w:t>
            </w:r>
          </w:p>
        </w:tc>
        <w:tc>
          <w:tcPr>
            <w:tcW w:type="dxa" w:w="4320"/>
            <w:vAlign w:val="center"/>
          </w:tcPr>
          <w:p>
            <w:pPr>
              <w:spacing w:before="0" w:after="0" w:line="240" w:lineRule="auto"/>
              <w:jc w:val="center"/>
            </w:pPr>
            <w:r>
              <w:rPr>
                <w:sz w:val="16"/>
              </w:rPr>
              <w:t>Original covariates; common LVEF set</w:t>
            </w:r>
          </w:p>
        </w:tc>
        <w:tc>
          <w:tcPr>
            <w:tcW w:type="dxa" w:w="1440"/>
            <w:vAlign w:val="center"/>
          </w:tcPr>
          <w:p>
            <w:pPr>
              <w:spacing w:before="0" w:after="0" w:line="240" w:lineRule="auto"/>
              <w:jc w:val="center"/>
            </w:pPr>
            <w:r>
              <w:rPr>
                <w:sz w:val="16"/>
              </w:rPr>
              <w:t>2496 (536)</w:t>
            </w:r>
          </w:p>
        </w:tc>
        <w:tc>
          <w:tcPr>
            <w:tcW w:type="dxa" w:w="3096"/>
            <w:vAlign w:val="center"/>
          </w:tcPr>
          <w:p>
            <w:pPr>
              <w:spacing w:before="0" w:after="0" w:line="240" w:lineRule="auto"/>
              <w:jc w:val="center"/>
            </w:pPr>
            <w:r>
              <w:rPr>
                <w:sz w:val="16"/>
              </w:rPr>
              <w:t>Transient vs no early AKI</w:t>
            </w:r>
          </w:p>
        </w:tc>
        <w:tc>
          <w:tcPr>
            <w:tcW w:type="dxa" w:w="2592"/>
            <w:vAlign w:val="center"/>
          </w:tcPr>
          <w:p>
            <w:pPr>
              <w:spacing w:before="0" w:after="0" w:line="240" w:lineRule="auto"/>
              <w:jc w:val="center"/>
            </w:pPr>
            <w:r>
              <w:rPr>
                <w:sz w:val="16"/>
              </w:rPr>
              <w:t>0.94 (0.63-1.38)</w:t>
            </w:r>
          </w:p>
        </w:tc>
        <w:tc>
          <w:tcPr>
            <w:tcW w:type="dxa" w:w="1296"/>
            <w:vAlign w:val="center"/>
          </w:tcPr>
          <w:p>
            <w:pPr>
              <w:spacing w:before="0" w:after="0" w:line="240" w:lineRule="auto"/>
              <w:jc w:val="center"/>
            </w:pPr>
            <w:r>
              <w:rPr>
                <w:sz w:val="16"/>
              </w:rPr>
              <w:t>0.738</w:t>
            </w:r>
          </w:p>
        </w:tc>
      </w:tr>
      <w:tr>
        <w:trPr>
          <w:cantSplit/>
          <w:cantSplit/>
        </w:trPr>
        <w:tc>
          <w:tcPr>
            <w:tcW w:type="dxa" w:w="1080"/>
            <w:vAlign w:val="center"/>
          </w:tcPr>
          <w:p>
            <w:pPr>
              <w:spacing w:before="0" w:after="0" w:line="240" w:lineRule="auto"/>
              <w:jc w:val="left"/>
            </w:pPr>
            <w:r>
              <w:rPr>
                <w:sz w:val="16"/>
              </w:rPr>
              <w:t>28 d</w:t>
            </w:r>
          </w:p>
        </w:tc>
        <w:tc>
          <w:tcPr>
            <w:tcW w:type="dxa" w:w="4320"/>
            <w:vAlign w:val="center"/>
          </w:tcPr>
          <w:p>
            <w:pPr>
              <w:spacing w:before="0" w:after="0" w:line="240" w:lineRule="auto"/>
              <w:jc w:val="center"/>
            </w:pPr>
            <w:r>
              <w:rPr>
                <w:sz w:val="16"/>
              </w:rPr>
              <w:t>Original covariates; common LVEF set</w:t>
            </w:r>
          </w:p>
        </w:tc>
        <w:tc>
          <w:tcPr>
            <w:tcW w:type="dxa" w:w="1440"/>
            <w:vAlign w:val="center"/>
          </w:tcPr>
          <w:p>
            <w:pPr>
              <w:spacing w:before="0" w:after="0" w:line="240" w:lineRule="auto"/>
              <w:jc w:val="center"/>
            </w:pPr>
            <w:r>
              <w:rPr>
                <w:sz w:val="16"/>
              </w:rPr>
              <w:t>2496 (536)</w:t>
            </w:r>
          </w:p>
        </w:tc>
        <w:tc>
          <w:tcPr>
            <w:tcW w:type="dxa" w:w="3096"/>
            <w:vAlign w:val="center"/>
          </w:tcPr>
          <w:p>
            <w:pPr>
              <w:spacing w:before="0" w:after="0" w:line="240" w:lineRule="auto"/>
              <w:jc w:val="center"/>
            </w:pPr>
            <w:r>
              <w:rPr>
                <w:sz w:val="16"/>
              </w:rPr>
              <w:t>Persistent-pattern vs no early AKI</w:t>
            </w:r>
          </w:p>
        </w:tc>
        <w:tc>
          <w:tcPr>
            <w:tcW w:type="dxa" w:w="2592"/>
            <w:vAlign w:val="center"/>
          </w:tcPr>
          <w:p>
            <w:pPr>
              <w:spacing w:before="0" w:after="0" w:line="240" w:lineRule="auto"/>
              <w:jc w:val="center"/>
            </w:pPr>
            <w:r>
              <w:rPr>
                <w:sz w:val="16"/>
              </w:rPr>
              <w:t>1.58 (1.12-2.23)</w:t>
            </w:r>
          </w:p>
        </w:tc>
        <w:tc>
          <w:tcPr>
            <w:tcW w:type="dxa" w:w="1296"/>
            <w:vAlign w:val="center"/>
          </w:tcPr>
          <w:p>
            <w:pPr>
              <w:spacing w:before="0" w:after="0" w:line="240" w:lineRule="auto"/>
              <w:jc w:val="center"/>
            </w:pPr>
            <w:r>
              <w:rPr>
                <w:sz w:val="16"/>
              </w:rPr>
              <w:t>0.010</w:t>
            </w:r>
          </w:p>
        </w:tc>
      </w:tr>
      <w:tr>
        <w:trPr>
          <w:cantSplit/>
          <w:cantSplit/>
        </w:trPr>
        <w:tc>
          <w:tcPr>
            <w:tcW w:type="dxa" w:w="1080"/>
            <w:vAlign w:val="center"/>
          </w:tcPr>
          <w:p>
            <w:pPr>
              <w:spacing w:before="0" w:after="0" w:line="240" w:lineRule="auto"/>
              <w:jc w:val="left"/>
            </w:pPr>
            <w:r>
              <w:rPr>
                <w:sz w:val="16"/>
              </w:rPr>
              <w:t>28 d</w:t>
            </w:r>
          </w:p>
        </w:tc>
        <w:tc>
          <w:tcPr>
            <w:tcW w:type="dxa" w:w="4320"/>
            <w:vAlign w:val="center"/>
          </w:tcPr>
          <w:p>
            <w:pPr>
              <w:spacing w:before="0" w:after="0" w:line="240" w:lineRule="auto"/>
              <w:jc w:val="center"/>
            </w:pPr>
            <w:r>
              <w:rPr>
                <w:sz w:val="16"/>
              </w:rPr>
              <w:t>+ categorical LVEF</w:t>
            </w:r>
          </w:p>
        </w:tc>
        <w:tc>
          <w:tcPr>
            <w:tcW w:type="dxa" w:w="1440"/>
            <w:vAlign w:val="center"/>
          </w:tcPr>
          <w:p>
            <w:pPr>
              <w:spacing w:before="0" w:after="0" w:line="240" w:lineRule="auto"/>
              <w:jc w:val="center"/>
            </w:pPr>
            <w:r>
              <w:rPr>
                <w:sz w:val="16"/>
              </w:rPr>
              <w:t>2496 (536)</w:t>
            </w:r>
          </w:p>
        </w:tc>
        <w:tc>
          <w:tcPr>
            <w:tcW w:type="dxa" w:w="3096"/>
            <w:vAlign w:val="center"/>
          </w:tcPr>
          <w:p>
            <w:pPr>
              <w:spacing w:before="0" w:after="0" w:line="240" w:lineRule="auto"/>
              <w:jc w:val="center"/>
            </w:pPr>
            <w:r>
              <w:rPr>
                <w:sz w:val="16"/>
              </w:rPr>
              <w:t>Transient vs no early AKI</w:t>
            </w:r>
          </w:p>
        </w:tc>
        <w:tc>
          <w:tcPr>
            <w:tcW w:type="dxa" w:w="2592"/>
            <w:vAlign w:val="center"/>
          </w:tcPr>
          <w:p>
            <w:pPr>
              <w:spacing w:before="0" w:after="0" w:line="240" w:lineRule="auto"/>
              <w:jc w:val="center"/>
            </w:pPr>
            <w:r>
              <w:rPr>
                <w:sz w:val="16"/>
              </w:rPr>
              <w:t>0.92 (0.62-1.36)</w:t>
            </w:r>
          </w:p>
        </w:tc>
        <w:tc>
          <w:tcPr>
            <w:tcW w:type="dxa" w:w="1296"/>
            <w:vAlign w:val="center"/>
          </w:tcPr>
          <w:p>
            <w:pPr>
              <w:spacing w:before="0" w:after="0" w:line="240" w:lineRule="auto"/>
              <w:jc w:val="center"/>
            </w:pPr>
            <w:r>
              <w:rPr>
                <w:sz w:val="16"/>
              </w:rPr>
              <w:t>0.683</w:t>
            </w:r>
          </w:p>
        </w:tc>
      </w:tr>
      <w:tr>
        <w:trPr>
          <w:cantSplit/>
          <w:cantSplit/>
        </w:trPr>
        <w:tc>
          <w:tcPr>
            <w:tcW w:type="dxa" w:w="1080"/>
            <w:vAlign w:val="center"/>
          </w:tcPr>
          <w:p>
            <w:pPr>
              <w:spacing w:before="0" w:after="0" w:line="240" w:lineRule="auto"/>
              <w:jc w:val="left"/>
            </w:pPr>
            <w:r>
              <w:rPr>
                <w:sz w:val="16"/>
              </w:rPr>
              <w:t>28 d</w:t>
            </w:r>
          </w:p>
        </w:tc>
        <w:tc>
          <w:tcPr>
            <w:tcW w:type="dxa" w:w="4320"/>
            <w:vAlign w:val="center"/>
          </w:tcPr>
          <w:p>
            <w:pPr>
              <w:spacing w:before="0" w:after="0" w:line="240" w:lineRule="auto"/>
              <w:jc w:val="center"/>
            </w:pPr>
            <w:r>
              <w:rPr>
                <w:sz w:val="16"/>
              </w:rPr>
              <w:t>+ categorical LVEF</w:t>
            </w:r>
          </w:p>
        </w:tc>
        <w:tc>
          <w:tcPr>
            <w:tcW w:type="dxa" w:w="1440"/>
            <w:vAlign w:val="center"/>
          </w:tcPr>
          <w:p>
            <w:pPr>
              <w:spacing w:before="0" w:after="0" w:line="240" w:lineRule="auto"/>
              <w:jc w:val="center"/>
            </w:pPr>
            <w:r>
              <w:rPr>
                <w:sz w:val="16"/>
              </w:rPr>
              <w:t>2496 (536)</w:t>
            </w:r>
          </w:p>
        </w:tc>
        <w:tc>
          <w:tcPr>
            <w:tcW w:type="dxa" w:w="3096"/>
            <w:vAlign w:val="center"/>
          </w:tcPr>
          <w:p>
            <w:pPr>
              <w:spacing w:before="0" w:after="0" w:line="240" w:lineRule="auto"/>
              <w:jc w:val="center"/>
            </w:pPr>
            <w:r>
              <w:rPr>
                <w:sz w:val="16"/>
              </w:rPr>
              <w:t>Persistent-pattern vs no early AKI</w:t>
            </w:r>
          </w:p>
        </w:tc>
        <w:tc>
          <w:tcPr>
            <w:tcW w:type="dxa" w:w="2592"/>
            <w:vAlign w:val="center"/>
          </w:tcPr>
          <w:p>
            <w:pPr>
              <w:spacing w:before="0" w:after="0" w:line="240" w:lineRule="auto"/>
              <w:jc w:val="center"/>
            </w:pPr>
            <w:r>
              <w:rPr>
                <w:sz w:val="16"/>
              </w:rPr>
              <w:t>1.55 (1.10-2.19)</w:t>
            </w:r>
          </w:p>
        </w:tc>
        <w:tc>
          <w:tcPr>
            <w:tcW w:type="dxa" w:w="1296"/>
            <w:vAlign w:val="center"/>
          </w:tcPr>
          <w:p>
            <w:pPr>
              <w:spacing w:before="0" w:after="0" w:line="240" w:lineRule="auto"/>
              <w:jc w:val="center"/>
            </w:pPr>
            <w:r>
              <w:rPr>
                <w:sz w:val="16"/>
              </w:rPr>
              <w:t>0.013</w:t>
            </w:r>
          </w:p>
        </w:tc>
      </w:tr>
      <w:tr>
        <w:trPr>
          <w:cantSplit/>
          <w:cantSplit/>
        </w:trPr>
        <w:tc>
          <w:tcPr>
            <w:tcW w:type="dxa" w:w="1080"/>
            <w:vAlign w:val="center"/>
          </w:tcPr>
          <w:p>
            <w:pPr>
              <w:spacing w:before="0" w:after="0" w:line="240" w:lineRule="auto"/>
              <w:jc w:val="left"/>
            </w:pPr>
            <w:r>
              <w:rPr>
                <w:sz w:val="16"/>
              </w:rPr>
              <w:t>28 d</w:t>
            </w:r>
          </w:p>
        </w:tc>
        <w:tc>
          <w:tcPr>
            <w:tcW w:type="dxa" w:w="4320"/>
            <w:vAlign w:val="center"/>
          </w:tcPr>
          <w:p>
            <w:pPr>
              <w:spacing w:before="0" w:after="0" w:line="240" w:lineRule="auto"/>
              <w:jc w:val="center"/>
            </w:pPr>
            <w:r>
              <w:rPr>
                <w:sz w:val="16"/>
              </w:rPr>
              <w:t>+ AMI variables, possible-by-landmark</w:t>
            </w:r>
          </w:p>
        </w:tc>
        <w:tc>
          <w:tcPr>
            <w:tcW w:type="dxa" w:w="1440"/>
            <w:vAlign w:val="center"/>
          </w:tcPr>
          <w:p>
            <w:pPr>
              <w:spacing w:before="0" w:after="0" w:line="240" w:lineRule="auto"/>
              <w:jc w:val="center"/>
            </w:pPr>
            <w:r>
              <w:rPr>
                <w:sz w:val="16"/>
              </w:rPr>
              <w:t>2496 (536)</w:t>
            </w:r>
          </w:p>
        </w:tc>
        <w:tc>
          <w:tcPr>
            <w:tcW w:type="dxa" w:w="3096"/>
            <w:vAlign w:val="center"/>
          </w:tcPr>
          <w:p>
            <w:pPr>
              <w:spacing w:before="0" w:after="0" w:line="240" w:lineRule="auto"/>
              <w:jc w:val="center"/>
            </w:pPr>
            <w:r>
              <w:rPr>
                <w:sz w:val="16"/>
              </w:rPr>
              <w:t>Transient vs no early AKI</w:t>
            </w:r>
          </w:p>
        </w:tc>
        <w:tc>
          <w:tcPr>
            <w:tcW w:type="dxa" w:w="2592"/>
            <w:vAlign w:val="center"/>
          </w:tcPr>
          <w:p>
            <w:pPr>
              <w:spacing w:before="0" w:after="0" w:line="240" w:lineRule="auto"/>
              <w:jc w:val="center"/>
            </w:pPr>
            <w:r>
              <w:rPr>
                <w:sz w:val="16"/>
              </w:rPr>
              <w:t>0.98 (0.66-1.45)</w:t>
            </w:r>
          </w:p>
        </w:tc>
        <w:tc>
          <w:tcPr>
            <w:tcW w:type="dxa" w:w="1296"/>
            <w:vAlign w:val="center"/>
          </w:tcPr>
          <w:p>
            <w:pPr>
              <w:spacing w:before="0" w:after="0" w:line="240" w:lineRule="auto"/>
              <w:jc w:val="center"/>
            </w:pPr>
            <w:r>
              <w:rPr>
                <w:sz w:val="16"/>
              </w:rPr>
              <w:t>0.909</w:t>
            </w:r>
          </w:p>
        </w:tc>
      </w:tr>
      <w:tr>
        <w:trPr>
          <w:cantSplit/>
          <w:cantSplit/>
        </w:trPr>
        <w:tc>
          <w:tcPr>
            <w:tcW w:type="dxa" w:w="1080"/>
            <w:vAlign w:val="center"/>
          </w:tcPr>
          <w:p>
            <w:pPr>
              <w:spacing w:before="0" w:after="0" w:line="240" w:lineRule="auto"/>
              <w:jc w:val="left"/>
            </w:pPr>
            <w:r>
              <w:rPr>
                <w:sz w:val="16"/>
              </w:rPr>
              <w:t>28 d</w:t>
            </w:r>
          </w:p>
        </w:tc>
        <w:tc>
          <w:tcPr>
            <w:tcW w:type="dxa" w:w="4320"/>
            <w:vAlign w:val="center"/>
          </w:tcPr>
          <w:p>
            <w:pPr>
              <w:spacing w:before="0" w:after="0" w:line="240" w:lineRule="auto"/>
              <w:jc w:val="center"/>
            </w:pPr>
            <w:r>
              <w:rPr>
                <w:sz w:val="16"/>
              </w:rPr>
              <w:t>+ AMI variables, possible-by-landmark</w:t>
            </w:r>
          </w:p>
        </w:tc>
        <w:tc>
          <w:tcPr>
            <w:tcW w:type="dxa" w:w="1440"/>
            <w:vAlign w:val="center"/>
          </w:tcPr>
          <w:p>
            <w:pPr>
              <w:spacing w:before="0" w:after="0" w:line="240" w:lineRule="auto"/>
              <w:jc w:val="center"/>
            </w:pPr>
            <w:r>
              <w:rPr>
                <w:sz w:val="16"/>
              </w:rPr>
              <w:t>2496 (536)</w:t>
            </w:r>
          </w:p>
        </w:tc>
        <w:tc>
          <w:tcPr>
            <w:tcW w:type="dxa" w:w="3096"/>
            <w:vAlign w:val="center"/>
          </w:tcPr>
          <w:p>
            <w:pPr>
              <w:spacing w:before="0" w:after="0" w:line="240" w:lineRule="auto"/>
              <w:jc w:val="center"/>
            </w:pPr>
            <w:r>
              <w:rPr>
                <w:sz w:val="16"/>
              </w:rPr>
              <w:t>Persistent-pattern vs no early AKI</w:t>
            </w:r>
          </w:p>
        </w:tc>
        <w:tc>
          <w:tcPr>
            <w:tcW w:type="dxa" w:w="2592"/>
            <w:vAlign w:val="center"/>
          </w:tcPr>
          <w:p>
            <w:pPr>
              <w:spacing w:before="0" w:after="0" w:line="240" w:lineRule="auto"/>
              <w:jc w:val="center"/>
            </w:pPr>
            <w:r>
              <w:rPr>
                <w:sz w:val="16"/>
              </w:rPr>
              <w:t>1.61 (1.13-2.27)</w:t>
            </w:r>
          </w:p>
        </w:tc>
        <w:tc>
          <w:tcPr>
            <w:tcW w:type="dxa" w:w="1296"/>
            <w:vAlign w:val="center"/>
          </w:tcPr>
          <w:p>
            <w:pPr>
              <w:spacing w:before="0" w:after="0" w:line="240" w:lineRule="auto"/>
              <w:jc w:val="center"/>
            </w:pPr>
            <w:r>
              <w:rPr>
                <w:sz w:val="16"/>
              </w:rPr>
              <w:t>0.008</w:t>
            </w:r>
          </w:p>
        </w:tc>
      </w:tr>
      <w:tr>
        <w:trPr>
          <w:cantSplit/>
          <w:cantSplit/>
        </w:trPr>
        <w:tc>
          <w:tcPr>
            <w:tcW w:type="dxa" w:w="1080"/>
            <w:vAlign w:val="center"/>
          </w:tcPr>
          <w:p>
            <w:pPr>
              <w:spacing w:before="0" w:after="0" w:line="240" w:lineRule="auto"/>
              <w:jc w:val="left"/>
            </w:pPr>
            <w:r>
              <w:rPr>
                <w:sz w:val="16"/>
              </w:rPr>
              <w:t>28 d</w:t>
            </w:r>
          </w:p>
        </w:tc>
        <w:tc>
          <w:tcPr>
            <w:tcW w:type="dxa" w:w="4320"/>
            <w:vAlign w:val="center"/>
          </w:tcPr>
          <w:p>
            <w:pPr>
              <w:spacing w:before="0" w:after="0" w:line="240" w:lineRule="auto"/>
              <w:jc w:val="center"/>
            </w:pPr>
            <w:r>
              <w:rPr>
                <w:sz w:val="16"/>
              </w:rPr>
              <w:t>+ AMI variables, strict-date</w:t>
            </w:r>
          </w:p>
        </w:tc>
        <w:tc>
          <w:tcPr>
            <w:tcW w:type="dxa" w:w="1440"/>
            <w:vAlign w:val="center"/>
          </w:tcPr>
          <w:p>
            <w:pPr>
              <w:spacing w:before="0" w:after="0" w:line="240" w:lineRule="auto"/>
              <w:jc w:val="center"/>
            </w:pPr>
            <w:r>
              <w:rPr>
                <w:sz w:val="16"/>
              </w:rPr>
              <w:t>2496 (536)</w:t>
            </w:r>
          </w:p>
        </w:tc>
        <w:tc>
          <w:tcPr>
            <w:tcW w:type="dxa" w:w="3096"/>
            <w:vAlign w:val="center"/>
          </w:tcPr>
          <w:p>
            <w:pPr>
              <w:spacing w:before="0" w:after="0" w:line="240" w:lineRule="auto"/>
              <w:jc w:val="center"/>
            </w:pPr>
            <w:r>
              <w:rPr>
                <w:sz w:val="16"/>
              </w:rPr>
              <w:t>Transient vs no early AKI</w:t>
            </w:r>
          </w:p>
        </w:tc>
        <w:tc>
          <w:tcPr>
            <w:tcW w:type="dxa" w:w="2592"/>
            <w:vAlign w:val="center"/>
          </w:tcPr>
          <w:p>
            <w:pPr>
              <w:spacing w:before="0" w:after="0" w:line="240" w:lineRule="auto"/>
              <w:jc w:val="center"/>
            </w:pPr>
            <w:r>
              <w:rPr>
                <w:sz w:val="16"/>
              </w:rPr>
              <w:t>0.99 (0.67-1.46)</w:t>
            </w:r>
          </w:p>
        </w:tc>
        <w:tc>
          <w:tcPr>
            <w:tcW w:type="dxa" w:w="1296"/>
            <w:vAlign w:val="center"/>
          </w:tcPr>
          <w:p>
            <w:pPr>
              <w:spacing w:before="0" w:after="0" w:line="240" w:lineRule="auto"/>
              <w:jc w:val="center"/>
            </w:pPr>
            <w:r>
              <w:rPr>
                <w:sz w:val="16"/>
              </w:rPr>
              <w:t>0.943</w:t>
            </w:r>
          </w:p>
        </w:tc>
      </w:tr>
      <w:tr>
        <w:trPr>
          <w:cantSplit/>
          <w:cantSplit/>
        </w:trPr>
        <w:tc>
          <w:tcPr>
            <w:tcW w:type="dxa" w:w="1080"/>
            <w:vAlign w:val="center"/>
          </w:tcPr>
          <w:p>
            <w:pPr>
              <w:spacing w:before="0" w:after="0" w:line="240" w:lineRule="auto"/>
              <w:jc w:val="left"/>
            </w:pPr>
            <w:r>
              <w:rPr>
                <w:sz w:val="16"/>
              </w:rPr>
              <w:t>28 d</w:t>
            </w:r>
          </w:p>
        </w:tc>
        <w:tc>
          <w:tcPr>
            <w:tcW w:type="dxa" w:w="4320"/>
            <w:vAlign w:val="center"/>
          </w:tcPr>
          <w:p>
            <w:pPr>
              <w:spacing w:before="0" w:after="0" w:line="240" w:lineRule="auto"/>
              <w:jc w:val="center"/>
            </w:pPr>
            <w:r>
              <w:rPr>
                <w:sz w:val="16"/>
              </w:rPr>
              <w:t>+ AMI variables, strict-date</w:t>
            </w:r>
          </w:p>
        </w:tc>
        <w:tc>
          <w:tcPr>
            <w:tcW w:type="dxa" w:w="1440"/>
            <w:vAlign w:val="center"/>
          </w:tcPr>
          <w:p>
            <w:pPr>
              <w:spacing w:before="0" w:after="0" w:line="240" w:lineRule="auto"/>
              <w:jc w:val="center"/>
            </w:pPr>
            <w:r>
              <w:rPr>
                <w:sz w:val="16"/>
              </w:rPr>
              <w:t>2496 (536)</w:t>
            </w:r>
          </w:p>
        </w:tc>
        <w:tc>
          <w:tcPr>
            <w:tcW w:type="dxa" w:w="3096"/>
            <w:vAlign w:val="center"/>
          </w:tcPr>
          <w:p>
            <w:pPr>
              <w:spacing w:before="0" w:after="0" w:line="240" w:lineRule="auto"/>
              <w:jc w:val="center"/>
            </w:pPr>
            <w:r>
              <w:rPr>
                <w:sz w:val="16"/>
              </w:rPr>
              <w:t>Persistent-pattern vs no early AKI</w:t>
            </w:r>
          </w:p>
        </w:tc>
        <w:tc>
          <w:tcPr>
            <w:tcW w:type="dxa" w:w="2592"/>
            <w:vAlign w:val="center"/>
          </w:tcPr>
          <w:p>
            <w:pPr>
              <w:spacing w:before="0" w:after="0" w:line="240" w:lineRule="auto"/>
              <w:jc w:val="center"/>
            </w:pPr>
            <w:r>
              <w:rPr>
                <w:sz w:val="16"/>
              </w:rPr>
              <w:t>1.61 (1.14-2.28)</w:t>
            </w:r>
          </w:p>
        </w:tc>
        <w:tc>
          <w:tcPr>
            <w:tcW w:type="dxa" w:w="1296"/>
            <w:vAlign w:val="center"/>
          </w:tcPr>
          <w:p>
            <w:pPr>
              <w:spacing w:before="0" w:after="0" w:line="240" w:lineRule="auto"/>
              <w:jc w:val="center"/>
            </w:pPr>
            <w:r>
              <w:rPr>
                <w:sz w:val="16"/>
              </w:rPr>
              <w:t>0.007</w:t>
            </w:r>
          </w:p>
        </w:tc>
      </w:tr>
      <w:tr>
        <w:trPr>
          <w:cantSplit/>
          <w:cantSplit/>
        </w:trPr>
        <w:tc>
          <w:tcPr>
            <w:tcW w:type="dxa" w:w="1080"/>
            <w:vAlign w:val="center"/>
          </w:tcPr>
          <w:p>
            <w:pPr>
              <w:spacing w:before="0" w:after="0" w:line="240" w:lineRule="auto"/>
              <w:jc w:val="left"/>
            </w:pPr>
            <w:r>
              <w:rPr>
                <w:sz w:val="16"/>
              </w:rPr>
              <w:t>28 d</w:t>
            </w:r>
          </w:p>
        </w:tc>
        <w:tc>
          <w:tcPr>
            <w:tcW w:type="dxa" w:w="4320"/>
            <w:vAlign w:val="center"/>
          </w:tcPr>
          <w:p>
            <w:pPr>
              <w:spacing w:before="0" w:after="0" w:line="240" w:lineRule="auto"/>
              <w:jc w:val="center"/>
            </w:pPr>
            <w:r>
              <w:rPr>
                <w:sz w:val="16"/>
              </w:rPr>
              <w:t>+ documented medication classes</w:t>
            </w:r>
          </w:p>
        </w:tc>
        <w:tc>
          <w:tcPr>
            <w:tcW w:type="dxa" w:w="1440"/>
            <w:vAlign w:val="center"/>
          </w:tcPr>
          <w:p>
            <w:pPr>
              <w:spacing w:before="0" w:after="0" w:line="240" w:lineRule="auto"/>
              <w:jc w:val="center"/>
            </w:pPr>
            <w:r>
              <w:rPr>
                <w:sz w:val="16"/>
              </w:rPr>
              <w:t>2496 (536)</w:t>
            </w:r>
          </w:p>
        </w:tc>
        <w:tc>
          <w:tcPr>
            <w:tcW w:type="dxa" w:w="3096"/>
            <w:vAlign w:val="center"/>
          </w:tcPr>
          <w:p>
            <w:pPr>
              <w:spacing w:before="0" w:after="0" w:line="240" w:lineRule="auto"/>
              <w:jc w:val="center"/>
            </w:pPr>
            <w:r>
              <w:rPr>
                <w:sz w:val="16"/>
              </w:rPr>
              <w:t>Transient vs no early AKI</w:t>
            </w:r>
          </w:p>
        </w:tc>
        <w:tc>
          <w:tcPr>
            <w:tcW w:type="dxa" w:w="2592"/>
            <w:vAlign w:val="center"/>
          </w:tcPr>
          <w:p>
            <w:pPr>
              <w:spacing w:before="0" w:after="0" w:line="240" w:lineRule="auto"/>
              <w:jc w:val="center"/>
            </w:pPr>
            <w:r>
              <w:rPr>
                <w:sz w:val="16"/>
              </w:rPr>
              <w:t>0.99 (0.67-1.46)</w:t>
            </w:r>
          </w:p>
        </w:tc>
        <w:tc>
          <w:tcPr>
            <w:tcW w:type="dxa" w:w="1296"/>
            <w:vAlign w:val="center"/>
          </w:tcPr>
          <w:p>
            <w:pPr>
              <w:spacing w:before="0" w:after="0" w:line="240" w:lineRule="auto"/>
              <w:jc w:val="center"/>
            </w:pPr>
            <w:r>
              <w:rPr>
                <w:sz w:val="16"/>
              </w:rPr>
              <w:t>0.947</w:t>
            </w:r>
          </w:p>
        </w:tc>
      </w:tr>
      <w:tr>
        <w:trPr>
          <w:cantSplit/>
          <w:cantSplit/>
        </w:trPr>
        <w:tc>
          <w:tcPr>
            <w:tcW w:type="dxa" w:w="1080"/>
            <w:vAlign w:val="center"/>
          </w:tcPr>
          <w:p>
            <w:pPr>
              <w:spacing w:before="0" w:after="0" w:line="240" w:lineRule="auto"/>
              <w:jc w:val="left"/>
            </w:pPr>
            <w:r>
              <w:rPr>
                <w:sz w:val="16"/>
              </w:rPr>
              <w:t>28 d</w:t>
            </w:r>
          </w:p>
        </w:tc>
        <w:tc>
          <w:tcPr>
            <w:tcW w:type="dxa" w:w="4320"/>
            <w:vAlign w:val="center"/>
          </w:tcPr>
          <w:p>
            <w:pPr>
              <w:spacing w:before="0" w:after="0" w:line="240" w:lineRule="auto"/>
              <w:jc w:val="center"/>
            </w:pPr>
            <w:r>
              <w:rPr>
                <w:sz w:val="16"/>
              </w:rPr>
              <w:t>+ documented medication classes</w:t>
            </w:r>
          </w:p>
        </w:tc>
        <w:tc>
          <w:tcPr>
            <w:tcW w:type="dxa" w:w="1440"/>
            <w:vAlign w:val="center"/>
          </w:tcPr>
          <w:p>
            <w:pPr>
              <w:spacing w:before="0" w:after="0" w:line="240" w:lineRule="auto"/>
              <w:jc w:val="center"/>
            </w:pPr>
            <w:r>
              <w:rPr>
                <w:sz w:val="16"/>
              </w:rPr>
              <w:t>2496 (536)</w:t>
            </w:r>
          </w:p>
        </w:tc>
        <w:tc>
          <w:tcPr>
            <w:tcW w:type="dxa" w:w="3096"/>
            <w:vAlign w:val="center"/>
          </w:tcPr>
          <w:p>
            <w:pPr>
              <w:spacing w:before="0" w:after="0" w:line="240" w:lineRule="auto"/>
              <w:jc w:val="center"/>
            </w:pPr>
            <w:r>
              <w:rPr>
                <w:sz w:val="16"/>
              </w:rPr>
              <w:t>Persistent-pattern vs no early AKI</w:t>
            </w:r>
          </w:p>
        </w:tc>
        <w:tc>
          <w:tcPr>
            <w:tcW w:type="dxa" w:w="2592"/>
            <w:vAlign w:val="center"/>
          </w:tcPr>
          <w:p>
            <w:pPr>
              <w:spacing w:before="0" w:after="0" w:line="240" w:lineRule="auto"/>
              <w:jc w:val="center"/>
            </w:pPr>
            <w:r>
              <w:rPr>
                <w:sz w:val="16"/>
              </w:rPr>
              <w:t>1.61 (1.13-2.27)</w:t>
            </w:r>
          </w:p>
        </w:tc>
        <w:tc>
          <w:tcPr>
            <w:tcW w:type="dxa" w:w="1296"/>
            <w:vAlign w:val="center"/>
          </w:tcPr>
          <w:p>
            <w:pPr>
              <w:spacing w:before="0" w:after="0" w:line="240" w:lineRule="auto"/>
              <w:jc w:val="center"/>
            </w:pPr>
            <w:r>
              <w:rPr>
                <w:sz w:val="16"/>
              </w:rPr>
              <w:t>0.008</w:t>
            </w:r>
          </w:p>
        </w:tc>
      </w:tr>
      <w:tr>
        <w:trPr>
          <w:cantSplit/>
          <w:cantSplit/>
        </w:trPr>
        <w:tc>
          <w:tcPr>
            <w:tcW w:type="dxa" w:w="1080"/>
            <w:vAlign w:val="center"/>
          </w:tcPr>
          <w:p>
            <w:pPr>
              <w:spacing w:before="0" w:after="0" w:line="240" w:lineRule="auto"/>
              <w:jc w:val="left"/>
            </w:pPr>
            <w:r>
              <w:rPr>
                <w:sz w:val="16"/>
              </w:rPr>
              <w:t>28 d</w:t>
            </w:r>
          </w:p>
        </w:tc>
        <w:tc>
          <w:tcPr>
            <w:tcW w:type="dxa" w:w="4320"/>
            <w:vAlign w:val="center"/>
          </w:tcPr>
          <w:p>
            <w:pPr>
              <w:spacing w:before="0" w:after="0" w:line="240" w:lineRule="auto"/>
              <w:jc w:val="center"/>
            </w:pPr>
            <w:r>
              <w:rPr>
                <w:sz w:val="16"/>
              </w:rPr>
              <w:t>+ medication orders only</w:t>
            </w:r>
          </w:p>
        </w:tc>
        <w:tc>
          <w:tcPr>
            <w:tcW w:type="dxa" w:w="1440"/>
            <w:vAlign w:val="center"/>
          </w:tcPr>
          <w:p>
            <w:pPr>
              <w:spacing w:before="0" w:after="0" w:line="240" w:lineRule="auto"/>
              <w:jc w:val="center"/>
            </w:pPr>
            <w:r>
              <w:rPr>
                <w:sz w:val="16"/>
              </w:rPr>
              <w:t>2496 (536)</w:t>
            </w:r>
          </w:p>
        </w:tc>
        <w:tc>
          <w:tcPr>
            <w:tcW w:type="dxa" w:w="3096"/>
            <w:vAlign w:val="center"/>
          </w:tcPr>
          <w:p>
            <w:pPr>
              <w:spacing w:before="0" w:after="0" w:line="240" w:lineRule="auto"/>
              <w:jc w:val="center"/>
            </w:pPr>
            <w:r>
              <w:rPr>
                <w:sz w:val="16"/>
              </w:rPr>
              <w:t>Transient vs no early AKI</w:t>
            </w:r>
          </w:p>
        </w:tc>
        <w:tc>
          <w:tcPr>
            <w:tcW w:type="dxa" w:w="2592"/>
            <w:vAlign w:val="center"/>
          </w:tcPr>
          <w:p>
            <w:pPr>
              <w:spacing w:before="0" w:after="0" w:line="240" w:lineRule="auto"/>
              <w:jc w:val="center"/>
            </w:pPr>
            <w:r>
              <w:rPr>
                <w:sz w:val="16"/>
              </w:rPr>
              <w:t>0.99 (0.67-1.47)</w:t>
            </w:r>
          </w:p>
        </w:tc>
        <w:tc>
          <w:tcPr>
            <w:tcW w:type="dxa" w:w="1296"/>
            <w:vAlign w:val="center"/>
          </w:tcPr>
          <w:p>
            <w:pPr>
              <w:spacing w:before="0" w:after="0" w:line="240" w:lineRule="auto"/>
              <w:jc w:val="center"/>
            </w:pPr>
            <w:r>
              <w:rPr>
                <w:sz w:val="16"/>
              </w:rPr>
              <w:t>0.964</w:t>
            </w:r>
          </w:p>
        </w:tc>
      </w:tr>
      <w:tr>
        <w:trPr>
          <w:cantSplit/>
          <w:cantSplit/>
        </w:trPr>
        <w:tc>
          <w:tcPr>
            <w:tcW w:type="dxa" w:w="1080"/>
            <w:vAlign w:val="center"/>
          </w:tcPr>
          <w:p>
            <w:pPr>
              <w:spacing w:before="0" w:after="0" w:line="240" w:lineRule="auto"/>
              <w:jc w:val="left"/>
            </w:pPr>
            <w:r>
              <w:rPr>
                <w:sz w:val="16"/>
              </w:rPr>
              <w:t>28 d</w:t>
            </w:r>
          </w:p>
        </w:tc>
        <w:tc>
          <w:tcPr>
            <w:tcW w:type="dxa" w:w="4320"/>
            <w:vAlign w:val="center"/>
          </w:tcPr>
          <w:p>
            <w:pPr>
              <w:spacing w:before="0" w:after="0" w:line="240" w:lineRule="auto"/>
              <w:jc w:val="center"/>
            </w:pPr>
            <w:r>
              <w:rPr>
                <w:sz w:val="16"/>
              </w:rPr>
              <w:t>+ medication orders only</w:t>
            </w:r>
          </w:p>
        </w:tc>
        <w:tc>
          <w:tcPr>
            <w:tcW w:type="dxa" w:w="1440"/>
            <w:vAlign w:val="center"/>
          </w:tcPr>
          <w:p>
            <w:pPr>
              <w:spacing w:before="0" w:after="0" w:line="240" w:lineRule="auto"/>
              <w:jc w:val="center"/>
            </w:pPr>
            <w:r>
              <w:rPr>
                <w:sz w:val="16"/>
              </w:rPr>
              <w:t>2496 (536)</w:t>
            </w:r>
          </w:p>
        </w:tc>
        <w:tc>
          <w:tcPr>
            <w:tcW w:type="dxa" w:w="3096"/>
            <w:vAlign w:val="center"/>
          </w:tcPr>
          <w:p>
            <w:pPr>
              <w:spacing w:before="0" w:after="0" w:line="240" w:lineRule="auto"/>
              <w:jc w:val="center"/>
            </w:pPr>
            <w:r>
              <w:rPr>
                <w:sz w:val="16"/>
              </w:rPr>
              <w:t>Persistent-pattern vs no early AKI</w:t>
            </w:r>
          </w:p>
        </w:tc>
        <w:tc>
          <w:tcPr>
            <w:tcW w:type="dxa" w:w="2592"/>
            <w:vAlign w:val="center"/>
          </w:tcPr>
          <w:p>
            <w:pPr>
              <w:spacing w:before="0" w:after="0" w:line="240" w:lineRule="auto"/>
              <w:jc w:val="center"/>
            </w:pPr>
            <w:r>
              <w:rPr>
                <w:sz w:val="16"/>
              </w:rPr>
              <w:t>1.61 (1.14-2.29)</w:t>
            </w:r>
          </w:p>
        </w:tc>
        <w:tc>
          <w:tcPr>
            <w:tcW w:type="dxa" w:w="1296"/>
            <w:vAlign w:val="center"/>
          </w:tcPr>
          <w:p>
            <w:pPr>
              <w:spacing w:before="0" w:after="0" w:line="240" w:lineRule="auto"/>
              <w:jc w:val="center"/>
            </w:pPr>
            <w:r>
              <w:rPr>
                <w:sz w:val="16"/>
              </w:rPr>
              <w:t>0.007</w:t>
            </w:r>
          </w:p>
        </w:tc>
      </w:tr>
      <w:tr>
        <w:trPr>
          <w:cantSplit/>
          <w:cantSplit/>
        </w:trPr>
        <w:tc>
          <w:tcPr>
            <w:tcW w:type="dxa" w:w="1080"/>
            <w:vAlign w:val="center"/>
          </w:tcPr>
          <w:p>
            <w:pPr>
              <w:spacing w:before="0" w:after="0" w:line="240" w:lineRule="auto"/>
              <w:jc w:val="left"/>
            </w:pPr>
            <w:r>
              <w:rPr>
                <w:sz w:val="16"/>
              </w:rPr>
              <w:t>28 d</w:t>
            </w:r>
          </w:p>
        </w:tc>
        <w:tc>
          <w:tcPr>
            <w:tcW w:type="dxa" w:w="4320"/>
            <w:vAlign w:val="center"/>
          </w:tcPr>
          <w:p>
            <w:pPr>
              <w:spacing w:before="0" w:after="0" w:line="240" w:lineRule="auto"/>
              <w:jc w:val="center"/>
            </w:pPr>
            <w:r>
              <w:rPr>
                <w:sz w:val="16"/>
              </w:rPr>
              <w:t>Expanded model; LVEF missing category</w:t>
            </w:r>
          </w:p>
        </w:tc>
        <w:tc>
          <w:tcPr>
            <w:tcW w:type="dxa" w:w="1440"/>
            <w:vAlign w:val="center"/>
          </w:tcPr>
          <w:p>
            <w:pPr>
              <w:spacing w:before="0" w:after="0" w:line="240" w:lineRule="auto"/>
              <w:jc w:val="center"/>
            </w:pPr>
            <w:r>
              <w:rPr>
                <w:sz w:val="16"/>
              </w:rPr>
              <w:t>3458 (733)</w:t>
            </w:r>
          </w:p>
        </w:tc>
        <w:tc>
          <w:tcPr>
            <w:tcW w:type="dxa" w:w="3096"/>
            <w:vAlign w:val="center"/>
          </w:tcPr>
          <w:p>
            <w:pPr>
              <w:spacing w:before="0" w:after="0" w:line="240" w:lineRule="auto"/>
              <w:jc w:val="center"/>
            </w:pPr>
            <w:r>
              <w:rPr>
                <w:sz w:val="16"/>
              </w:rPr>
              <w:t>Transient vs no early AKI</w:t>
            </w:r>
          </w:p>
        </w:tc>
        <w:tc>
          <w:tcPr>
            <w:tcW w:type="dxa" w:w="2592"/>
            <w:vAlign w:val="center"/>
          </w:tcPr>
          <w:p>
            <w:pPr>
              <w:spacing w:before="0" w:after="0" w:line="240" w:lineRule="auto"/>
              <w:jc w:val="center"/>
            </w:pPr>
            <w:r>
              <w:rPr>
                <w:sz w:val="16"/>
              </w:rPr>
              <w:t>0.97 (0.70-1.33)</w:t>
            </w:r>
          </w:p>
        </w:tc>
        <w:tc>
          <w:tcPr>
            <w:tcW w:type="dxa" w:w="1296"/>
            <w:vAlign w:val="center"/>
          </w:tcPr>
          <w:p>
            <w:pPr>
              <w:spacing w:before="0" w:after="0" w:line="240" w:lineRule="auto"/>
              <w:jc w:val="center"/>
            </w:pPr>
            <w:r>
              <w:rPr>
                <w:sz w:val="16"/>
              </w:rPr>
              <w:t>0.831</w:t>
            </w:r>
          </w:p>
        </w:tc>
      </w:tr>
      <w:tr>
        <w:trPr>
          <w:cantSplit/>
          <w:cantSplit/>
        </w:trPr>
        <w:tc>
          <w:tcPr>
            <w:tcW w:type="dxa" w:w="1080"/>
            <w:vAlign w:val="center"/>
          </w:tcPr>
          <w:p>
            <w:pPr>
              <w:spacing w:before="0" w:after="0" w:line="240" w:lineRule="auto"/>
              <w:jc w:val="left"/>
            </w:pPr>
            <w:r>
              <w:rPr>
                <w:sz w:val="16"/>
              </w:rPr>
              <w:t>28 d</w:t>
            </w:r>
          </w:p>
        </w:tc>
        <w:tc>
          <w:tcPr>
            <w:tcW w:type="dxa" w:w="4320"/>
            <w:vAlign w:val="center"/>
          </w:tcPr>
          <w:p>
            <w:pPr>
              <w:spacing w:before="0" w:after="0" w:line="240" w:lineRule="auto"/>
              <w:jc w:val="center"/>
            </w:pPr>
            <w:r>
              <w:rPr>
                <w:sz w:val="16"/>
              </w:rPr>
              <w:t>Expanded model; LVEF missing category</w:t>
            </w:r>
          </w:p>
        </w:tc>
        <w:tc>
          <w:tcPr>
            <w:tcW w:type="dxa" w:w="1440"/>
            <w:vAlign w:val="center"/>
          </w:tcPr>
          <w:p>
            <w:pPr>
              <w:spacing w:before="0" w:after="0" w:line="240" w:lineRule="auto"/>
              <w:jc w:val="center"/>
            </w:pPr>
            <w:r>
              <w:rPr>
                <w:sz w:val="16"/>
              </w:rPr>
              <w:t>3458 (733)</w:t>
            </w:r>
          </w:p>
        </w:tc>
        <w:tc>
          <w:tcPr>
            <w:tcW w:type="dxa" w:w="3096"/>
            <w:vAlign w:val="center"/>
          </w:tcPr>
          <w:p>
            <w:pPr>
              <w:spacing w:before="0" w:after="0" w:line="240" w:lineRule="auto"/>
              <w:jc w:val="center"/>
            </w:pPr>
            <w:r>
              <w:rPr>
                <w:sz w:val="16"/>
              </w:rPr>
              <w:t>Persistent-pattern vs no early AKI</w:t>
            </w:r>
          </w:p>
        </w:tc>
        <w:tc>
          <w:tcPr>
            <w:tcW w:type="dxa" w:w="2592"/>
            <w:vAlign w:val="center"/>
          </w:tcPr>
          <w:p>
            <w:pPr>
              <w:spacing w:before="0" w:after="0" w:line="240" w:lineRule="auto"/>
              <w:jc w:val="center"/>
            </w:pPr>
            <w:r>
              <w:rPr>
                <w:sz w:val="16"/>
              </w:rPr>
              <w:t>1.61 (1.21-2.12)</w:t>
            </w:r>
          </w:p>
        </w:tc>
        <w:tc>
          <w:tcPr>
            <w:tcW w:type="dxa" w:w="1296"/>
            <w:vAlign w:val="center"/>
          </w:tcPr>
          <w:p>
            <w:pPr>
              <w:spacing w:before="0" w:after="0" w:line="240" w:lineRule="auto"/>
              <w:jc w:val="center"/>
            </w:pPr>
            <w:r>
              <w:rPr>
                <w:sz w:val="16"/>
              </w:rPr>
              <w:t>&lt;0.001</w:t>
            </w:r>
          </w:p>
        </w:tc>
      </w:tr>
      <w:tr>
        <w:trPr>
          <w:cantSplit/>
          <w:cantSplit/>
        </w:trPr>
        <w:tc>
          <w:tcPr>
            <w:tcW w:type="dxa" w:w="1080"/>
            <w:vAlign w:val="center"/>
          </w:tcPr>
          <w:p>
            <w:pPr>
              <w:spacing w:before="0" w:after="0" w:line="240" w:lineRule="auto"/>
              <w:jc w:val="left"/>
            </w:pPr>
            <w:r>
              <w:rPr>
                <w:sz w:val="16"/>
              </w:rPr>
              <w:t>28 d</w:t>
            </w:r>
          </w:p>
        </w:tc>
        <w:tc>
          <w:tcPr>
            <w:tcW w:type="dxa" w:w="4320"/>
            <w:vAlign w:val="center"/>
          </w:tcPr>
          <w:p>
            <w:pPr>
              <w:spacing w:before="0" w:after="0" w:line="240" w:lineRule="auto"/>
              <w:jc w:val="center"/>
            </w:pPr>
            <w:r>
              <w:rPr>
                <w:sz w:val="16"/>
              </w:rPr>
              <w:t>Expanded model; continuous LVEF</w:t>
            </w:r>
          </w:p>
        </w:tc>
        <w:tc>
          <w:tcPr>
            <w:tcW w:type="dxa" w:w="1440"/>
            <w:vAlign w:val="center"/>
          </w:tcPr>
          <w:p>
            <w:pPr>
              <w:spacing w:before="0" w:after="0" w:line="240" w:lineRule="auto"/>
              <w:jc w:val="center"/>
            </w:pPr>
            <w:r>
              <w:rPr>
                <w:sz w:val="16"/>
              </w:rPr>
              <w:t>2674 (575)</w:t>
            </w:r>
          </w:p>
        </w:tc>
        <w:tc>
          <w:tcPr>
            <w:tcW w:type="dxa" w:w="3096"/>
            <w:vAlign w:val="center"/>
          </w:tcPr>
          <w:p>
            <w:pPr>
              <w:spacing w:before="0" w:after="0" w:line="240" w:lineRule="auto"/>
              <w:jc w:val="center"/>
            </w:pPr>
            <w:r>
              <w:rPr>
                <w:sz w:val="16"/>
              </w:rPr>
              <w:t>Transient vs no early AKI</w:t>
            </w:r>
          </w:p>
        </w:tc>
        <w:tc>
          <w:tcPr>
            <w:tcW w:type="dxa" w:w="2592"/>
            <w:vAlign w:val="center"/>
          </w:tcPr>
          <w:p>
            <w:pPr>
              <w:spacing w:before="0" w:after="0" w:line="240" w:lineRule="auto"/>
              <w:jc w:val="center"/>
            </w:pPr>
            <w:r>
              <w:rPr>
                <w:sz w:val="16"/>
              </w:rPr>
              <w:t>0.99 (0.68-1.45)</w:t>
            </w:r>
          </w:p>
        </w:tc>
        <w:tc>
          <w:tcPr>
            <w:tcW w:type="dxa" w:w="1296"/>
            <w:vAlign w:val="center"/>
          </w:tcPr>
          <w:p>
            <w:pPr>
              <w:spacing w:before="0" w:after="0" w:line="240" w:lineRule="auto"/>
              <w:jc w:val="center"/>
            </w:pPr>
            <w:r>
              <w:rPr>
                <w:sz w:val="16"/>
              </w:rPr>
              <w:t>0.962</w:t>
            </w:r>
          </w:p>
        </w:tc>
      </w:tr>
      <w:tr>
        <w:trPr>
          <w:cantSplit/>
          <w:cantSplit/>
        </w:trPr>
        <w:tc>
          <w:tcPr>
            <w:tcW w:type="dxa" w:w="1080"/>
            <w:vAlign w:val="center"/>
          </w:tcPr>
          <w:p>
            <w:pPr>
              <w:spacing w:before="0" w:after="0" w:line="240" w:lineRule="auto"/>
              <w:jc w:val="left"/>
            </w:pPr>
            <w:r>
              <w:rPr>
                <w:sz w:val="16"/>
              </w:rPr>
              <w:t>28 d</w:t>
            </w:r>
          </w:p>
        </w:tc>
        <w:tc>
          <w:tcPr>
            <w:tcW w:type="dxa" w:w="4320"/>
            <w:vAlign w:val="center"/>
          </w:tcPr>
          <w:p>
            <w:pPr>
              <w:spacing w:before="0" w:after="0" w:line="240" w:lineRule="auto"/>
              <w:jc w:val="center"/>
            </w:pPr>
            <w:r>
              <w:rPr>
                <w:sz w:val="16"/>
              </w:rPr>
              <w:t>Expanded model; continuous LVEF</w:t>
            </w:r>
          </w:p>
        </w:tc>
        <w:tc>
          <w:tcPr>
            <w:tcW w:type="dxa" w:w="1440"/>
            <w:vAlign w:val="center"/>
          </w:tcPr>
          <w:p>
            <w:pPr>
              <w:spacing w:before="0" w:after="0" w:line="240" w:lineRule="auto"/>
              <w:jc w:val="center"/>
            </w:pPr>
            <w:r>
              <w:rPr>
                <w:sz w:val="16"/>
              </w:rPr>
              <w:t>2674 (575)</w:t>
            </w:r>
          </w:p>
        </w:tc>
        <w:tc>
          <w:tcPr>
            <w:tcW w:type="dxa" w:w="3096"/>
            <w:vAlign w:val="center"/>
          </w:tcPr>
          <w:p>
            <w:pPr>
              <w:spacing w:before="0" w:after="0" w:line="240" w:lineRule="auto"/>
              <w:jc w:val="center"/>
            </w:pPr>
            <w:r>
              <w:rPr>
                <w:sz w:val="16"/>
              </w:rPr>
              <w:t>Persistent-pattern vs no early AKI</w:t>
            </w:r>
          </w:p>
        </w:tc>
        <w:tc>
          <w:tcPr>
            <w:tcW w:type="dxa" w:w="2592"/>
            <w:vAlign w:val="center"/>
          </w:tcPr>
          <w:p>
            <w:pPr>
              <w:spacing w:before="0" w:after="0" w:line="240" w:lineRule="auto"/>
              <w:jc w:val="center"/>
            </w:pPr>
            <w:r>
              <w:rPr>
                <w:sz w:val="16"/>
              </w:rPr>
              <w:t>1.68 (1.19-2.35)</w:t>
            </w:r>
          </w:p>
        </w:tc>
        <w:tc>
          <w:tcPr>
            <w:tcW w:type="dxa" w:w="1296"/>
            <w:vAlign w:val="center"/>
          </w:tcPr>
          <w:p>
            <w:pPr>
              <w:spacing w:before="0" w:after="0" w:line="240" w:lineRule="auto"/>
              <w:jc w:val="center"/>
            </w:pPr>
            <w:r>
              <w:rPr>
                <w:sz w:val="16"/>
              </w:rPr>
              <w:t>0.003</w:t>
            </w:r>
          </w:p>
        </w:tc>
      </w:tr>
      <w:tr>
        <w:trPr>
          <w:cantSplit/>
          <w:cantSplit/>
        </w:trPr>
        <w:tc>
          <w:tcPr>
            <w:tcW w:type="dxa" w:w="1080"/>
            <w:vAlign w:val="center"/>
          </w:tcPr>
          <w:p>
            <w:pPr>
              <w:spacing w:before="0" w:after="0" w:line="240" w:lineRule="auto"/>
              <w:jc w:val="left"/>
            </w:pPr>
            <w:r>
              <w:rPr>
                <w:sz w:val="16"/>
              </w:rPr>
              <w:t>1 y</w:t>
            </w:r>
          </w:p>
        </w:tc>
        <w:tc>
          <w:tcPr>
            <w:tcW w:type="dxa" w:w="4320"/>
            <w:vAlign w:val="center"/>
          </w:tcPr>
          <w:p>
            <w:pPr>
              <w:spacing w:before="0" w:after="0" w:line="240" w:lineRule="auto"/>
              <w:jc w:val="center"/>
            </w:pPr>
            <w:r>
              <w:rPr>
                <w:sz w:val="16"/>
              </w:rPr>
              <w:t>Original covariates; full cohort</w:t>
            </w:r>
          </w:p>
        </w:tc>
        <w:tc>
          <w:tcPr>
            <w:tcW w:type="dxa" w:w="1440"/>
            <w:vAlign w:val="center"/>
          </w:tcPr>
          <w:p>
            <w:pPr>
              <w:spacing w:before="0" w:after="0" w:line="240" w:lineRule="auto"/>
              <w:jc w:val="center"/>
            </w:pPr>
            <w:r>
              <w:rPr>
                <w:sz w:val="16"/>
              </w:rPr>
              <w:t>3458 (1292)</w:t>
            </w:r>
          </w:p>
        </w:tc>
        <w:tc>
          <w:tcPr>
            <w:tcW w:type="dxa" w:w="3096"/>
            <w:vAlign w:val="center"/>
          </w:tcPr>
          <w:p>
            <w:pPr>
              <w:spacing w:before="0" w:after="0" w:line="240" w:lineRule="auto"/>
              <w:jc w:val="center"/>
            </w:pPr>
            <w:r>
              <w:rPr>
                <w:sz w:val="16"/>
              </w:rPr>
              <w:t>Transient vs no early AKI</w:t>
            </w:r>
          </w:p>
        </w:tc>
        <w:tc>
          <w:tcPr>
            <w:tcW w:type="dxa" w:w="2592"/>
            <w:vAlign w:val="center"/>
          </w:tcPr>
          <w:p>
            <w:pPr>
              <w:spacing w:before="0" w:after="0" w:line="240" w:lineRule="auto"/>
              <w:jc w:val="center"/>
            </w:pPr>
            <w:r>
              <w:rPr>
                <w:sz w:val="16"/>
              </w:rPr>
              <w:t>0.97 (0.78-1.20)</w:t>
            </w:r>
          </w:p>
        </w:tc>
        <w:tc>
          <w:tcPr>
            <w:tcW w:type="dxa" w:w="1296"/>
            <w:vAlign w:val="center"/>
          </w:tcPr>
          <w:p>
            <w:pPr>
              <w:spacing w:before="0" w:after="0" w:line="240" w:lineRule="auto"/>
              <w:jc w:val="center"/>
            </w:pPr>
            <w:r>
              <w:rPr>
                <w:sz w:val="16"/>
              </w:rPr>
              <w:t>0.760</w:t>
            </w:r>
          </w:p>
        </w:tc>
      </w:tr>
      <w:tr>
        <w:trPr>
          <w:cantSplit/>
          <w:cantSplit/>
        </w:trPr>
        <w:tc>
          <w:tcPr>
            <w:tcW w:type="dxa" w:w="1080"/>
            <w:vAlign w:val="center"/>
          </w:tcPr>
          <w:p>
            <w:pPr>
              <w:spacing w:before="0" w:after="0" w:line="240" w:lineRule="auto"/>
              <w:jc w:val="left"/>
            </w:pPr>
            <w:r>
              <w:rPr>
                <w:sz w:val="16"/>
              </w:rPr>
              <w:t>1 y</w:t>
            </w:r>
          </w:p>
        </w:tc>
        <w:tc>
          <w:tcPr>
            <w:tcW w:type="dxa" w:w="4320"/>
            <w:vAlign w:val="center"/>
          </w:tcPr>
          <w:p>
            <w:pPr>
              <w:spacing w:before="0" w:after="0" w:line="240" w:lineRule="auto"/>
              <w:jc w:val="center"/>
            </w:pPr>
            <w:r>
              <w:rPr>
                <w:sz w:val="16"/>
              </w:rPr>
              <w:t>Original covariates; full cohort</w:t>
            </w:r>
          </w:p>
        </w:tc>
        <w:tc>
          <w:tcPr>
            <w:tcW w:type="dxa" w:w="1440"/>
            <w:vAlign w:val="center"/>
          </w:tcPr>
          <w:p>
            <w:pPr>
              <w:spacing w:before="0" w:after="0" w:line="240" w:lineRule="auto"/>
              <w:jc w:val="center"/>
            </w:pPr>
            <w:r>
              <w:rPr>
                <w:sz w:val="16"/>
              </w:rPr>
              <w:t>3458 (1292)</w:t>
            </w:r>
          </w:p>
        </w:tc>
        <w:tc>
          <w:tcPr>
            <w:tcW w:type="dxa" w:w="3096"/>
            <w:vAlign w:val="center"/>
          </w:tcPr>
          <w:p>
            <w:pPr>
              <w:spacing w:before="0" w:after="0" w:line="240" w:lineRule="auto"/>
              <w:jc w:val="center"/>
            </w:pPr>
            <w:r>
              <w:rPr>
                <w:sz w:val="16"/>
              </w:rPr>
              <w:t>Persistent-pattern vs no early AKI</w:t>
            </w:r>
          </w:p>
        </w:tc>
        <w:tc>
          <w:tcPr>
            <w:tcW w:type="dxa" w:w="2592"/>
            <w:vAlign w:val="center"/>
          </w:tcPr>
          <w:p>
            <w:pPr>
              <w:spacing w:before="0" w:after="0" w:line="240" w:lineRule="auto"/>
              <w:jc w:val="center"/>
            </w:pPr>
            <w:r>
              <w:rPr>
                <w:sz w:val="16"/>
              </w:rPr>
              <w:t>1.33 (1.09-1.61)</w:t>
            </w:r>
          </w:p>
        </w:tc>
        <w:tc>
          <w:tcPr>
            <w:tcW w:type="dxa" w:w="1296"/>
            <w:vAlign w:val="center"/>
          </w:tcPr>
          <w:p>
            <w:pPr>
              <w:spacing w:before="0" w:after="0" w:line="240" w:lineRule="auto"/>
              <w:jc w:val="center"/>
            </w:pPr>
            <w:r>
              <w:rPr>
                <w:sz w:val="16"/>
              </w:rPr>
              <w:t>0.004</w:t>
            </w:r>
          </w:p>
        </w:tc>
      </w:tr>
      <w:tr>
        <w:trPr>
          <w:cantSplit/>
          <w:cantSplit/>
        </w:trPr>
        <w:tc>
          <w:tcPr>
            <w:tcW w:type="dxa" w:w="1080"/>
            <w:vAlign w:val="center"/>
          </w:tcPr>
          <w:p>
            <w:pPr>
              <w:spacing w:before="0" w:after="0" w:line="240" w:lineRule="auto"/>
              <w:jc w:val="left"/>
            </w:pPr>
            <w:r>
              <w:rPr>
                <w:sz w:val="16"/>
              </w:rPr>
              <w:t>1 y</w:t>
            </w:r>
          </w:p>
        </w:tc>
        <w:tc>
          <w:tcPr>
            <w:tcW w:type="dxa" w:w="4320"/>
            <w:vAlign w:val="center"/>
          </w:tcPr>
          <w:p>
            <w:pPr>
              <w:spacing w:before="0" w:after="0" w:line="240" w:lineRule="auto"/>
              <w:jc w:val="center"/>
            </w:pPr>
            <w:r>
              <w:rPr>
                <w:sz w:val="16"/>
              </w:rPr>
              <w:t>Original covariates; common LVEF set</w:t>
            </w:r>
          </w:p>
        </w:tc>
        <w:tc>
          <w:tcPr>
            <w:tcW w:type="dxa" w:w="1440"/>
            <w:vAlign w:val="center"/>
          </w:tcPr>
          <w:p>
            <w:pPr>
              <w:spacing w:before="0" w:after="0" w:line="240" w:lineRule="auto"/>
              <w:jc w:val="center"/>
            </w:pPr>
            <w:r>
              <w:rPr>
                <w:sz w:val="16"/>
              </w:rPr>
              <w:t>2496 (919)</w:t>
            </w:r>
          </w:p>
        </w:tc>
        <w:tc>
          <w:tcPr>
            <w:tcW w:type="dxa" w:w="3096"/>
            <w:vAlign w:val="center"/>
          </w:tcPr>
          <w:p>
            <w:pPr>
              <w:spacing w:before="0" w:after="0" w:line="240" w:lineRule="auto"/>
              <w:jc w:val="center"/>
            </w:pPr>
            <w:r>
              <w:rPr>
                <w:sz w:val="16"/>
              </w:rPr>
              <w:t>Transient vs no early AKI</w:t>
            </w:r>
          </w:p>
        </w:tc>
        <w:tc>
          <w:tcPr>
            <w:tcW w:type="dxa" w:w="2592"/>
            <w:vAlign w:val="center"/>
          </w:tcPr>
          <w:p>
            <w:pPr>
              <w:spacing w:before="0" w:after="0" w:line="240" w:lineRule="auto"/>
              <w:jc w:val="center"/>
            </w:pPr>
            <w:r>
              <w:rPr>
                <w:sz w:val="16"/>
              </w:rPr>
              <w:t>1.01 (0.76-1.33)</w:t>
            </w:r>
          </w:p>
        </w:tc>
        <w:tc>
          <w:tcPr>
            <w:tcW w:type="dxa" w:w="1296"/>
            <w:vAlign w:val="center"/>
          </w:tcPr>
          <w:p>
            <w:pPr>
              <w:spacing w:before="0" w:after="0" w:line="240" w:lineRule="auto"/>
              <w:jc w:val="center"/>
            </w:pPr>
            <w:r>
              <w:rPr>
                <w:sz w:val="16"/>
              </w:rPr>
              <w:t>0.963</w:t>
            </w:r>
          </w:p>
        </w:tc>
      </w:tr>
      <w:tr>
        <w:trPr>
          <w:cantSplit/>
          <w:cantSplit/>
        </w:trPr>
        <w:tc>
          <w:tcPr>
            <w:tcW w:type="dxa" w:w="1080"/>
            <w:vAlign w:val="center"/>
          </w:tcPr>
          <w:p>
            <w:pPr>
              <w:spacing w:before="0" w:after="0" w:line="240" w:lineRule="auto"/>
              <w:jc w:val="left"/>
            </w:pPr>
            <w:r>
              <w:rPr>
                <w:sz w:val="16"/>
              </w:rPr>
              <w:t>1 y</w:t>
            </w:r>
          </w:p>
        </w:tc>
        <w:tc>
          <w:tcPr>
            <w:tcW w:type="dxa" w:w="4320"/>
            <w:vAlign w:val="center"/>
          </w:tcPr>
          <w:p>
            <w:pPr>
              <w:spacing w:before="0" w:after="0" w:line="240" w:lineRule="auto"/>
              <w:jc w:val="center"/>
            </w:pPr>
            <w:r>
              <w:rPr>
                <w:sz w:val="16"/>
              </w:rPr>
              <w:t>Original covariates; common LVEF set</w:t>
            </w:r>
          </w:p>
        </w:tc>
        <w:tc>
          <w:tcPr>
            <w:tcW w:type="dxa" w:w="1440"/>
            <w:vAlign w:val="center"/>
          </w:tcPr>
          <w:p>
            <w:pPr>
              <w:spacing w:before="0" w:after="0" w:line="240" w:lineRule="auto"/>
              <w:jc w:val="center"/>
            </w:pPr>
            <w:r>
              <w:rPr>
                <w:sz w:val="16"/>
              </w:rPr>
              <w:t>2496 (919)</w:t>
            </w:r>
          </w:p>
        </w:tc>
        <w:tc>
          <w:tcPr>
            <w:tcW w:type="dxa" w:w="3096"/>
            <w:vAlign w:val="center"/>
          </w:tcPr>
          <w:p>
            <w:pPr>
              <w:spacing w:before="0" w:after="0" w:line="240" w:lineRule="auto"/>
              <w:jc w:val="center"/>
            </w:pPr>
            <w:r>
              <w:rPr>
                <w:sz w:val="16"/>
              </w:rPr>
              <w:t>Persistent-pattern vs no early AKI</w:t>
            </w:r>
          </w:p>
        </w:tc>
        <w:tc>
          <w:tcPr>
            <w:tcW w:type="dxa" w:w="2592"/>
            <w:vAlign w:val="center"/>
          </w:tcPr>
          <w:p>
            <w:pPr>
              <w:spacing w:before="0" w:after="0" w:line="240" w:lineRule="auto"/>
              <w:jc w:val="center"/>
            </w:pPr>
            <w:r>
              <w:rPr>
                <w:sz w:val="16"/>
              </w:rPr>
              <w:t>1.44 (1.12-1.85)</w:t>
            </w:r>
          </w:p>
        </w:tc>
        <w:tc>
          <w:tcPr>
            <w:tcW w:type="dxa" w:w="1296"/>
            <w:vAlign w:val="center"/>
          </w:tcPr>
          <w:p>
            <w:pPr>
              <w:spacing w:before="0" w:after="0" w:line="240" w:lineRule="auto"/>
              <w:jc w:val="center"/>
            </w:pPr>
            <w:r>
              <w:rPr>
                <w:sz w:val="16"/>
              </w:rPr>
              <w:t>0.004</w:t>
            </w:r>
          </w:p>
        </w:tc>
      </w:tr>
      <w:tr>
        <w:trPr>
          <w:cantSplit/>
          <w:cantSplit/>
        </w:trPr>
        <w:tc>
          <w:tcPr>
            <w:tcW w:type="dxa" w:w="1080"/>
            <w:vAlign w:val="center"/>
          </w:tcPr>
          <w:p>
            <w:pPr>
              <w:spacing w:before="0" w:after="0" w:line="240" w:lineRule="auto"/>
              <w:jc w:val="left"/>
            </w:pPr>
            <w:r>
              <w:rPr>
                <w:sz w:val="16"/>
              </w:rPr>
              <w:t>1 y</w:t>
            </w:r>
          </w:p>
        </w:tc>
        <w:tc>
          <w:tcPr>
            <w:tcW w:type="dxa" w:w="4320"/>
            <w:vAlign w:val="center"/>
          </w:tcPr>
          <w:p>
            <w:pPr>
              <w:spacing w:before="0" w:after="0" w:line="240" w:lineRule="auto"/>
              <w:jc w:val="center"/>
            </w:pPr>
            <w:r>
              <w:rPr>
                <w:sz w:val="16"/>
              </w:rPr>
              <w:t>+ categorical LVEF</w:t>
            </w:r>
          </w:p>
        </w:tc>
        <w:tc>
          <w:tcPr>
            <w:tcW w:type="dxa" w:w="1440"/>
            <w:vAlign w:val="center"/>
          </w:tcPr>
          <w:p>
            <w:pPr>
              <w:spacing w:before="0" w:after="0" w:line="240" w:lineRule="auto"/>
              <w:jc w:val="center"/>
            </w:pPr>
            <w:r>
              <w:rPr>
                <w:sz w:val="16"/>
              </w:rPr>
              <w:t>2496 (919)</w:t>
            </w:r>
          </w:p>
        </w:tc>
        <w:tc>
          <w:tcPr>
            <w:tcW w:type="dxa" w:w="3096"/>
            <w:vAlign w:val="center"/>
          </w:tcPr>
          <w:p>
            <w:pPr>
              <w:spacing w:before="0" w:after="0" w:line="240" w:lineRule="auto"/>
              <w:jc w:val="center"/>
            </w:pPr>
            <w:r>
              <w:rPr>
                <w:sz w:val="16"/>
              </w:rPr>
              <w:t>Transient vs no early AKI</w:t>
            </w:r>
          </w:p>
        </w:tc>
        <w:tc>
          <w:tcPr>
            <w:tcW w:type="dxa" w:w="2592"/>
            <w:vAlign w:val="center"/>
          </w:tcPr>
          <w:p>
            <w:pPr>
              <w:spacing w:before="0" w:after="0" w:line="240" w:lineRule="auto"/>
              <w:jc w:val="center"/>
            </w:pPr>
            <w:r>
              <w:rPr>
                <w:sz w:val="16"/>
              </w:rPr>
              <w:t>1.00 (0.76-1.32)</w:t>
            </w:r>
          </w:p>
        </w:tc>
        <w:tc>
          <w:tcPr>
            <w:tcW w:type="dxa" w:w="1296"/>
            <w:vAlign w:val="center"/>
          </w:tcPr>
          <w:p>
            <w:pPr>
              <w:spacing w:before="0" w:after="0" w:line="240" w:lineRule="auto"/>
              <w:jc w:val="center"/>
            </w:pPr>
            <w:r>
              <w:rPr>
                <w:sz w:val="16"/>
              </w:rPr>
              <w:t>0.984</w:t>
            </w:r>
          </w:p>
        </w:tc>
      </w:tr>
      <w:tr>
        <w:trPr>
          <w:cantSplit/>
          <w:cantSplit/>
        </w:trPr>
        <w:tc>
          <w:tcPr>
            <w:tcW w:type="dxa" w:w="1080"/>
            <w:vAlign w:val="center"/>
          </w:tcPr>
          <w:p>
            <w:pPr>
              <w:spacing w:before="0" w:after="0" w:line="240" w:lineRule="auto"/>
              <w:jc w:val="left"/>
            </w:pPr>
            <w:r>
              <w:rPr>
                <w:sz w:val="16"/>
              </w:rPr>
              <w:t>1 y</w:t>
            </w:r>
          </w:p>
        </w:tc>
        <w:tc>
          <w:tcPr>
            <w:tcW w:type="dxa" w:w="4320"/>
            <w:vAlign w:val="center"/>
          </w:tcPr>
          <w:p>
            <w:pPr>
              <w:spacing w:before="0" w:after="0" w:line="240" w:lineRule="auto"/>
              <w:jc w:val="center"/>
            </w:pPr>
            <w:r>
              <w:rPr>
                <w:sz w:val="16"/>
              </w:rPr>
              <w:t>+ categorical LVEF</w:t>
            </w:r>
          </w:p>
        </w:tc>
        <w:tc>
          <w:tcPr>
            <w:tcW w:type="dxa" w:w="1440"/>
            <w:vAlign w:val="center"/>
          </w:tcPr>
          <w:p>
            <w:pPr>
              <w:spacing w:before="0" w:after="0" w:line="240" w:lineRule="auto"/>
              <w:jc w:val="center"/>
            </w:pPr>
            <w:r>
              <w:rPr>
                <w:sz w:val="16"/>
              </w:rPr>
              <w:t>2496 (919)</w:t>
            </w:r>
          </w:p>
        </w:tc>
        <w:tc>
          <w:tcPr>
            <w:tcW w:type="dxa" w:w="3096"/>
            <w:vAlign w:val="center"/>
          </w:tcPr>
          <w:p>
            <w:pPr>
              <w:spacing w:before="0" w:after="0" w:line="240" w:lineRule="auto"/>
              <w:jc w:val="center"/>
            </w:pPr>
            <w:r>
              <w:rPr>
                <w:sz w:val="16"/>
              </w:rPr>
              <w:t>Persistent-pattern vs no early AKI</w:t>
            </w:r>
          </w:p>
        </w:tc>
        <w:tc>
          <w:tcPr>
            <w:tcW w:type="dxa" w:w="2592"/>
            <w:vAlign w:val="center"/>
          </w:tcPr>
          <w:p>
            <w:pPr>
              <w:spacing w:before="0" w:after="0" w:line="240" w:lineRule="auto"/>
              <w:jc w:val="center"/>
            </w:pPr>
            <w:r>
              <w:rPr>
                <w:sz w:val="16"/>
              </w:rPr>
              <w:t>1.43 (1.11-1.83)</w:t>
            </w:r>
          </w:p>
        </w:tc>
        <w:tc>
          <w:tcPr>
            <w:tcW w:type="dxa" w:w="1296"/>
            <w:vAlign w:val="center"/>
          </w:tcPr>
          <w:p>
            <w:pPr>
              <w:spacing w:before="0" w:after="0" w:line="240" w:lineRule="auto"/>
              <w:jc w:val="center"/>
            </w:pPr>
            <w:r>
              <w:rPr>
                <w:sz w:val="16"/>
              </w:rPr>
              <w:t>0.005</w:t>
            </w:r>
          </w:p>
        </w:tc>
      </w:tr>
      <w:tr>
        <w:trPr>
          <w:cantSplit/>
          <w:cantSplit/>
        </w:trPr>
        <w:tc>
          <w:tcPr>
            <w:tcW w:type="dxa" w:w="1080"/>
            <w:vAlign w:val="center"/>
          </w:tcPr>
          <w:p>
            <w:pPr>
              <w:spacing w:before="0" w:after="0" w:line="240" w:lineRule="auto"/>
              <w:jc w:val="left"/>
            </w:pPr>
            <w:r>
              <w:rPr>
                <w:sz w:val="16"/>
              </w:rPr>
              <w:t>1 y</w:t>
            </w:r>
          </w:p>
        </w:tc>
        <w:tc>
          <w:tcPr>
            <w:tcW w:type="dxa" w:w="4320"/>
            <w:vAlign w:val="center"/>
          </w:tcPr>
          <w:p>
            <w:pPr>
              <w:spacing w:before="0" w:after="0" w:line="240" w:lineRule="auto"/>
              <w:jc w:val="center"/>
            </w:pPr>
            <w:r>
              <w:rPr>
                <w:sz w:val="16"/>
              </w:rPr>
              <w:t>+ AMI variables, possible-by-landmark</w:t>
            </w:r>
          </w:p>
        </w:tc>
        <w:tc>
          <w:tcPr>
            <w:tcW w:type="dxa" w:w="1440"/>
            <w:vAlign w:val="center"/>
          </w:tcPr>
          <w:p>
            <w:pPr>
              <w:spacing w:before="0" w:after="0" w:line="240" w:lineRule="auto"/>
              <w:jc w:val="center"/>
            </w:pPr>
            <w:r>
              <w:rPr>
                <w:sz w:val="16"/>
              </w:rPr>
              <w:t>2496 (919)</w:t>
            </w:r>
          </w:p>
        </w:tc>
        <w:tc>
          <w:tcPr>
            <w:tcW w:type="dxa" w:w="3096"/>
            <w:vAlign w:val="center"/>
          </w:tcPr>
          <w:p>
            <w:pPr>
              <w:spacing w:before="0" w:after="0" w:line="240" w:lineRule="auto"/>
              <w:jc w:val="center"/>
            </w:pPr>
            <w:r>
              <w:rPr>
                <w:sz w:val="16"/>
              </w:rPr>
              <w:t>Transient vs no early AKI</w:t>
            </w:r>
          </w:p>
        </w:tc>
        <w:tc>
          <w:tcPr>
            <w:tcW w:type="dxa" w:w="2592"/>
            <w:vAlign w:val="center"/>
          </w:tcPr>
          <w:p>
            <w:pPr>
              <w:spacing w:before="0" w:after="0" w:line="240" w:lineRule="auto"/>
              <w:jc w:val="center"/>
            </w:pPr>
            <w:r>
              <w:rPr>
                <w:sz w:val="16"/>
              </w:rPr>
              <w:t>1.08 (0.82-1.42)</w:t>
            </w:r>
          </w:p>
        </w:tc>
        <w:tc>
          <w:tcPr>
            <w:tcW w:type="dxa" w:w="1296"/>
            <w:vAlign w:val="center"/>
          </w:tcPr>
          <w:p>
            <w:pPr>
              <w:spacing w:before="0" w:after="0" w:line="240" w:lineRule="auto"/>
              <w:jc w:val="center"/>
            </w:pPr>
            <w:r>
              <w:rPr>
                <w:sz w:val="16"/>
              </w:rPr>
              <w:t>0.596</w:t>
            </w:r>
          </w:p>
        </w:tc>
      </w:tr>
      <w:tr>
        <w:trPr>
          <w:cantSplit/>
          <w:cantSplit/>
        </w:trPr>
        <w:tc>
          <w:tcPr>
            <w:tcW w:type="dxa" w:w="1080"/>
            <w:vAlign w:val="center"/>
          </w:tcPr>
          <w:p>
            <w:pPr>
              <w:spacing w:before="0" w:after="0" w:line="240" w:lineRule="auto"/>
              <w:jc w:val="left"/>
            </w:pPr>
            <w:r>
              <w:rPr>
                <w:sz w:val="16"/>
              </w:rPr>
              <w:t>1 y</w:t>
            </w:r>
          </w:p>
        </w:tc>
        <w:tc>
          <w:tcPr>
            <w:tcW w:type="dxa" w:w="4320"/>
            <w:vAlign w:val="center"/>
          </w:tcPr>
          <w:p>
            <w:pPr>
              <w:spacing w:before="0" w:after="0" w:line="240" w:lineRule="auto"/>
              <w:jc w:val="center"/>
            </w:pPr>
            <w:r>
              <w:rPr>
                <w:sz w:val="16"/>
              </w:rPr>
              <w:t>+ AMI variables, possible-by-landmark</w:t>
            </w:r>
          </w:p>
        </w:tc>
        <w:tc>
          <w:tcPr>
            <w:tcW w:type="dxa" w:w="1440"/>
            <w:vAlign w:val="center"/>
          </w:tcPr>
          <w:p>
            <w:pPr>
              <w:spacing w:before="0" w:after="0" w:line="240" w:lineRule="auto"/>
              <w:jc w:val="center"/>
            </w:pPr>
            <w:r>
              <w:rPr>
                <w:sz w:val="16"/>
              </w:rPr>
              <w:t>2496 (919)</w:t>
            </w:r>
          </w:p>
        </w:tc>
        <w:tc>
          <w:tcPr>
            <w:tcW w:type="dxa" w:w="3096"/>
            <w:vAlign w:val="center"/>
          </w:tcPr>
          <w:p>
            <w:pPr>
              <w:spacing w:before="0" w:after="0" w:line="240" w:lineRule="auto"/>
              <w:jc w:val="center"/>
            </w:pPr>
            <w:r>
              <w:rPr>
                <w:sz w:val="16"/>
              </w:rPr>
              <w:t>Persistent-pattern vs no early AKI</w:t>
            </w:r>
          </w:p>
        </w:tc>
        <w:tc>
          <w:tcPr>
            <w:tcW w:type="dxa" w:w="2592"/>
            <w:vAlign w:val="center"/>
          </w:tcPr>
          <w:p>
            <w:pPr>
              <w:spacing w:before="0" w:after="0" w:line="240" w:lineRule="auto"/>
              <w:jc w:val="center"/>
            </w:pPr>
            <w:r>
              <w:rPr>
                <w:sz w:val="16"/>
              </w:rPr>
              <w:t>1.53 (1.19-1.96)</w:t>
            </w:r>
          </w:p>
        </w:tc>
        <w:tc>
          <w:tcPr>
            <w:tcW w:type="dxa" w:w="1296"/>
            <w:vAlign w:val="center"/>
          </w:tcPr>
          <w:p>
            <w:pPr>
              <w:spacing w:before="0" w:after="0" w:line="240" w:lineRule="auto"/>
              <w:jc w:val="center"/>
            </w:pPr>
            <w:r>
              <w:rPr>
                <w:sz w:val="16"/>
              </w:rPr>
              <w:t>&lt;0.001</w:t>
            </w:r>
          </w:p>
        </w:tc>
      </w:tr>
      <w:tr>
        <w:trPr>
          <w:cantSplit/>
          <w:cantSplit/>
        </w:trPr>
        <w:tc>
          <w:tcPr>
            <w:tcW w:type="dxa" w:w="1080"/>
            <w:vAlign w:val="center"/>
          </w:tcPr>
          <w:p>
            <w:pPr>
              <w:spacing w:before="0" w:after="0" w:line="240" w:lineRule="auto"/>
              <w:jc w:val="left"/>
            </w:pPr>
            <w:r>
              <w:rPr>
                <w:sz w:val="16"/>
              </w:rPr>
              <w:t>1 y</w:t>
            </w:r>
          </w:p>
        </w:tc>
        <w:tc>
          <w:tcPr>
            <w:tcW w:type="dxa" w:w="4320"/>
            <w:vAlign w:val="center"/>
          </w:tcPr>
          <w:p>
            <w:pPr>
              <w:spacing w:before="0" w:after="0" w:line="240" w:lineRule="auto"/>
              <w:jc w:val="center"/>
            </w:pPr>
            <w:r>
              <w:rPr>
                <w:sz w:val="16"/>
              </w:rPr>
              <w:t>+ AMI variables, strict-date</w:t>
            </w:r>
          </w:p>
        </w:tc>
        <w:tc>
          <w:tcPr>
            <w:tcW w:type="dxa" w:w="1440"/>
            <w:vAlign w:val="center"/>
          </w:tcPr>
          <w:p>
            <w:pPr>
              <w:spacing w:before="0" w:after="0" w:line="240" w:lineRule="auto"/>
              <w:jc w:val="center"/>
            </w:pPr>
            <w:r>
              <w:rPr>
                <w:sz w:val="16"/>
              </w:rPr>
              <w:t>2496 (919)</w:t>
            </w:r>
          </w:p>
        </w:tc>
        <w:tc>
          <w:tcPr>
            <w:tcW w:type="dxa" w:w="3096"/>
            <w:vAlign w:val="center"/>
          </w:tcPr>
          <w:p>
            <w:pPr>
              <w:spacing w:before="0" w:after="0" w:line="240" w:lineRule="auto"/>
              <w:jc w:val="center"/>
            </w:pPr>
            <w:r>
              <w:rPr>
                <w:sz w:val="16"/>
              </w:rPr>
              <w:t>Transient vs no early AKI</w:t>
            </w:r>
          </w:p>
        </w:tc>
        <w:tc>
          <w:tcPr>
            <w:tcW w:type="dxa" w:w="2592"/>
            <w:vAlign w:val="center"/>
          </w:tcPr>
          <w:p>
            <w:pPr>
              <w:spacing w:before="0" w:after="0" w:line="240" w:lineRule="auto"/>
              <w:jc w:val="center"/>
            </w:pPr>
            <w:r>
              <w:rPr>
                <w:sz w:val="16"/>
              </w:rPr>
              <w:t>1.08 (0.82-1.43)</w:t>
            </w:r>
          </w:p>
        </w:tc>
        <w:tc>
          <w:tcPr>
            <w:tcW w:type="dxa" w:w="1296"/>
            <w:vAlign w:val="center"/>
          </w:tcPr>
          <w:p>
            <w:pPr>
              <w:spacing w:before="0" w:after="0" w:line="240" w:lineRule="auto"/>
              <w:jc w:val="center"/>
            </w:pPr>
            <w:r>
              <w:rPr>
                <w:sz w:val="16"/>
              </w:rPr>
              <w:t>0.568</w:t>
            </w:r>
          </w:p>
        </w:tc>
      </w:tr>
      <w:tr>
        <w:trPr>
          <w:cantSplit/>
          <w:cantSplit/>
        </w:trPr>
        <w:tc>
          <w:tcPr>
            <w:tcW w:type="dxa" w:w="1080"/>
            <w:vAlign w:val="center"/>
          </w:tcPr>
          <w:p>
            <w:pPr>
              <w:spacing w:before="0" w:after="0" w:line="240" w:lineRule="auto"/>
              <w:jc w:val="left"/>
            </w:pPr>
            <w:r>
              <w:rPr>
                <w:sz w:val="16"/>
              </w:rPr>
              <w:t>1 y</w:t>
            </w:r>
          </w:p>
        </w:tc>
        <w:tc>
          <w:tcPr>
            <w:tcW w:type="dxa" w:w="4320"/>
            <w:vAlign w:val="center"/>
          </w:tcPr>
          <w:p>
            <w:pPr>
              <w:spacing w:before="0" w:after="0" w:line="240" w:lineRule="auto"/>
              <w:jc w:val="center"/>
            </w:pPr>
            <w:r>
              <w:rPr>
                <w:sz w:val="16"/>
              </w:rPr>
              <w:t>+ AMI variables, strict-date</w:t>
            </w:r>
          </w:p>
        </w:tc>
        <w:tc>
          <w:tcPr>
            <w:tcW w:type="dxa" w:w="1440"/>
            <w:vAlign w:val="center"/>
          </w:tcPr>
          <w:p>
            <w:pPr>
              <w:spacing w:before="0" w:after="0" w:line="240" w:lineRule="auto"/>
              <w:jc w:val="center"/>
            </w:pPr>
            <w:r>
              <w:rPr>
                <w:sz w:val="16"/>
              </w:rPr>
              <w:t>2496 (919)</w:t>
            </w:r>
          </w:p>
        </w:tc>
        <w:tc>
          <w:tcPr>
            <w:tcW w:type="dxa" w:w="3096"/>
            <w:vAlign w:val="center"/>
          </w:tcPr>
          <w:p>
            <w:pPr>
              <w:spacing w:before="0" w:after="0" w:line="240" w:lineRule="auto"/>
              <w:jc w:val="center"/>
            </w:pPr>
            <w:r>
              <w:rPr>
                <w:sz w:val="16"/>
              </w:rPr>
              <w:t>Persistent-pattern vs no early AKI</w:t>
            </w:r>
          </w:p>
        </w:tc>
        <w:tc>
          <w:tcPr>
            <w:tcW w:type="dxa" w:w="2592"/>
            <w:vAlign w:val="center"/>
          </w:tcPr>
          <w:p>
            <w:pPr>
              <w:spacing w:before="0" w:after="0" w:line="240" w:lineRule="auto"/>
              <w:jc w:val="center"/>
            </w:pPr>
            <w:r>
              <w:rPr>
                <w:sz w:val="16"/>
              </w:rPr>
              <w:t>1.53 (1.19-1.96)</w:t>
            </w:r>
          </w:p>
        </w:tc>
        <w:tc>
          <w:tcPr>
            <w:tcW w:type="dxa" w:w="1296"/>
            <w:vAlign w:val="center"/>
          </w:tcPr>
          <w:p>
            <w:pPr>
              <w:spacing w:before="0" w:after="0" w:line="240" w:lineRule="auto"/>
              <w:jc w:val="center"/>
            </w:pPr>
            <w:r>
              <w:rPr>
                <w:sz w:val="16"/>
              </w:rPr>
              <w:t>&lt;0.001</w:t>
            </w:r>
          </w:p>
        </w:tc>
      </w:tr>
      <w:tr>
        <w:trPr>
          <w:cantSplit/>
          <w:cantSplit/>
        </w:trPr>
        <w:tc>
          <w:tcPr>
            <w:tcW w:type="dxa" w:w="1080"/>
            <w:vAlign w:val="center"/>
          </w:tcPr>
          <w:p>
            <w:pPr>
              <w:spacing w:before="0" w:after="0" w:line="240" w:lineRule="auto"/>
              <w:jc w:val="left"/>
            </w:pPr>
            <w:r>
              <w:rPr>
                <w:sz w:val="16"/>
              </w:rPr>
              <w:t>1 y</w:t>
            </w:r>
          </w:p>
        </w:tc>
        <w:tc>
          <w:tcPr>
            <w:tcW w:type="dxa" w:w="4320"/>
            <w:vAlign w:val="center"/>
          </w:tcPr>
          <w:p>
            <w:pPr>
              <w:spacing w:before="0" w:after="0" w:line="240" w:lineRule="auto"/>
              <w:jc w:val="center"/>
            </w:pPr>
            <w:r>
              <w:rPr>
                <w:sz w:val="16"/>
              </w:rPr>
              <w:t>+ documented medication classes</w:t>
            </w:r>
          </w:p>
        </w:tc>
        <w:tc>
          <w:tcPr>
            <w:tcW w:type="dxa" w:w="1440"/>
            <w:vAlign w:val="center"/>
          </w:tcPr>
          <w:p>
            <w:pPr>
              <w:spacing w:before="0" w:after="0" w:line="240" w:lineRule="auto"/>
              <w:jc w:val="center"/>
            </w:pPr>
            <w:r>
              <w:rPr>
                <w:sz w:val="16"/>
              </w:rPr>
              <w:t>2496 (919)</w:t>
            </w:r>
          </w:p>
        </w:tc>
        <w:tc>
          <w:tcPr>
            <w:tcW w:type="dxa" w:w="3096"/>
            <w:vAlign w:val="center"/>
          </w:tcPr>
          <w:p>
            <w:pPr>
              <w:spacing w:before="0" w:after="0" w:line="240" w:lineRule="auto"/>
              <w:jc w:val="center"/>
            </w:pPr>
            <w:r>
              <w:rPr>
                <w:sz w:val="16"/>
              </w:rPr>
              <w:t>Transient vs no early AKI</w:t>
            </w:r>
          </w:p>
        </w:tc>
        <w:tc>
          <w:tcPr>
            <w:tcW w:type="dxa" w:w="2592"/>
            <w:vAlign w:val="center"/>
          </w:tcPr>
          <w:p>
            <w:pPr>
              <w:spacing w:before="0" w:after="0" w:line="240" w:lineRule="auto"/>
              <w:jc w:val="center"/>
            </w:pPr>
            <w:r>
              <w:rPr>
                <w:sz w:val="16"/>
              </w:rPr>
              <w:t>1.07 (0.81-1.42)</w:t>
            </w:r>
          </w:p>
        </w:tc>
        <w:tc>
          <w:tcPr>
            <w:tcW w:type="dxa" w:w="1296"/>
            <w:vAlign w:val="center"/>
          </w:tcPr>
          <w:p>
            <w:pPr>
              <w:spacing w:before="0" w:after="0" w:line="240" w:lineRule="auto"/>
              <w:jc w:val="center"/>
            </w:pPr>
            <w:r>
              <w:rPr>
                <w:sz w:val="16"/>
              </w:rPr>
              <w:t>0.625</w:t>
            </w:r>
          </w:p>
        </w:tc>
      </w:tr>
      <w:tr>
        <w:trPr>
          <w:cantSplit/>
          <w:cantSplit/>
        </w:trPr>
        <w:tc>
          <w:tcPr>
            <w:tcW w:type="dxa" w:w="1080"/>
            <w:vAlign w:val="center"/>
          </w:tcPr>
          <w:p>
            <w:pPr>
              <w:spacing w:before="0" w:after="0" w:line="240" w:lineRule="auto"/>
              <w:jc w:val="left"/>
            </w:pPr>
            <w:r>
              <w:rPr>
                <w:sz w:val="16"/>
              </w:rPr>
              <w:t>1 y</w:t>
            </w:r>
          </w:p>
        </w:tc>
        <w:tc>
          <w:tcPr>
            <w:tcW w:type="dxa" w:w="4320"/>
            <w:vAlign w:val="center"/>
          </w:tcPr>
          <w:p>
            <w:pPr>
              <w:spacing w:before="0" w:after="0" w:line="240" w:lineRule="auto"/>
              <w:jc w:val="center"/>
            </w:pPr>
            <w:r>
              <w:rPr>
                <w:sz w:val="16"/>
              </w:rPr>
              <w:t>+ documented medication classes</w:t>
            </w:r>
          </w:p>
        </w:tc>
        <w:tc>
          <w:tcPr>
            <w:tcW w:type="dxa" w:w="1440"/>
            <w:vAlign w:val="center"/>
          </w:tcPr>
          <w:p>
            <w:pPr>
              <w:spacing w:before="0" w:after="0" w:line="240" w:lineRule="auto"/>
              <w:jc w:val="center"/>
            </w:pPr>
            <w:r>
              <w:rPr>
                <w:sz w:val="16"/>
              </w:rPr>
              <w:t>2496 (919)</w:t>
            </w:r>
          </w:p>
        </w:tc>
        <w:tc>
          <w:tcPr>
            <w:tcW w:type="dxa" w:w="3096"/>
            <w:vAlign w:val="center"/>
          </w:tcPr>
          <w:p>
            <w:pPr>
              <w:spacing w:before="0" w:after="0" w:line="240" w:lineRule="auto"/>
              <w:jc w:val="center"/>
            </w:pPr>
            <w:r>
              <w:rPr>
                <w:sz w:val="16"/>
              </w:rPr>
              <w:t>Persistent-pattern vs no early AKI</w:t>
            </w:r>
          </w:p>
        </w:tc>
        <w:tc>
          <w:tcPr>
            <w:tcW w:type="dxa" w:w="2592"/>
            <w:vAlign w:val="center"/>
          </w:tcPr>
          <w:p>
            <w:pPr>
              <w:spacing w:before="0" w:after="0" w:line="240" w:lineRule="auto"/>
              <w:jc w:val="center"/>
            </w:pPr>
            <w:r>
              <w:rPr>
                <w:sz w:val="16"/>
              </w:rPr>
              <w:t>1.51 (1.18-1.94)</w:t>
            </w:r>
          </w:p>
        </w:tc>
        <w:tc>
          <w:tcPr>
            <w:tcW w:type="dxa" w:w="1296"/>
            <w:vAlign w:val="center"/>
          </w:tcPr>
          <w:p>
            <w:pPr>
              <w:spacing w:before="0" w:after="0" w:line="240" w:lineRule="auto"/>
              <w:jc w:val="center"/>
            </w:pPr>
            <w:r>
              <w:rPr>
                <w:sz w:val="16"/>
              </w:rPr>
              <w:t>0.001</w:t>
            </w:r>
          </w:p>
        </w:tc>
      </w:tr>
      <w:tr>
        <w:trPr>
          <w:cantSplit/>
          <w:cantSplit/>
        </w:trPr>
        <w:tc>
          <w:tcPr>
            <w:tcW w:type="dxa" w:w="1080"/>
            <w:vAlign w:val="center"/>
          </w:tcPr>
          <w:p>
            <w:pPr>
              <w:spacing w:before="0" w:after="0" w:line="240" w:lineRule="auto"/>
              <w:jc w:val="left"/>
            </w:pPr>
            <w:r>
              <w:rPr>
                <w:sz w:val="16"/>
              </w:rPr>
              <w:t>1 y</w:t>
            </w:r>
          </w:p>
        </w:tc>
        <w:tc>
          <w:tcPr>
            <w:tcW w:type="dxa" w:w="4320"/>
            <w:vAlign w:val="center"/>
          </w:tcPr>
          <w:p>
            <w:pPr>
              <w:spacing w:before="0" w:after="0" w:line="240" w:lineRule="auto"/>
              <w:jc w:val="center"/>
            </w:pPr>
            <w:r>
              <w:rPr>
                <w:sz w:val="16"/>
              </w:rPr>
              <w:t>+ medication orders only</w:t>
            </w:r>
          </w:p>
        </w:tc>
        <w:tc>
          <w:tcPr>
            <w:tcW w:type="dxa" w:w="1440"/>
            <w:vAlign w:val="center"/>
          </w:tcPr>
          <w:p>
            <w:pPr>
              <w:spacing w:before="0" w:after="0" w:line="240" w:lineRule="auto"/>
              <w:jc w:val="center"/>
            </w:pPr>
            <w:r>
              <w:rPr>
                <w:sz w:val="16"/>
              </w:rPr>
              <w:t>2496 (919)</w:t>
            </w:r>
          </w:p>
        </w:tc>
        <w:tc>
          <w:tcPr>
            <w:tcW w:type="dxa" w:w="3096"/>
            <w:vAlign w:val="center"/>
          </w:tcPr>
          <w:p>
            <w:pPr>
              <w:spacing w:before="0" w:after="0" w:line="240" w:lineRule="auto"/>
              <w:jc w:val="center"/>
            </w:pPr>
            <w:r>
              <w:rPr>
                <w:sz w:val="16"/>
              </w:rPr>
              <w:t>Transient vs no early AKI</w:t>
            </w:r>
          </w:p>
        </w:tc>
        <w:tc>
          <w:tcPr>
            <w:tcW w:type="dxa" w:w="2592"/>
            <w:vAlign w:val="center"/>
          </w:tcPr>
          <w:p>
            <w:pPr>
              <w:spacing w:before="0" w:after="0" w:line="240" w:lineRule="auto"/>
              <w:jc w:val="center"/>
            </w:pPr>
            <w:r>
              <w:rPr>
                <w:sz w:val="16"/>
              </w:rPr>
              <w:t>1.08 (0.81-1.42)</w:t>
            </w:r>
          </w:p>
        </w:tc>
        <w:tc>
          <w:tcPr>
            <w:tcW w:type="dxa" w:w="1296"/>
            <w:vAlign w:val="center"/>
          </w:tcPr>
          <w:p>
            <w:pPr>
              <w:spacing w:before="0" w:after="0" w:line="240" w:lineRule="auto"/>
              <w:jc w:val="center"/>
            </w:pPr>
            <w:r>
              <w:rPr>
                <w:sz w:val="16"/>
              </w:rPr>
              <w:t>0.609</w:t>
            </w:r>
          </w:p>
        </w:tc>
      </w:tr>
      <w:tr>
        <w:trPr>
          <w:cantSplit/>
          <w:cantSplit/>
        </w:trPr>
        <w:tc>
          <w:tcPr>
            <w:tcW w:type="dxa" w:w="1080"/>
            <w:vAlign w:val="center"/>
          </w:tcPr>
          <w:p>
            <w:pPr>
              <w:spacing w:before="0" w:after="0" w:line="240" w:lineRule="auto"/>
              <w:jc w:val="left"/>
            </w:pPr>
            <w:r>
              <w:rPr>
                <w:sz w:val="16"/>
              </w:rPr>
              <w:t>1 y</w:t>
            </w:r>
          </w:p>
        </w:tc>
        <w:tc>
          <w:tcPr>
            <w:tcW w:type="dxa" w:w="4320"/>
            <w:vAlign w:val="center"/>
          </w:tcPr>
          <w:p>
            <w:pPr>
              <w:spacing w:before="0" w:after="0" w:line="240" w:lineRule="auto"/>
              <w:jc w:val="center"/>
            </w:pPr>
            <w:r>
              <w:rPr>
                <w:sz w:val="16"/>
              </w:rPr>
              <w:t>+ medication orders only</w:t>
            </w:r>
          </w:p>
        </w:tc>
        <w:tc>
          <w:tcPr>
            <w:tcW w:type="dxa" w:w="1440"/>
            <w:vAlign w:val="center"/>
          </w:tcPr>
          <w:p>
            <w:pPr>
              <w:spacing w:before="0" w:after="0" w:line="240" w:lineRule="auto"/>
              <w:jc w:val="center"/>
            </w:pPr>
            <w:r>
              <w:rPr>
                <w:sz w:val="16"/>
              </w:rPr>
              <w:t>2496 (919)</w:t>
            </w:r>
          </w:p>
        </w:tc>
        <w:tc>
          <w:tcPr>
            <w:tcW w:type="dxa" w:w="3096"/>
            <w:vAlign w:val="center"/>
          </w:tcPr>
          <w:p>
            <w:pPr>
              <w:spacing w:before="0" w:after="0" w:line="240" w:lineRule="auto"/>
              <w:jc w:val="center"/>
            </w:pPr>
            <w:r>
              <w:rPr>
                <w:sz w:val="16"/>
              </w:rPr>
              <w:t>Persistent-pattern vs no early AKI</w:t>
            </w:r>
          </w:p>
        </w:tc>
        <w:tc>
          <w:tcPr>
            <w:tcW w:type="dxa" w:w="2592"/>
            <w:vAlign w:val="center"/>
          </w:tcPr>
          <w:p>
            <w:pPr>
              <w:spacing w:before="0" w:after="0" w:line="240" w:lineRule="auto"/>
              <w:jc w:val="center"/>
            </w:pPr>
            <w:r>
              <w:rPr>
                <w:sz w:val="16"/>
              </w:rPr>
              <w:t>1.52 (1.18-1.95)</w:t>
            </w:r>
          </w:p>
        </w:tc>
        <w:tc>
          <w:tcPr>
            <w:tcW w:type="dxa" w:w="1296"/>
            <w:vAlign w:val="center"/>
          </w:tcPr>
          <w:p>
            <w:pPr>
              <w:spacing w:before="0" w:after="0" w:line="240" w:lineRule="auto"/>
              <w:jc w:val="center"/>
            </w:pPr>
            <w:r>
              <w:rPr>
                <w:sz w:val="16"/>
              </w:rPr>
              <w:t>0.001</w:t>
            </w:r>
          </w:p>
        </w:tc>
      </w:tr>
      <w:tr>
        <w:trPr>
          <w:cantSplit/>
          <w:cantSplit/>
        </w:trPr>
        <w:tc>
          <w:tcPr>
            <w:tcW w:type="dxa" w:w="1080"/>
            <w:vAlign w:val="center"/>
          </w:tcPr>
          <w:p>
            <w:pPr>
              <w:spacing w:before="0" w:after="0" w:line="240" w:lineRule="auto"/>
              <w:jc w:val="left"/>
            </w:pPr>
            <w:r>
              <w:rPr>
                <w:sz w:val="16"/>
              </w:rPr>
              <w:t>1 y</w:t>
            </w:r>
          </w:p>
        </w:tc>
        <w:tc>
          <w:tcPr>
            <w:tcW w:type="dxa" w:w="4320"/>
            <w:vAlign w:val="center"/>
          </w:tcPr>
          <w:p>
            <w:pPr>
              <w:spacing w:before="0" w:after="0" w:line="240" w:lineRule="auto"/>
              <w:jc w:val="center"/>
            </w:pPr>
            <w:r>
              <w:rPr>
                <w:sz w:val="16"/>
              </w:rPr>
              <w:t>Expanded model; LVEF missing category</w:t>
            </w:r>
          </w:p>
        </w:tc>
        <w:tc>
          <w:tcPr>
            <w:tcW w:type="dxa" w:w="1440"/>
            <w:vAlign w:val="center"/>
          </w:tcPr>
          <w:p>
            <w:pPr>
              <w:spacing w:before="0" w:after="0" w:line="240" w:lineRule="auto"/>
              <w:jc w:val="center"/>
            </w:pPr>
            <w:r>
              <w:rPr>
                <w:sz w:val="16"/>
              </w:rPr>
              <w:t>3458 (1292)</w:t>
            </w:r>
          </w:p>
        </w:tc>
        <w:tc>
          <w:tcPr>
            <w:tcW w:type="dxa" w:w="3096"/>
            <w:vAlign w:val="center"/>
          </w:tcPr>
          <w:p>
            <w:pPr>
              <w:spacing w:before="0" w:after="0" w:line="240" w:lineRule="auto"/>
              <w:jc w:val="center"/>
            </w:pPr>
            <w:r>
              <w:rPr>
                <w:sz w:val="16"/>
              </w:rPr>
              <w:t>Transient vs no early AKI</w:t>
            </w:r>
          </w:p>
        </w:tc>
        <w:tc>
          <w:tcPr>
            <w:tcW w:type="dxa" w:w="2592"/>
            <w:vAlign w:val="center"/>
          </w:tcPr>
          <w:p>
            <w:pPr>
              <w:spacing w:before="0" w:after="0" w:line="240" w:lineRule="auto"/>
              <w:jc w:val="center"/>
            </w:pPr>
            <w:r>
              <w:rPr>
                <w:sz w:val="16"/>
              </w:rPr>
              <w:t>1.05 (0.84-1.30)</w:t>
            </w:r>
          </w:p>
        </w:tc>
        <w:tc>
          <w:tcPr>
            <w:tcW w:type="dxa" w:w="1296"/>
            <w:vAlign w:val="center"/>
          </w:tcPr>
          <w:p>
            <w:pPr>
              <w:spacing w:before="0" w:after="0" w:line="240" w:lineRule="auto"/>
              <w:jc w:val="center"/>
            </w:pPr>
            <w:r>
              <w:rPr>
                <w:sz w:val="16"/>
              </w:rPr>
              <w:t>0.666</w:t>
            </w:r>
          </w:p>
        </w:tc>
      </w:tr>
      <w:tr>
        <w:trPr>
          <w:cantSplit/>
          <w:cantSplit/>
        </w:trPr>
        <w:tc>
          <w:tcPr>
            <w:tcW w:type="dxa" w:w="1080"/>
            <w:vAlign w:val="center"/>
          </w:tcPr>
          <w:p>
            <w:pPr>
              <w:spacing w:before="0" w:after="0" w:line="240" w:lineRule="auto"/>
              <w:jc w:val="left"/>
            </w:pPr>
            <w:r>
              <w:rPr>
                <w:sz w:val="16"/>
              </w:rPr>
              <w:t>1 y</w:t>
            </w:r>
          </w:p>
        </w:tc>
        <w:tc>
          <w:tcPr>
            <w:tcW w:type="dxa" w:w="4320"/>
            <w:vAlign w:val="center"/>
          </w:tcPr>
          <w:p>
            <w:pPr>
              <w:spacing w:before="0" w:after="0" w:line="240" w:lineRule="auto"/>
              <w:jc w:val="center"/>
            </w:pPr>
            <w:r>
              <w:rPr>
                <w:sz w:val="16"/>
              </w:rPr>
              <w:t>Expanded model; LVEF missing category</w:t>
            </w:r>
          </w:p>
        </w:tc>
        <w:tc>
          <w:tcPr>
            <w:tcW w:type="dxa" w:w="1440"/>
            <w:vAlign w:val="center"/>
          </w:tcPr>
          <w:p>
            <w:pPr>
              <w:spacing w:before="0" w:after="0" w:line="240" w:lineRule="auto"/>
              <w:jc w:val="center"/>
            </w:pPr>
            <w:r>
              <w:rPr>
                <w:sz w:val="16"/>
              </w:rPr>
              <w:t>3458 (1292)</w:t>
            </w:r>
          </w:p>
        </w:tc>
        <w:tc>
          <w:tcPr>
            <w:tcW w:type="dxa" w:w="3096"/>
            <w:vAlign w:val="center"/>
          </w:tcPr>
          <w:p>
            <w:pPr>
              <w:spacing w:before="0" w:after="0" w:line="240" w:lineRule="auto"/>
              <w:jc w:val="center"/>
            </w:pPr>
            <w:r>
              <w:rPr>
                <w:sz w:val="16"/>
              </w:rPr>
              <w:t>Persistent-pattern vs no early AKI</w:t>
            </w:r>
          </w:p>
        </w:tc>
        <w:tc>
          <w:tcPr>
            <w:tcW w:type="dxa" w:w="2592"/>
            <w:vAlign w:val="center"/>
          </w:tcPr>
          <w:p>
            <w:pPr>
              <w:spacing w:before="0" w:after="0" w:line="240" w:lineRule="auto"/>
              <w:jc w:val="center"/>
            </w:pPr>
            <w:r>
              <w:rPr>
                <w:sz w:val="16"/>
              </w:rPr>
              <w:t>1.44 (1.18-1.75)</w:t>
            </w:r>
          </w:p>
        </w:tc>
        <w:tc>
          <w:tcPr>
            <w:tcW w:type="dxa" w:w="1296"/>
            <w:vAlign w:val="center"/>
          </w:tcPr>
          <w:p>
            <w:pPr>
              <w:spacing w:before="0" w:after="0" w:line="240" w:lineRule="auto"/>
              <w:jc w:val="center"/>
            </w:pPr>
            <w:r>
              <w:rPr>
                <w:sz w:val="16"/>
              </w:rPr>
              <w:t>&lt;0.001</w:t>
            </w:r>
          </w:p>
        </w:tc>
      </w:tr>
      <w:tr>
        <w:trPr>
          <w:cantSplit/>
          <w:cantSplit/>
        </w:trPr>
        <w:tc>
          <w:tcPr>
            <w:tcW w:type="dxa" w:w="1080"/>
            <w:vAlign w:val="center"/>
          </w:tcPr>
          <w:p>
            <w:pPr>
              <w:spacing w:before="0" w:after="0" w:line="240" w:lineRule="auto"/>
              <w:jc w:val="left"/>
            </w:pPr>
            <w:r>
              <w:rPr>
                <w:sz w:val="16"/>
              </w:rPr>
              <w:t>1 y</w:t>
            </w:r>
          </w:p>
        </w:tc>
        <w:tc>
          <w:tcPr>
            <w:tcW w:type="dxa" w:w="4320"/>
            <w:vAlign w:val="center"/>
          </w:tcPr>
          <w:p>
            <w:pPr>
              <w:spacing w:before="0" w:after="0" w:line="240" w:lineRule="auto"/>
              <w:jc w:val="center"/>
            </w:pPr>
            <w:r>
              <w:rPr>
                <w:sz w:val="16"/>
              </w:rPr>
              <w:t>Expanded model; continuous LVEF</w:t>
            </w:r>
          </w:p>
        </w:tc>
        <w:tc>
          <w:tcPr>
            <w:tcW w:type="dxa" w:w="1440"/>
            <w:vAlign w:val="center"/>
          </w:tcPr>
          <w:p>
            <w:pPr>
              <w:spacing w:before="0" w:after="0" w:line="240" w:lineRule="auto"/>
              <w:jc w:val="center"/>
            </w:pPr>
            <w:r>
              <w:rPr>
                <w:sz w:val="16"/>
              </w:rPr>
              <w:t>2674 (980)</w:t>
            </w:r>
          </w:p>
        </w:tc>
        <w:tc>
          <w:tcPr>
            <w:tcW w:type="dxa" w:w="3096"/>
            <w:vAlign w:val="center"/>
          </w:tcPr>
          <w:p>
            <w:pPr>
              <w:spacing w:before="0" w:after="0" w:line="240" w:lineRule="auto"/>
              <w:jc w:val="center"/>
            </w:pPr>
            <w:r>
              <w:rPr>
                <w:sz w:val="16"/>
              </w:rPr>
              <w:t>Transient vs no early AKI</w:t>
            </w:r>
          </w:p>
        </w:tc>
        <w:tc>
          <w:tcPr>
            <w:tcW w:type="dxa" w:w="2592"/>
            <w:vAlign w:val="center"/>
          </w:tcPr>
          <w:p>
            <w:pPr>
              <w:spacing w:before="0" w:after="0" w:line="240" w:lineRule="auto"/>
              <w:jc w:val="center"/>
            </w:pPr>
            <w:r>
              <w:rPr>
                <w:sz w:val="16"/>
              </w:rPr>
              <w:t>1.11 (0.85-1.46)</w:t>
            </w:r>
          </w:p>
        </w:tc>
        <w:tc>
          <w:tcPr>
            <w:tcW w:type="dxa" w:w="1296"/>
            <w:vAlign w:val="center"/>
          </w:tcPr>
          <w:p>
            <w:pPr>
              <w:spacing w:before="0" w:after="0" w:line="240" w:lineRule="auto"/>
              <w:jc w:val="center"/>
            </w:pPr>
            <w:r>
              <w:rPr>
                <w:sz w:val="16"/>
              </w:rPr>
              <w:t>0.454</w:t>
            </w:r>
          </w:p>
        </w:tc>
      </w:tr>
      <w:tr>
        <w:trPr>
          <w:cantSplit/>
          <w:cantSplit/>
        </w:trPr>
        <w:tc>
          <w:tcPr>
            <w:tcW w:type="dxa" w:w="1080"/>
            <w:vAlign w:val="center"/>
          </w:tcPr>
          <w:p>
            <w:pPr>
              <w:spacing w:before="0" w:after="0" w:line="240" w:lineRule="auto"/>
              <w:jc w:val="left"/>
            </w:pPr>
            <w:r>
              <w:rPr>
                <w:sz w:val="16"/>
              </w:rPr>
              <w:t>1 y</w:t>
            </w:r>
          </w:p>
        </w:tc>
        <w:tc>
          <w:tcPr>
            <w:tcW w:type="dxa" w:w="4320"/>
            <w:vAlign w:val="center"/>
          </w:tcPr>
          <w:p>
            <w:pPr>
              <w:spacing w:before="0" w:after="0" w:line="240" w:lineRule="auto"/>
              <w:jc w:val="center"/>
            </w:pPr>
            <w:r>
              <w:rPr>
                <w:sz w:val="16"/>
              </w:rPr>
              <w:t>Expanded model; continuous LVEF</w:t>
            </w:r>
          </w:p>
        </w:tc>
        <w:tc>
          <w:tcPr>
            <w:tcW w:type="dxa" w:w="1440"/>
            <w:vAlign w:val="center"/>
          </w:tcPr>
          <w:p>
            <w:pPr>
              <w:spacing w:before="0" w:after="0" w:line="240" w:lineRule="auto"/>
              <w:jc w:val="center"/>
            </w:pPr>
            <w:r>
              <w:rPr>
                <w:sz w:val="16"/>
              </w:rPr>
              <w:t>2674 (980)</w:t>
            </w:r>
          </w:p>
        </w:tc>
        <w:tc>
          <w:tcPr>
            <w:tcW w:type="dxa" w:w="3096"/>
            <w:vAlign w:val="center"/>
          </w:tcPr>
          <w:p>
            <w:pPr>
              <w:spacing w:before="0" w:after="0" w:line="240" w:lineRule="auto"/>
              <w:jc w:val="center"/>
            </w:pPr>
            <w:r>
              <w:rPr>
                <w:sz w:val="16"/>
              </w:rPr>
              <w:t>Persistent-pattern vs no early AKI</w:t>
            </w:r>
          </w:p>
        </w:tc>
        <w:tc>
          <w:tcPr>
            <w:tcW w:type="dxa" w:w="2592"/>
            <w:vAlign w:val="center"/>
          </w:tcPr>
          <w:p>
            <w:pPr>
              <w:spacing w:before="0" w:after="0" w:line="240" w:lineRule="auto"/>
              <w:jc w:val="center"/>
            </w:pPr>
            <w:r>
              <w:rPr>
                <w:sz w:val="16"/>
              </w:rPr>
              <w:t>1.56 (1.22-2.00)</w:t>
            </w:r>
          </w:p>
        </w:tc>
        <w:tc>
          <w:tcPr>
            <w:tcW w:type="dxa" w:w="1296"/>
            <w:vAlign w:val="center"/>
          </w:tcPr>
          <w:p>
            <w:pPr>
              <w:spacing w:before="0" w:after="0" w:line="240" w:lineRule="auto"/>
              <w:jc w:val="center"/>
            </w:pPr>
            <w:r>
              <w:rPr>
                <w:sz w:val="16"/>
              </w:rPr>
              <w:t>&lt;0.001</w:t>
            </w:r>
          </w:p>
        </w:tc>
      </w:tr>
    </w:tbl>
    <w:p>
      <w:r>
        <w:rPr>
          <w:rFonts w:ascii="Times New Roman" w:hAnsi="Times New Roman"/>
          <w:sz w:val="17"/>
        </w:rPr>
        <w:t>All models include AKI trajectory and the original covariates: age (anchor_age), sex, race/ethnicity, AMI subtype, Charlson index, non-renal SOFA, first-day mean heart rate, mean arterial pressure, respiratory rate, oxygen saturation, vasoactive use and invasive ventilation. The common LVEF set contains 2496 complete cases (536 deaths at 28 days and 919 at one year). AMI variables comprise categorical LVEF, cardiogenic shock, PCI, CABG, mechanical circulatory support and candidate fibrinolysis. The documented-medication model additionally includes antiplatelet, statin, beta-blocker, ACEI/ARB/ARNI, diuretic, nitrate/vasodilator, calcium-channel blocker, parenteral therapeutic anticoagulant and oral anticoagulant classes. The missing-category model includes 3458 patients; the continuous-LVEF model includes 2674 patients and scales LVEF per 5-percentage-point decrease. All matrices were full rank. For the fully expanded documented-medication model, the 28-day AKI-specific and global proportional-hazards tests were P = 0.566 and P = 0.429; the one-year values were P = 0.095 and P &lt;0.001, respectively, so one-year HRs are average associations. These post hoc analyses assess sensitivity to measured confounding; procedure and treatment coefficients are not causal effects, and residual confounding remains possible.</w:t>
      </w:r>
    </w:p>
    <w:p>
      <w:r>
        <w:br w:type="page"/>
      </w:r>
    </w:p>
    <w:p>
      <w:pPr>
        <w:pStyle w:val="Heading1"/>
      </w:pPr>
      <w:r>
        <w:t>Supplementary methods</w:t>
      </w:r>
    </w:p>
    <w:p>
      <w:pPr>
        <w:pStyle w:val="Heading2"/>
      </w:pPr>
      <w:r>
        <w:t>Source definitions</w:t>
      </w:r>
    </w:p>
    <w:p>
      <w:r>
        <w:t>Source SQL joins and window rules followed the archived cohort-construction queries. Derived-table behavior was cross-checked against the public MIMIC Code concept definitions listed below. The analyses used MIMIC-IV v3.1 tables. Because a separate historical snapshot of every derived-table build query was not available, public-code verification supports interpretation of the derived concepts but does not establish byte-identical reconstruction.</w:t>
      </w:r>
    </w:p>
    <w:p>
      <w:pPr>
        <w:pStyle w:val="Heading3"/>
      </w:pPr>
      <w:r>
        <w:t>AKI and creatinine</w:t>
      </w:r>
    </w:p>
    <w:p>
      <w:r>
        <w:t>The primary exposure was the recorded early AKI trajectory before the landmark. We used the raw aki_stage field from the MIMIC-IV v3.1 derived kdigo_stages table, not its smoothed stage. The derived algorithm incorporates serum-creatinine and urine-output criteria and assigns stage 3 when a continuous renal replacement therapy (CRRT) mode is recorded [19]. The creatinine comparator is the lowest preceding value within seven days, with the lowest preceding 48-hour value used for the &gt;=0.3 mg/dL acute-rise criterion. The creatinine source includes measurements from up to seven days before ICU admission through ICU discharge. We did not estimate a separate outpatient baseline or back-calculate creatinine from an assumed glomerular filtration rate. Urine-output staging uses weight-normalized 6-, 12-, and 24-hour windows with the corresponding duration requirements. At each chart time, the raw stage is the maximum available component stage, with missing components mapped to zero by the derived algorithm.</w:t>
      </w:r>
    </w:p>
    <w:p>
      <w:pPr>
        <w:pStyle w:val="Heading3"/>
      </w:pPr>
      <w:r>
        <w:t>Trajectory and recovery</w:t>
      </w:r>
    </w:p>
    <w:p>
      <w:r>
        <w:t>Among patients meeting the observability rule, no early AKI meant no recorded stage &gt;=1 during 0 to &lt;72 hours. Transient AKI meant recorded stage &gt;=1 before 48 hours and no recorded stage &gt;=1 during 48 to &lt;72 hours. Persistent-pattern AKI meant recorded stage &gt;=1 before 48 hours and at least one stage &gt;=1 during 48 to &lt;72 hours. A patient who recovered and then had recurrent AKI during the late window was therefore classified as persistent-pattern AKI. The classification did not require uninterrupted AKI, normalization of both creatinine and urine output, or sustained recovery beyond 72 hours. An oliguria-only episode and a creatinine-defined episode could both enter the transient group. These are interval-specific recorded patterns, not independently adjudicated renal recovery phenotypes or persistent AKI beyond seven days.</w:t>
      </w:r>
    </w:p>
    <w:p>
      <w:pPr>
        <w:pStyle w:val="Heading3"/>
      </w:pPr>
      <w:r>
        <w:t>Observation eligibility</w:t>
      </w:r>
    </w:p>
    <w:p>
      <w:r>
        <w:t>The primary analysis additionally required at least one record in the MIMIC-IV v3.1 derived kdigo_stages table with charttime &gt;=48 hours and &lt;72 hours after ICU admission. This operational observability rule did not require simultaneous serum-creatinine and urine-output measurements, a minimum number of creatinine tests, or continuous urine-output recording throughout that window. Thus, 6274 patients contributed to landmark cohort description, but 3464 contributed to the primary three-group comparison. Patients with no KDIGO-stage row in the late window were classified as unobservable (n = 2615). Patients whose first recorded AKI occurred at 48 hours or later were classified as late-onset AKI (n = 195) and were also excluded from the primary recovery comparison.</w:t>
      </w:r>
    </w:p>
    <w:p>
      <w:pPr>
        <w:pStyle w:val="Heading3"/>
      </w:pPr>
      <w:r>
        <w:t>SOFA and covariates</w:t>
      </w:r>
    </w:p>
    <w:p>
      <w:r>
        <w:t>Covariates were selected based on clinical relevance, availability in MIMIC-IV derived tables, and completeness in the analysis cohort. Demographic covariates included age (the source anchor_age field), sex, and race/ethnicity. Race/ethnicity was grouped as White, Black, Hispanic, Asian, or Other from the original race field. Clinical covariates included AMI subtype, Charlson comorbidity index, and non-renal Sequential Organ Failure Assessment (SOFA) score. Total SOFA and its renal component came from first_day_sofa; non-renal SOFA was total SOFA minus the renal component. The underlying first-day SOFA implementation uses data from six hours before ICU admission through 24 hours after admission for its vital-sign, laboratory, Glasgow Coma Scale, blood-gas, and vasoactive-rate inputs; its urine-output total covers ICU admission through 24 hours. It is not a SOFA score averaged over 0-72 hours.</w:t>
      </w:r>
    </w:p>
    <w:p>
      <w:pPr>
        <w:pStyle w:val="Heading3"/>
      </w:pPr>
      <w:r>
        <w:t>Vital signs and support</w:t>
      </w:r>
    </w:p>
    <w:p>
      <w:r>
        <w:t>Physiological covariates were the mean heart rate, mean arterial pressure, respiratory rate, and oxygen saturation from first_day_vitalsign, aggregated from six hours before ICU admission through 24 hours after admission, inclusive. Vasoactive drug use and invasive ventilation indicated an episode overlapping ICU admission to the landmark (episode start before 72 hours and end after ICU admission). AMI-specific treatment and anatomical variables were not included in the primary models. For a post hoc sensitivity analysis, we linked the earliest valid transthoracic echocardiographic LVEF measurement obtained after hospital admission and before the 72-hour landmark, hospitalization-coded cardiogenic shock, structured records of PCI, CABG, mechanical circulatory support and candidate fibrinolysis by the landmark, and major cardiovascular medication classes documented before the landmark. Coronary anatomy and reliable contrast dose or exposure could not be derived from the available structured data. Baseline descriptive tables additionally summarized SAPS II, OASIS, individual Charlson comorbidities, and first-day laboratory measurements. Creatinine and blood urea nitrogen were descriptive variables rather than covariates in the primary models; maximum KDIGO stage was added in a separate severity sensitivity analysis.</w:t>
      </w:r>
    </w:p>
    <w:p>
      <w:pPr>
        <w:pStyle w:val="Heading3"/>
      </w:pPr>
      <w:r>
        <w:t>Mortality</w:t>
      </w:r>
    </w:p>
    <w:p>
      <w:r>
        <w:t>The primary and secondary outcomes were 28-day and 1-year all-cause mortality after the landmark. Death dates came from the dod field in the MIMIC-IV v3.1 hosp.patients table, which includes recorded deaths after hospital discharge, rather than hospital_expire_flag. Events were deaths dated from the landmark calendar date through that date plus 28 or 365 days, inclusive. Event times were calendar-day differences from the landmark date, with same-day deaths assigned one day. Patients without a recorded death within the relevant horizon were administratively censored at 28 or 365 days. Hospital discharge after the landmark was not a censoring event.</w:t>
      </w:r>
    </w:p>
    <w:p>
      <w:pPr>
        <w:pStyle w:val="Heading3"/>
      </w:pPr>
      <w:r>
        <w:t>RRT-related documentation</w:t>
      </w:r>
    </w:p>
    <w:p>
      <w:r>
        <w:t>Sensitivity analyses repeated the primary models in patients who remained in the ICU through 72 hours, excluded patients with a documented first-day RRT-related presence indicator, and added individual comorbidities and low-missingness first-day laboratory variables (Supplementary Table S6). The RRT-related indicator was first_day_rrt.dialysis_present, covering six hours before ICU admission through 24 hours after admission. It captures records related to intermittent hemodialysis, continuous therapies, peritoneal dialysis, and dialysis access or equipment; it is broader than confirmed active treatment. Missing indicators were retained as no documented indicator under the extraction rule. This sensitivity analysis does not exclude all RRT during the first 72 hours or distinguish chronic from acute RRT.</w:t>
      </w:r>
    </w:p>
    <w:p>
      <w:pPr>
        <w:pStyle w:val="Heading3"/>
      </w:pPr>
      <w:r>
        <w:t>AMI-specific post hoc sensitivity variables</w:t>
      </w:r>
    </w:p>
    <w:p>
      <w:r>
        <w:t>In the post hoc AMI-specific sensitivity analysis, LVEF was categorized as &gt;=50%, 41-49%, or &lt;=40%, using the earliest valid post-admission, pre-landmark transthoracic examination; numeric 3D and biplane measurements were prioritized over the general LVEF field, and stress examinations were excluded. Nested Cox models were fitted on a common LVEF-complete-case set: the original covariates alone, then adding categorical LVEF, then hospitalization-coded cardiogenic shock and structured PCI, CABG, mechanical circulatory support and candidate fibrinolysis records, and finally major cardiovascular medication classes documented in prescriptions or positive electronic medication-administration records before the landmark. Procedure codes with only calendar-date resolution on the landmark date were included in a possible-by-landmark definition and excluded in a strict-date sensitivity definition. Additional analyses used medication orders only, a missing category for LVEF, and continuous LVEF per 5-percentage-point decrease. These variables were included for confounding sensitivity rather than causal treatment-effect estimation.</w:t>
      </w:r>
    </w:p>
    <w:p>
      <w:r>
        <w:t>Cardiogenic shock was defined by hospitalization ICD-9-CM 785.51 or ICD-10-CM R57.0 codes. PCI and CABG used conservative ICD procedure-code dictionaries; mechanical circulatory support used conservative ICD procedure codes and timestamped ICU procedure events. Absence of a code or event indicates no documented positive record, not confirmed absence. The possible-by-landmark definitions include a procedure recorded on the landmark calendar date when only date-level resolution was available; strict-date sensitivity definitions exclude those same-day records. Medication candidates were curated by name, route and status from prescriptions and eMAR records, excluding catheter-clearance thrombolytic use, dialysis/line/device heparin and enteral contrast records. Coronary anatomy and reliable contrast dose or exposure were not available.</w:t>
      </w:r>
    </w:p>
    <w:p>
      <w:pPr>
        <w:pStyle w:val="Heading3"/>
      </w:pPr>
      <w:r>
        <w:t>Public concept-code sources</w:t>
      </w:r>
    </w:p>
    <w:p>
      <w:r>
        <w:t>https://github.com/MIT-LCP/mimic-code/blob/main/mimic-iv/concepts/organfailure/kdigo_stages.sql</w:t>
      </w:r>
    </w:p>
    <w:p>
      <w:r>
        <w:t>https://github.com/MIT-LCP/mimic-code/blob/main/mimic-iv/concepts/organfailure/kdigo_creatinine.sql</w:t>
      </w:r>
    </w:p>
    <w:p>
      <w:r>
        <w:t>https://github.com/MIT-LCP/mimic-code/blob/main/mimic-iv/concepts/firstday/first_day_vitalsign.sql</w:t>
      </w:r>
    </w:p>
    <w:p>
      <w:r>
        <w:t>https://github.com/MIT-LCP/mimic-code/blob/main/mimic-iv/concepts/firstday/first_day_sofa.sql</w:t>
      </w:r>
    </w:p>
    <w:p>
      <w:r>
        <w:t>https://github.com/MIT-LCP/mimic-code/blob/main/mimic-iv/concepts/firstday/first_day_rrt.sql</w:t>
      </w:r>
    </w:p>
    <w:p>
      <w:r>
        <w:t>https://github.com/MIT-LCP/mimic-code/blob/main/mimic-iv/concepts/treatment/rrt.sql</w:t>
      </w:r>
    </w:p>
    <w:p>
      <w:r>
        <w:t>https://mimic.mit.edu/docs/iv/modules/hosp/patients.html</w:t>
      </w:r>
    </w:p>
    <w:sectPr w:rsidR="00FC693F" w:rsidRPr="0006063C" w:rsidSect="00034616">
      <w:pgSz w:w="15840" w:h="12240" w:orient="landscape"/>
      <w:pgMar w:top="864"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materials</dc:title>
  <dc:subject/>
  <dc:creator/>
  <cp:keywords/>
  <dc:description/>
  <cp:lastModifiedBy/>
  <cp:revision>1</cp:revision>
  <dcterms:created xsi:type="dcterms:W3CDTF">2013-12-23T23:15:00Z</dcterms:created>
  <dcterms:modified xsi:type="dcterms:W3CDTF">2013-12-23T23:15:00Z</dcterms:modified>
  <cp:category/>
</cp:coreProperties>
</file>