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DE04E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</w:rPr>
        <w:t>Supplementary Table S1</w:t>
      </w:r>
      <w:r>
        <w:rPr>
          <w:rFonts w:hint="eastAsia"/>
          <w:b/>
          <w:bCs/>
          <w:lang w:val="en-US" w:eastAsia="zh-CN"/>
        </w:rPr>
        <w:t>. Operational definitions and NHANES source variables for exposures, outcomes, and covariates</w:t>
      </w:r>
      <w:bookmarkStart w:id="0" w:name="_GoBack"/>
      <w:bookmarkEnd w:id="0"/>
    </w:p>
    <w:tbl>
      <w:tblPr>
        <w:tblW w:w="8420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455"/>
        <w:gridCol w:w="936"/>
        <w:gridCol w:w="3239"/>
        <w:gridCol w:w="1691"/>
      </w:tblGrid>
      <w:tr w14:paraId="0746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42C18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Variable</w:t>
            </w:r>
          </w:p>
        </w:tc>
        <w:tc>
          <w:tcPr>
            <w:tcW w:w="145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60126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Category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C001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NHANES_source_variables</w:t>
            </w:r>
          </w:p>
        </w:tc>
        <w:tc>
          <w:tcPr>
            <w:tcW w:w="323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B754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Operational_definition</w:t>
            </w:r>
          </w:p>
        </w:tc>
        <w:tc>
          <w:tcPr>
            <w:tcW w:w="169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2858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015FD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9CF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Hypertension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D4B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Clinical comorbidity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67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BPQ020, BPQ040A, BPXSY1–BPXSY4, BPXDI1–BPXDI4</w:t>
            </w:r>
          </w:p>
        </w:tc>
        <w:tc>
          <w:tcPr>
            <w:tcW w:w="32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BD7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Defined as meeting ≥1 of: (1) self-reported physician diagnosis (BPQ020 = ‘Yes’); (2) self-reported antihypertensive medication use (BPQ040A = ‘Yes’); (3) mean systolic blood pressure ≥140 mmHg or mean diastolic blood pressure ≥90 mmHg from up to 4 MEC measurements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971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25. </w:t>
            </w: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Whelton PK et al. Hypertension. 2018;71(6):e13–115</w:t>
            </w:r>
          </w:p>
        </w:tc>
      </w:tr>
      <w:tr w14:paraId="52F7E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16AE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Diabetes mellitus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230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Clinical comorbidity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7D82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DIQ010, DIQ050, DIQ070, LBXGH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477D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Defined as meeting ≥1 of: (1) self-reported physician diagnosis (DIQ010 = 1); (2) use of insulin (DIQ050 = ‘Yes’) or oral hypoglycemic medication (DIQ070 = ‘Yes’); (3) glycated hemoglobin (HbA1c) ≥6.5%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D40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26. </w:t>
            </w: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ElSayed NA et al. Diabetes Care. 2023;46(Suppl 1):S19–40</w:t>
            </w:r>
          </w:p>
        </w:tc>
      </w:tr>
      <w:tr w14:paraId="20D1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887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Dyslipidemia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064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Clinical comorbidity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581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BPQ080, BPQ100D, LBXTC, LBDHDD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FE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Defined as meeting ≥1 of: (1) self-reported physician diagnosis of high cholesterol (BPQ080 = ‘Yes’); (2) use of lipid-lowering medication (BPQ100D = ‘Yes’); (3) total cholesterol ≥240 mg/dL or HDL cholesterol &lt;40 mg/dL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ADC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27. </w:t>
            </w: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Grundy SM et al. Circulation. 2019;139(25):e1082–143</w:t>
            </w:r>
          </w:p>
        </w:tc>
      </w:tr>
      <w:tr w14:paraId="390D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CCC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Chronic kidney disease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3635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Clinical comorbidity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273F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LBXSCR, URXUMA, URXUCR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A862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Defined as estimated glomerular filtration rate (eGFR) &lt;60 mL/min/1.73 m² or urine albumin-to-creatinine ratio (ACR) ≥30 mg/g. eGFR calculated using the 2021 CKD-EPI creatinine equation without race coefficient: eGFR = 142 × min(Scr/κ, 1)^α × max(Scr/κ, 1)^(−1.200) × 0.9938^age × 1.012 [if female], where κ = 0.7 (female) or 0.9 (male), α = −0.241 (female) or −0.302 (male). ACR = 100 × urine albumin (μg/mL) / urine creatinine (mg/dL)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57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Inker LA et al. N Engl J Med. 2021;385(19):1737–49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</w:tr>
      <w:tr w14:paraId="536CB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273D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Cancer history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B01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Clinical comorbidity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0A6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MCQ220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B0E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cancer or malignancy (MCQ220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6B6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152E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7C2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Heart failure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C5F8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CVD subtype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4845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MCQ160B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13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congestive heart failure (MCQ160B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25B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2A7B0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BBA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Coronary heart disease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EF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CVD subtype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7B75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MCQ160C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32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coronary heart disease (MCQ160C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6B74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0650F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C3DD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Angina pectoris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C3F9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CVD subtype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574A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MCQ160D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DF3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angina/angina pectoris (MCQ160D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793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5A216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2A5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Myocardial infarction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C38E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CVD subtype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EC7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MCQ160E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4FE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heart attack (MCQ160E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17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31338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ED8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Stroke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8AD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CVD subtype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7EA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MCQ160F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51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physician diagnosis of stroke (MCQ160F = ‘Yes’)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514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19C8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514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Smoking status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00A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Lifestyle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EE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SMQ020, SMQ040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60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Never: smoked &lt;100 cigarettes in lifetime (SMQ020 = 2). Current: smoked ≥100 cigarettes and currently smokes every day or some days (SMQ020 = 1 and SMQ040 in {1, 2}). Former: smoked ≥100 cigarettes but currently does not smoke (SMQ020 = 1 and SMQ040 = 3)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0D4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6BED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E52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Alcohol use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6D2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Lifestyle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4C6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ALQ101, ALQ110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444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Current: consumed ≥12 alcoholic drinks in lifetime (ALQ101 = ‘Yes’). Former: consumed &lt;12 drinks in lifetime but ≥1 drink in past year (ALQ101 = ‘No’ and ALQ110 = ‘Yes’). Never: consumed &lt;12 drinks in lifetime and no drinks in past year (ALQ101 = ‘No’ and ALQ110 = ‘No’)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F7A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2505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A0A9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Body mass index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7656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Anthropometric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72F4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BMXBMI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C88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Measured weight in kilograms divided by measured height in meters squared (kg/m²), obtained during the MEC examination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C13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(physical measurement)</w:t>
            </w:r>
          </w:p>
        </w:tc>
      </w:tr>
      <w:tr w14:paraId="26792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CC1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Physical activity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12B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Exposure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265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PAD615, PAD630, PAD645, PAD660, PAD675, PAQ650, PAQ665, PAQ670, PAQ680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FB14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Moderate-to-vigorous physical activity (MVPA) calculated as the sum of MET-minutes per week across five domains: vigorous work-related (MET = 8.0), moderate work-related (MET = 4.0), walking or bicycling for transportation (MET = 3.5), vigorous leisure-time (MET = 8.0), and moderate leisure-time (MET = 4.0). For each domain: days per week × minutes per session × MET value. Sufficient activity: ≥600 MET-min/week. Insufficient: &lt;600 MET-min/week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7BDF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21. </w:t>
            </w: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Ainsworth BE et al. Med Sci Sports Exerc. 2011;43(8):1575–81</w:t>
            </w:r>
          </w:p>
        </w:tc>
      </w:tr>
      <w:tr w14:paraId="17284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CC6B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Sedentary behavior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4AA5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Exposure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D76C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PAD680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95E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Self-reported usual daily sitting time (hours/day). Primary cutoff: high sedentary ≥8 h/day, low sedentary &lt;8 h/day. Sensitivity cutoffs: ≥6 h/day and ≥10 h/day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BA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(self-report)</w:t>
            </w:r>
          </w:p>
        </w:tc>
      </w:tr>
      <w:tr w14:paraId="7184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59A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Joint PA-sedentary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A26C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Exposure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C0F6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Derived from pa_sufficient and sedentary_high_8h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B25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Four mutually exclusive groups: (1) PA sufficient + low sedentary; (2) PA sufficient + high sedentary; (3) PA insufficient + low sedentary; (4) PA insufficient + high sedentary. Reference group: PA sufficient + low sedentary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DB6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(derived variable)</w:t>
            </w:r>
          </w:p>
        </w:tc>
      </w:tr>
      <w:tr w14:paraId="19D6C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328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All-cause mortality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EF7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Outcome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78FA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ELIGSTAT, MORTSTAT, PERMTH_EXM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27F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All-cause death determined by NDI linkage: MORTSTAT = 1 indicates deceased. Follow-up time: PERMTH_EXM / 12 (years from MEC examination to death or censoring, December 31, 2019)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625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NCHS 2019 Linked Mortality Files</w:t>
            </w:r>
          </w:p>
        </w:tc>
      </w:tr>
      <w:tr w14:paraId="0DE97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895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Cardiovascular mortality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DDC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Outcome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3C7C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ELIGSTAT, MORTSTAT, UCOD_LEADING, PERMTH_EXM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273B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Cardiovascular death: deceased (MORTSTAT = 1) with underlying cause of death classified as diseases of heart (UCOD_LEADING = 1). Non-cardiovascular deaths treated as censored in cause-specific Cox models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5675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NCHS 2019 Linked Mortality Files</w:t>
            </w:r>
          </w:p>
        </w:tc>
      </w:tr>
      <w:tr w14:paraId="4A4E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39D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Education level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5A50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Socioeconomic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20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DMDEDUC2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6F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Three categories: less than high school, high school or equivalent, some college or above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2F1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(demographic)</w:t>
            </w:r>
          </w:p>
        </w:tc>
      </w:tr>
      <w:tr w14:paraId="1023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A21F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Marital status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9926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Socioeconomic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921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DMDMARTL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533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Three categories: married/living with partner, formerly married (widowed/divorced/separated), never married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F737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(demographic)</w:t>
            </w:r>
          </w:p>
        </w:tc>
      </w:tr>
      <w:tr w14:paraId="3AFC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4A1C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Poverty-income ratio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AFB9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Socioeconomic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9469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INDFMPIR</w:t>
            </w:r>
          </w:p>
        </w:tc>
        <w:tc>
          <w:tcPr>
            <w:tcW w:w="32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C7AE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Ratio of family income to federal poverty threshold. Continuous, range 0–5 (values ≥5 top-coded at 5)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F69EC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N/A (demographic)</w:t>
            </w:r>
          </w:p>
        </w:tc>
      </w:tr>
    </w:tbl>
    <w:p w14:paraId="0E15D66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eastAsia"/>
        </w:rPr>
        <w:t>Inker LA, Eneanya ND, Coresh J, Tighiouart H, Wang D, Sang Y</w:t>
      </w:r>
      <w:r>
        <w:rPr>
          <w:rFonts w:hint="eastAsia"/>
          <w:lang w:val="en-US" w:eastAsia="zh-CN"/>
        </w:rPr>
        <w:t xml:space="preserve">,et al. New Creatinine- and Cystatin C-Based Equations to Estimate GFR without Race. N Engl J Med. 2021;385(19):1737-1749.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A6554A"/>
    <w:rsid w:val="69561038"/>
    <w:rsid w:val="6FA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2026-07-11T12:57:56Z</dcterms:created>
  <dc:creator>ThinkPad</dc:creator>
  <cp:lastModifiedBy>Dr. Wang</cp:lastModifiedBy>
  <dcterms:modified xsi:type="dcterms:W3CDTF">2026-07-11T13:16:11Z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eyJoZGlkIjoiMzFjZjk2NWI4ZmFlODdkNmI3N2M2ZjY1NGU3ODdlNTMiLCJ1c2VySWQiOiIzNDEwMTE5ODkifQ==</vt:lpwstr>
  </property>
  <property fmtid="{D5CDD505-2E9C-101B-9397-08002B2CF9AE}" pid="4" name="ICV">
    <vt:lpwstr>7DF94598E6F84D2F9CA43D208A2961EF_12</vt:lpwstr>
  </property>
</Properties>
</file>