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55FBDF">
      <w:pPr>
        <w:rPr>
          <w:rFonts w:hint="eastAsia"/>
          <w:b/>
          <w:bCs/>
          <w:sz w:val="28"/>
          <w:szCs w:val="28"/>
        </w:rPr>
      </w:pPr>
      <w:r>
        <w:rPr>
          <w:rFonts w:hint="eastAsia"/>
          <w:b/>
          <w:bCs/>
          <w:sz w:val="28"/>
          <w:szCs w:val="28"/>
        </w:rPr>
        <w:t>Supplementary Table S</w:t>
      </w:r>
      <w:r>
        <w:rPr>
          <w:rFonts w:hint="eastAsia"/>
          <w:b/>
          <w:bCs/>
          <w:sz w:val="28"/>
          <w:szCs w:val="28"/>
          <w:lang w:val="en-US" w:eastAsia="zh-CN"/>
        </w:rPr>
        <w:t>3</w:t>
      </w:r>
      <w:bookmarkStart w:id="0" w:name="_GoBack"/>
      <w:bookmarkEnd w:id="0"/>
      <w:r>
        <w:rPr>
          <w:rFonts w:hint="eastAsia"/>
          <w:b/>
          <w:bCs/>
          <w:sz w:val="28"/>
          <w:szCs w:val="28"/>
        </w:rPr>
        <w:t>. Inverse-probability-of-complete-case-weighted sensitivity analyses</w:t>
      </w:r>
    </w:p>
    <w:tbl>
      <w:tblPr>
        <w:tblStyle w:val="2"/>
        <w:tblW w:w="13965"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52"/>
        <w:gridCol w:w="4353"/>
        <w:gridCol w:w="2307"/>
        <w:gridCol w:w="2713"/>
        <w:gridCol w:w="1040"/>
      </w:tblGrid>
      <w:tr w14:paraId="101B2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single" w:color="000000" w:sz="12" w:space="0"/>
              <w:left w:val="nil"/>
              <w:bottom w:val="single" w:color="000000" w:sz="4" w:space="0"/>
              <w:right w:val="nil"/>
              <w:tl2br w:val="nil"/>
            </w:tcBorders>
            <w:shd w:val="clear" w:color="auto" w:fill="FFFFFF"/>
            <w:noWrap/>
            <w:vAlign w:val="center"/>
          </w:tcPr>
          <w:p w14:paraId="69BB489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Outcome</w:t>
            </w:r>
          </w:p>
        </w:tc>
        <w:tc>
          <w:tcPr>
            <w:tcW w:w="4353" w:type="dxa"/>
            <w:tcBorders>
              <w:top w:val="single" w:color="000000" w:sz="12" w:space="0"/>
              <w:left w:val="nil"/>
              <w:bottom w:val="single" w:color="000000" w:sz="4" w:space="0"/>
              <w:right w:val="nil"/>
            </w:tcBorders>
            <w:shd w:val="clear" w:color="auto" w:fill="FFFFFF"/>
            <w:noWrap/>
            <w:vAlign w:val="center"/>
          </w:tcPr>
          <w:p w14:paraId="2F25146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Contrast</w:t>
            </w:r>
          </w:p>
        </w:tc>
        <w:tc>
          <w:tcPr>
            <w:tcW w:w="2307" w:type="dxa"/>
            <w:tcBorders>
              <w:top w:val="single" w:color="000000" w:sz="12" w:space="0"/>
              <w:left w:val="nil"/>
              <w:bottom w:val="single" w:color="000000" w:sz="4" w:space="0"/>
              <w:right w:val="single" w:color="auto" w:sz="4" w:space="0"/>
            </w:tcBorders>
            <w:shd w:val="clear" w:color="auto" w:fill="FFFFFF"/>
            <w:noWrap/>
            <w:vAlign w:val="center"/>
          </w:tcPr>
          <w:p w14:paraId="5CAE066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Model</w:t>
            </w:r>
          </w:p>
        </w:tc>
        <w:tc>
          <w:tcPr>
            <w:tcW w:w="2713" w:type="dxa"/>
            <w:tcBorders>
              <w:top w:val="single" w:color="000000" w:sz="12" w:space="0"/>
              <w:left w:val="nil"/>
              <w:bottom w:val="single" w:color="000000" w:sz="4" w:space="0"/>
              <w:right w:val="nil"/>
            </w:tcBorders>
            <w:shd w:val="clear" w:color="auto" w:fill="FFFFFF"/>
            <w:noWrap/>
            <w:vAlign w:val="center"/>
          </w:tcPr>
          <w:p w14:paraId="5B35898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HR (95% CI)</w:t>
            </w:r>
          </w:p>
        </w:tc>
        <w:tc>
          <w:tcPr>
            <w:tcW w:w="1040" w:type="dxa"/>
            <w:tcBorders>
              <w:top w:val="single" w:color="000000" w:sz="12" w:space="0"/>
              <w:left w:val="nil"/>
              <w:bottom w:val="single" w:color="000000" w:sz="4" w:space="0"/>
              <w:right w:val="nil"/>
            </w:tcBorders>
            <w:shd w:val="clear" w:color="auto" w:fill="FFFFFF"/>
            <w:noWrap/>
            <w:vAlign w:val="center"/>
          </w:tcPr>
          <w:p w14:paraId="450B0E19">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P_value</w:t>
            </w:r>
          </w:p>
        </w:tc>
      </w:tr>
      <w:tr w14:paraId="57F9A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single" w:color="000000" w:sz="4" w:space="0"/>
              <w:left w:val="nil"/>
              <w:bottom w:val="nil"/>
              <w:right w:val="nil"/>
            </w:tcBorders>
            <w:shd w:val="clear" w:color="auto" w:fill="FFFFFF"/>
            <w:noWrap/>
            <w:vAlign w:val="center"/>
          </w:tcPr>
          <w:p w14:paraId="2FBFEBAA">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All-cause mortality</w:t>
            </w:r>
          </w:p>
        </w:tc>
        <w:tc>
          <w:tcPr>
            <w:tcW w:w="4353" w:type="dxa"/>
            <w:tcBorders>
              <w:top w:val="single" w:color="000000" w:sz="4" w:space="0"/>
              <w:left w:val="nil"/>
              <w:bottom w:val="nil"/>
              <w:right w:val="nil"/>
            </w:tcBorders>
            <w:shd w:val="clear" w:color="auto" w:fill="FFFFFF"/>
            <w:noWrap/>
            <w:vAlign w:val="center"/>
          </w:tcPr>
          <w:p w14:paraId="14A84022">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sufficient + high sedentary</w:t>
            </w:r>
          </w:p>
        </w:tc>
        <w:tc>
          <w:tcPr>
            <w:tcW w:w="2307" w:type="dxa"/>
            <w:tcBorders>
              <w:top w:val="single" w:color="000000" w:sz="4" w:space="0"/>
              <w:left w:val="nil"/>
              <w:bottom w:val="nil"/>
              <w:right w:val="single" w:color="auto" w:sz="4" w:space="0"/>
            </w:tcBorders>
            <w:shd w:val="clear" w:color="auto" w:fill="FFFFFF"/>
            <w:noWrap/>
            <w:vAlign w:val="center"/>
          </w:tcPr>
          <w:p w14:paraId="4B43C1BA">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Original</w:t>
            </w:r>
          </w:p>
        </w:tc>
        <w:tc>
          <w:tcPr>
            <w:tcW w:w="2713" w:type="dxa"/>
            <w:tcBorders>
              <w:top w:val="single" w:color="000000" w:sz="4" w:space="0"/>
              <w:left w:val="nil"/>
              <w:bottom w:val="nil"/>
              <w:right w:val="nil"/>
            </w:tcBorders>
            <w:shd w:val="clear" w:color="auto" w:fill="FFFFFF"/>
            <w:noWrap/>
            <w:vAlign w:val="center"/>
          </w:tcPr>
          <w:p w14:paraId="6AD05D31">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1.261 (0.926–1.718)</w:t>
            </w:r>
          </w:p>
        </w:tc>
        <w:tc>
          <w:tcPr>
            <w:tcW w:w="1040" w:type="dxa"/>
            <w:tcBorders>
              <w:top w:val="single" w:color="000000" w:sz="4" w:space="0"/>
              <w:left w:val="nil"/>
              <w:bottom w:val="nil"/>
              <w:right w:val="nil"/>
            </w:tcBorders>
            <w:shd w:val="clear" w:color="auto" w:fill="FFFFFF"/>
            <w:noWrap/>
            <w:vAlign w:val="center"/>
          </w:tcPr>
          <w:p w14:paraId="79B558B9">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0.1408</w:t>
            </w:r>
          </w:p>
        </w:tc>
      </w:tr>
      <w:tr w14:paraId="45132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19EFF498">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All-cause mortality</w:t>
            </w:r>
          </w:p>
        </w:tc>
        <w:tc>
          <w:tcPr>
            <w:tcW w:w="4353" w:type="dxa"/>
            <w:tcBorders>
              <w:top w:val="nil"/>
              <w:left w:val="nil"/>
              <w:bottom w:val="nil"/>
              <w:right w:val="nil"/>
            </w:tcBorders>
            <w:shd w:val="clear" w:color="auto" w:fill="FFFFFF"/>
            <w:noWrap/>
            <w:vAlign w:val="center"/>
          </w:tcPr>
          <w:p w14:paraId="3DAC3DEA">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insufficient + low sedentary</w:t>
            </w:r>
          </w:p>
        </w:tc>
        <w:tc>
          <w:tcPr>
            <w:tcW w:w="2307" w:type="dxa"/>
            <w:tcBorders>
              <w:top w:val="nil"/>
              <w:left w:val="nil"/>
              <w:bottom w:val="nil"/>
              <w:right w:val="single" w:color="auto" w:sz="4" w:space="0"/>
            </w:tcBorders>
            <w:shd w:val="clear" w:color="auto" w:fill="FFFFFF"/>
            <w:noWrap/>
            <w:vAlign w:val="center"/>
          </w:tcPr>
          <w:p w14:paraId="00C2C0A4">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Original</w:t>
            </w:r>
          </w:p>
        </w:tc>
        <w:tc>
          <w:tcPr>
            <w:tcW w:w="2713" w:type="dxa"/>
            <w:tcBorders>
              <w:top w:val="nil"/>
              <w:left w:val="nil"/>
              <w:bottom w:val="nil"/>
              <w:right w:val="nil"/>
            </w:tcBorders>
            <w:shd w:val="clear" w:color="auto" w:fill="FFFFFF"/>
            <w:noWrap/>
            <w:vAlign w:val="center"/>
          </w:tcPr>
          <w:p w14:paraId="7C7E4664">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1.311 (1.040–1.652)</w:t>
            </w:r>
          </w:p>
        </w:tc>
        <w:tc>
          <w:tcPr>
            <w:tcW w:w="1040" w:type="dxa"/>
            <w:tcBorders>
              <w:top w:val="nil"/>
              <w:left w:val="nil"/>
              <w:bottom w:val="nil"/>
              <w:right w:val="nil"/>
            </w:tcBorders>
            <w:shd w:val="clear" w:color="auto" w:fill="FFFFFF"/>
            <w:noWrap/>
            <w:vAlign w:val="center"/>
          </w:tcPr>
          <w:p w14:paraId="20B21190">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0.0217</w:t>
            </w:r>
          </w:p>
        </w:tc>
      </w:tr>
      <w:tr w14:paraId="3641D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1CB9AE16">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All-cause mortality</w:t>
            </w:r>
          </w:p>
        </w:tc>
        <w:tc>
          <w:tcPr>
            <w:tcW w:w="4353" w:type="dxa"/>
            <w:tcBorders>
              <w:top w:val="nil"/>
              <w:left w:val="nil"/>
              <w:bottom w:val="nil"/>
              <w:right w:val="nil"/>
            </w:tcBorders>
            <w:shd w:val="clear" w:color="auto" w:fill="FFFFFF"/>
            <w:noWrap/>
            <w:vAlign w:val="center"/>
          </w:tcPr>
          <w:p w14:paraId="5F400665">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insufficient + high sedentary</w:t>
            </w:r>
          </w:p>
        </w:tc>
        <w:tc>
          <w:tcPr>
            <w:tcW w:w="2307" w:type="dxa"/>
            <w:tcBorders>
              <w:top w:val="nil"/>
              <w:left w:val="nil"/>
              <w:bottom w:val="nil"/>
              <w:right w:val="single" w:color="auto" w:sz="4" w:space="0"/>
            </w:tcBorders>
            <w:shd w:val="clear" w:color="auto" w:fill="FFFFFF"/>
            <w:noWrap/>
            <w:vAlign w:val="center"/>
          </w:tcPr>
          <w:p w14:paraId="2EC5FCD6">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Original</w:t>
            </w:r>
          </w:p>
        </w:tc>
        <w:tc>
          <w:tcPr>
            <w:tcW w:w="2713" w:type="dxa"/>
            <w:tcBorders>
              <w:top w:val="nil"/>
              <w:left w:val="nil"/>
              <w:bottom w:val="nil"/>
              <w:right w:val="nil"/>
            </w:tcBorders>
            <w:shd w:val="clear" w:color="auto" w:fill="FFFFFF"/>
            <w:noWrap/>
            <w:vAlign w:val="center"/>
          </w:tcPr>
          <w:p w14:paraId="63019003">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1.995 (1.547–2.572)</w:t>
            </w:r>
          </w:p>
        </w:tc>
        <w:tc>
          <w:tcPr>
            <w:tcW w:w="1040" w:type="dxa"/>
            <w:tcBorders>
              <w:top w:val="nil"/>
              <w:left w:val="nil"/>
              <w:bottom w:val="nil"/>
              <w:right w:val="nil"/>
            </w:tcBorders>
            <w:shd w:val="clear" w:color="auto" w:fill="FFFFFF"/>
            <w:noWrap/>
            <w:vAlign w:val="center"/>
          </w:tcPr>
          <w:p w14:paraId="72F22DB1">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&lt;0.0001</w:t>
            </w:r>
          </w:p>
        </w:tc>
      </w:tr>
      <w:tr w14:paraId="4F16B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4EABFA78">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All-cause mortality</w:t>
            </w:r>
          </w:p>
        </w:tc>
        <w:tc>
          <w:tcPr>
            <w:tcW w:w="4353" w:type="dxa"/>
            <w:tcBorders>
              <w:top w:val="nil"/>
              <w:left w:val="nil"/>
              <w:bottom w:val="nil"/>
              <w:right w:val="nil"/>
            </w:tcBorders>
            <w:shd w:val="clear" w:color="auto" w:fill="FFFFFF"/>
            <w:noWrap/>
            <w:vAlign w:val="center"/>
          </w:tcPr>
          <w:p w14:paraId="7230B0ED">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sufficient + high sedentary</w:t>
            </w:r>
          </w:p>
        </w:tc>
        <w:tc>
          <w:tcPr>
            <w:tcW w:w="2307" w:type="dxa"/>
            <w:tcBorders>
              <w:top w:val="nil"/>
              <w:left w:val="nil"/>
              <w:bottom w:val="nil"/>
              <w:right w:val="single" w:color="auto" w:sz="4" w:space="0"/>
            </w:tcBorders>
            <w:shd w:val="clear" w:color="auto" w:fill="FFFFFF"/>
            <w:noWrap/>
            <w:vAlign w:val="center"/>
          </w:tcPr>
          <w:p w14:paraId="005EA682">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IPCW-weighted</w:t>
            </w:r>
          </w:p>
        </w:tc>
        <w:tc>
          <w:tcPr>
            <w:tcW w:w="2713" w:type="dxa"/>
            <w:tcBorders>
              <w:top w:val="nil"/>
              <w:left w:val="nil"/>
              <w:bottom w:val="nil"/>
              <w:right w:val="nil"/>
            </w:tcBorders>
            <w:shd w:val="clear" w:color="auto" w:fill="FFFFFF"/>
            <w:noWrap/>
            <w:vAlign w:val="center"/>
          </w:tcPr>
          <w:p w14:paraId="0436D3E3">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1.229 (0.908–1.663)</w:t>
            </w:r>
          </w:p>
        </w:tc>
        <w:tc>
          <w:tcPr>
            <w:tcW w:w="1040" w:type="dxa"/>
            <w:tcBorders>
              <w:top w:val="nil"/>
              <w:left w:val="nil"/>
              <w:bottom w:val="nil"/>
              <w:right w:val="nil"/>
            </w:tcBorders>
            <w:shd w:val="clear" w:color="auto" w:fill="FFFFFF"/>
            <w:noWrap/>
            <w:vAlign w:val="center"/>
          </w:tcPr>
          <w:p w14:paraId="7404A298">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0.1827</w:t>
            </w:r>
          </w:p>
        </w:tc>
      </w:tr>
      <w:tr w14:paraId="7073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6553A0DB">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All-cause mortality</w:t>
            </w:r>
          </w:p>
        </w:tc>
        <w:tc>
          <w:tcPr>
            <w:tcW w:w="4353" w:type="dxa"/>
            <w:tcBorders>
              <w:top w:val="nil"/>
              <w:left w:val="nil"/>
              <w:bottom w:val="nil"/>
              <w:right w:val="nil"/>
            </w:tcBorders>
            <w:shd w:val="clear" w:color="auto" w:fill="FFFFFF"/>
            <w:noWrap/>
            <w:vAlign w:val="center"/>
          </w:tcPr>
          <w:p w14:paraId="00426C61">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insufficient + low sedentary</w:t>
            </w:r>
          </w:p>
        </w:tc>
        <w:tc>
          <w:tcPr>
            <w:tcW w:w="2307" w:type="dxa"/>
            <w:tcBorders>
              <w:top w:val="nil"/>
              <w:left w:val="nil"/>
              <w:bottom w:val="nil"/>
              <w:right w:val="single" w:color="auto" w:sz="4" w:space="0"/>
            </w:tcBorders>
            <w:shd w:val="clear" w:color="auto" w:fill="FFFFFF"/>
            <w:noWrap/>
            <w:vAlign w:val="center"/>
          </w:tcPr>
          <w:p w14:paraId="46D133E1">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IPCW-weighted</w:t>
            </w:r>
          </w:p>
        </w:tc>
        <w:tc>
          <w:tcPr>
            <w:tcW w:w="2713" w:type="dxa"/>
            <w:tcBorders>
              <w:top w:val="nil"/>
              <w:left w:val="nil"/>
              <w:bottom w:val="nil"/>
              <w:right w:val="nil"/>
            </w:tcBorders>
            <w:shd w:val="clear" w:color="auto" w:fill="FFFFFF"/>
            <w:noWrap/>
            <w:vAlign w:val="center"/>
          </w:tcPr>
          <w:p w14:paraId="52E5C27B">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1.333 (1.062–1.672)</w:t>
            </w:r>
          </w:p>
        </w:tc>
        <w:tc>
          <w:tcPr>
            <w:tcW w:w="1040" w:type="dxa"/>
            <w:tcBorders>
              <w:top w:val="nil"/>
              <w:left w:val="nil"/>
              <w:bottom w:val="nil"/>
              <w:right w:val="nil"/>
            </w:tcBorders>
            <w:shd w:val="clear" w:color="auto" w:fill="FFFFFF"/>
            <w:noWrap/>
            <w:vAlign w:val="center"/>
          </w:tcPr>
          <w:p w14:paraId="60D1F63F">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0.0131</w:t>
            </w:r>
          </w:p>
        </w:tc>
      </w:tr>
      <w:tr w14:paraId="5456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010CEDC5">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All-cause mortality</w:t>
            </w:r>
          </w:p>
        </w:tc>
        <w:tc>
          <w:tcPr>
            <w:tcW w:w="4353" w:type="dxa"/>
            <w:tcBorders>
              <w:top w:val="nil"/>
              <w:left w:val="nil"/>
              <w:bottom w:val="nil"/>
              <w:right w:val="nil"/>
            </w:tcBorders>
            <w:shd w:val="clear" w:color="auto" w:fill="FFFFFF"/>
            <w:noWrap/>
            <w:vAlign w:val="center"/>
          </w:tcPr>
          <w:p w14:paraId="1B929774">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insufficient + high sedentary</w:t>
            </w:r>
          </w:p>
        </w:tc>
        <w:tc>
          <w:tcPr>
            <w:tcW w:w="2307" w:type="dxa"/>
            <w:tcBorders>
              <w:top w:val="nil"/>
              <w:left w:val="nil"/>
              <w:bottom w:val="nil"/>
              <w:right w:val="single" w:color="auto" w:sz="4" w:space="0"/>
            </w:tcBorders>
            <w:shd w:val="clear" w:color="auto" w:fill="FFFFFF"/>
            <w:noWrap/>
            <w:vAlign w:val="center"/>
          </w:tcPr>
          <w:p w14:paraId="1574DB3E">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IPCW-weighted</w:t>
            </w:r>
          </w:p>
        </w:tc>
        <w:tc>
          <w:tcPr>
            <w:tcW w:w="2713" w:type="dxa"/>
            <w:tcBorders>
              <w:top w:val="nil"/>
              <w:left w:val="nil"/>
              <w:bottom w:val="nil"/>
              <w:right w:val="nil"/>
            </w:tcBorders>
            <w:shd w:val="clear" w:color="auto" w:fill="FFFFFF"/>
            <w:noWrap/>
            <w:vAlign w:val="center"/>
          </w:tcPr>
          <w:p w14:paraId="469062A6">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2.033 (1.588–2.603)</w:t>
            </w:r>
          </w:p>
        </w:tc>
        <w:tc>
          <w:tcPr>
            <w:tcW w:w="1040" w:type="dxa"/>
            <w:tcBorders>
              <w:top w:val="nil"/>
              <w:left w:val="nil"/>
              <w:bottom w:val="nil"/>
              <w:right w:val="nil"/>
            </w:tcBorders>
            <w:shd w:val="clear" w:color="auto" w:fill="FFFFFF"/>
            <w:noWrap/>
            <w:vAlign w:val="center"/>
          </w:tcPr>
          <w:p w14:paraId="06D59471">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&lt;0.0001</w:t>
            </w:r>
          </w:p>
        </w:tc>
      </w:tr>
      <w:tr w14:paraId="3E2C1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38BF5D11">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Cardiovascular mortality</w:t>
            </w:r>
          </w:p>
        </w:tc>
        <w:tc>
          <w:tcPr>
            <w:tcW w:w="4353" w:type="dxa"/>
            <w:tcBorders>
              <w:top w:val="nil"/>
              <w:left w:val="nil"/>
              <w:bottom w:val="nil"/>
              <w:right w:val="nil"/>
            </w:tcBorders>
            <w:shd w:val="clear" w:color="auto" w:fill="FFFFFF"/>
            <w:noWrap/>
            <w:vAlign w:val="center"/>
          </w:tcPr>
          <w:p w14:paraId="574873C3">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sufficient + high sedentary</w:t>
            </w:r>
          </w:p>
        </w:tc>
        <w:tc>
          <w:tcPr>
            <w:tcW w:w="2307" w:type="dxa"/>
            <w:tcBorders>
              <w:top w:val="nil"/>
              <w:left w:val="nil"/>
              <w:bottom w:val="nil"/>
              <w:right w:val="single" w:color="auto" w:sz="4" w:space="0"/>
            </w:tcBorders>
            <w:shd w:val="clear" w:color="auto" w:fill="FFFFFF"/>
            <w:noWrap/>
            <w:vAlign w:val="center"/>
          </w:tcPr>
          <w:p w14:paraId="7C034FC2">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Original</w:t>
            </w:r>
          </w:p>
        </w:tc>
        <w:tc>
          <w:tcPr>
            <w:tcW w:w="2713" w:type="dxa"/>
            <w:tcBorders>
              <w:top w:val="nil"/>
              <w:left w:val="nil"/>
              <w:bottom w:val="nil"/>
              <w:right w:val="nil"/>
            </w:tcBorders>
            <w:shd w:val="clear" w:color="auto" w:fill="FFFFFF"/>
            <w:noWrap/>
            <w:vAlign w:val="center"/>
          </w:tcPr>
          <w:p w14:paraId="4060ACC3">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1.345 (0.776–2.333)</w:t>
            </w:r>
          </w:p>
        </w:tc>
        <w:tc>
          <w:tcPr>
            <w:tcW w:w="1040" w:type="dxa"/>
            <w:tcBorders>
              <w:top w:val="nil"/>
              <w:left w:val="nil"/>
              <w:bottom w:val="nil"/>
              <w:right w:val="nil"/>
            </w:tcBorders>
            <w:shd w:val="clear" w:color="auto" w:fill="FFFFFF"/>
            <w:noWrap/>
            <w:vAlign w:val="center"/>
          </w:tcPr>
          <w:p w14:paraId="3D3FFD0E">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0.2906</w:t>
            </w:r>
          </w:p>
        </w:tc>
      </w:tr>
      <w:tr w14:paraId="3895E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0FBFBB24">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Cardiovascular mortality</w:t>
            </w:r>
          </w:p>
        </w:tc>
        <w:tc>
          <w:tcPr>
            <w:tcW w:w="4353" w:type="dxa"/>
            <w:tcBorders>
              <w:top w:val="nil"/>
              <w:left w:val="nil"/>
              <w:bottom w:val="nil"/>
              <w:right w:val="nil"/>
            </w:tcBorders>
            <w:shd w:val="clear" w:color="auto" w:fill="FFFFFF"/>
            <w:noWrap/>
            <w:vAlign w:val="center"/>
          </w:tcPr>
          <w:p w14:paraId="6418EDDC">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insufficient + low sedentary</w:t>
            </w:r>
          </w:p>
        </w:tc>
        <w:tc>
          <w:tcPr>
            <w:tcW w:w="2307" w:type="dxa"/>
            <w:tcBorders>
              <w:top w:val="nil"/>
              <w:left w:val="nil"/>
              <w:bottom w:val="nil"/>
              <w:right w:val="single" w:color="auto" w:sz="4" w:space="0"/>
            </w:tcBorders>
            <w:shd w:val="clear" w:color="auto" w:fill="FFFFFF"/>
            <w:noWrap/>
            <w:vAlign w:val="center"/>
          </w:tcPr>
          <w:p w14:paraId="6B30F8C4">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Original</w:t>
            </w:r>
          </w:p>
        </w:tc>
        <w:tc>
          <w:tcPr>
            <w:tcW w:w="2713" w:type="dxa"/>
            <w:tcBorders>
              <w:top w:val="nil"/>
              <w:left w:val="nil"/>
              <w:bottom w:val="nil"/>
              <w:right w:val="nil"/>
            </w:tcBorders>
            <w:shd w:val="clear" w:color="auto" w:fill="FFFFFF"/>
            <w:noWrap/>
            <w:vAlign w:val="center"/>
          </w:tcPr>
          <w:p w14:paraId="091271FD">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1.100 (0.771–1.568)</w:t>
            </w:r>
          </w:p>
        </w:tc>
        <w:tc>
          <w:tcPr>
            <w:tcW w:w="1040" w:type="dxa"/>
            <w:tcBorders>
              <w:top w:val="nil"/>
              <w:left w:val="nil"/>
              <w:bottom w:val="nil"/>
              <w:right w:val="nil"/>
            </w:tcBorders>
            <w:shd w:val="clear" w:color="auto" w:fill="FFFFFF"/>
            <w:noWrap/>
            <w:vAlign w:val="center"/>
          </w:tcPr>
          <w:p w14:paraId="776269F6">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0.6</w:t>
            </w:r>
          </w:p>
        </w:tc>
      </w:tr>
      <w:tr w14:paraId="20A0E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29CAB186">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Cardiovascular mortality</w:t>
            </w:r>
          </w:p>
        </w:tc>
        <w:tc>
          <w:tcPr>
            <w:tcW w:w="4353" w:type="dxa"/>
            <w:tcBorders>
              <w:top w:val="nil"/>
              <w:left w:val="nil"/>
              <w:bottom w:val="nil"/>
              <w:right w:val="nil"/>
            </w:tcBorders>
            <w:shd w:val="clear" w:color="auto" w:fill="FFFFFF"/>
            <w:noWrap/>
            <w:vAlign w:val="center"/>
          </w:tcPr>
          <w:p w14:paraId="343CA6DC">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insufficient + high sedentary</w:t>
            </w:r>
          </w:p>
        </w:tc>
        <w:tc>
          <w:tcPr>
            <w:tcW w:w="2307" w:type="dxa"/>
            <w:tcBorders>
              <w:top w:val="nil"/>
              <w:left w:val="nil"/>
              <w:bottom w:val="nil"/>
              <w:right w:val="single" w:color="auto" w:sz="4" w:space="0"/>
            </w:tcBorders>
            <w:shd w:val="clear" w:color="auto" w:fill="FFFFFF"/>
            <w:noWrap/>
            <w:vAlign w:val="center"/>
          </w:tcPr>
          <w:p w14:paraId="5A06D654">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Original</w:t>
            </w:r>
          </w:p>
        </w:tc>
        <w:tc>
          <w:tcPr>
            <w:tcW w:w="2713" w:type="dxa"/>
            <w:tcBorders>
              <w:top w:val="nil"/>
              <w:left w:val="nil"/>
              <w:bottom w:val="nil"/>
              <w:right w:val="nil"/>
            </w:tcBorders>
            <w:shd w:val="clear" w:color="auto" w:fill="FFFFFF"/>
            <w:noWrap/>
            <w:vAlign w:val="center"/>
          </w:tcPr>
          <w:p w14:paraId="5E6D9833">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1.700 (1.055–2.740)</w:t>
            </w:r>
          </w:p>
        </w:tc>
        <w:tc>
          <w:tcPr>
            <w:tcW w:w="1040" w:type="dxa"/>
            <w:tcBorders>
              <w:top w:val="nil"/>
              <w:left w:val="nil"/>
              <w:bottom w:val="nil"/>
              <w:right w:val="nil"/>
            </w:tcBorders>
            <w:shd w:val="clear" w:color="auto" w:fill="FFFFFF"/>
            <w:noWrap/>
            <w:vAlign w:val="center"/>
          </w:tcPr>
          <w:p w14:paraId="18CAB293">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0.0294</w:t>
            </w:r>
          </w:p>
        </w:tc>
      </w:tr>
      <w:tr w14:paraId="17FDD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2E68DDE5">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Cardiovascular mortality</w:t>
            </w:r>
          </w:p>
        </w:tc>
        <w:tc>
          <w:tcPr>
            <w:tcW w:w="4353" w:type="dxa"/>
            <w:tcBorders>
              <w:top w:val="nil"/>
              <w:left w:val="nil"/>
              <w:bottom w:val="nil"/>
              <w:right w:val="nil"/>
            </w:tcBorders>
            <w:shd w:val="clear" w:color="auto" w:fill="FFFFFF"/>
            <w:noWrap/>
            <w:vAlign w:val="center"/>
          </w:tcPr>
          <w:p w14:paraId="638983E2">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sufficient + high sedentary</w:t>
            </w:r>
          </w:p>
        </w:tc>
        <w:tc>
          <w:tcPr>
            <w:tcW w:w="2307" w:type="dxa"/>
            <w:tcBorders>
              <w:top w:val="nil"/>
              <w:left w:val="nil"/>
              <w:bottom w:val="nil"/>
              <w:right w:val="single" w:color="auto" w:sz="4" w:space="0"/>
            </w:tcBorders>
            <w:shd w:val="clear" w:color="auto" w:fill="FFFFFF"/>
            <w:noWrap/>
            <w:vAlign w:val="center"/>
          </w:tcPr>
          <w:p w14:paraId="2AAF0852">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IPCW-weighted</w:t>
            </w:r>
          </w:p>
        </w:tc>
        <w:tc>
          <w:tcPr>
            <w:tcW w:w="2713" w:type="dxa"/>
            <w:tcBorders>
              <w:top w:val="nil"/>
              <w:left w:val="nil"/>
              <w:bottom w:val="nil"/>
              <w:right w:val="nil"/>
            </w:tcBorders>
            <w:shd w:val="clear" w:color="auto" w:fill="FFFFFF"/>
            <w:noWrap/>
            <w:vAlign w:val="center"/>
          </w:tcPr>
          <w:p w14:paraId="1F8227B1">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1.296 (0.759–2.214)</w:t>
            </w:r>
          </w:p>
        </w:tc>
        <w:tc>
          <w:tcPr>
            <w:tcW w:w="1040" w:type="dxa"/>
            <w:tcBorders>
              <w:top w:val="nil"/>
              <w:left w:val="nil"/>
              <w:bottom w:val="nil"/>
              <w:right w:val="nil"/>
            </w:tcBorders>
            <w:shd w:val="clear" w:color="auto" w:fill="FFFFFF"/>
            <w:noWrap/>
            <w:vAlign w:val="center"/>
          </w:tcPr>
          <w:p w14:paraId="4333F0E2">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0.3429</w:t>
            </w:r>
          </w:p>
        </w:tc>
      </w:tr>
      <w:tr w14:paraId="577D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nil"/>
              <w:right w:val="nil"/>
            </w:tcBorders>
            <w:shd w:val="clear" w:color="auto" w:fill="FFFFFF"/>
            <w:noWrap/>
            <w:vAlign w:val="center"/>
          </w:tcPr>
          <w:p w14:paraId="06964493">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Cardiovascular mortality</w:t>
            </w:r>
          </w:p>
        </w:tc>
        <w:tc>
          <w:tcPr>
            <w:tcW w:w="4353" w:type="dxa"/>
            <w:tcBorders>
              <w:top w:val="nil"/>
              <w:left w:val="nil"/>
              <w:bottom w:val="nil"/>
              <w:right w:val="nil"/>
            </w:tcBorders>
            <w:shd w:val="clear" w:color="auto" w:fill="FFFFFF"/>
            <w:noWrap/>
            <w:vAlign w:val="center"/>
          </w:tcPr>
          <w:p w14:paraId="2A4BE1F8">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insufficient + low sedentary</w:t>
            </w:r>
          </w:p>
        </w:tc>
        <w:tc>
          <w:tcPr>
            <w:tcW w:w="2307" w:type="dxa"/>
            <w:tcBorders>
              <w:top w:val="nil"/>
              <w:left w:val="nil"/>
              <w:bottom w:val="nil"/>
              <w:right w:val="single" w:color="auto" w:sz="4" w:space="0"/>
            </w:tcBorders>
            <w:shd w:val="clear" w:color="auto" w:fill="FFFFFF"/>
            <w:noWrap/>
            <w:vAlign w:val="center"/>
          </w:tcPr>
          <w:p w14:paraId="5387A5C8">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IPCW-weighted</w:t>
            </w:r>
          </w:p>
        </w:tc>
        <w:tc>
          <w:tcPr>
            <w:tcW w:w="2713" w:type="dxa"/>
            <w:tcBorders>
              <w:top w:val="nil"/>
              <w:left w:val="nil"/>
              <w:bottom w:val="nil"/>
              <w:right w:val="nil"/>
            </w:tcBorders>
            <w:shd w:val="clear" w:color="auto" w:fill="FFFFFF"/>
            <w:noWrap/>
            <w:vAlign w:val="center"/>
          </w:tcPr>
          <w:p w14:paraId="5B62F785">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1.131 (0.795–1.610)</w:t>
            </w:r>
          </w:p>
        </w:tc>
        <w:tc>
          <w:tcPr>
            <w:tcW w:w="1040" w:type="dxa"/>
            <w:tcBorders>
              <w:top w:val="nil"/>
              <w:left w:val="nil"/>
              <w:bottom w:val="nil"/>
              <w:right w:val="nil"/>
            </w:tcBorders>
            <w:shd w:val="clear" w:color="auto" w:fill="FFFFFF"/>
            <w:noWrap/>
            <w:vAlign w:val="center"/>
          </w:tcPr>
          <w:p w14:paraId="17893170">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0.493</w:t>
            </w:r>
          </w:p>
        </w:tc>
      </w:tr>
      <w:tr w14:paraId="0A282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3552" w:type="dxa"/>
            <w:tcBorders>
              <w:top w:val="nil"/>
              <w:left w:val="nil"/>
              <w:bottom w:val="single" w:color="000000" w:sz="12" w:space="0"/>
              <w:right w:val="nil"/>
            </w:tcBorders>
            <w:shd w:val="clear" w:color="auto" w:fill="FFFFFF"/>
            <w:noWrap/>
            <w:vAlign w:val="center"/>
          </w:tcPr>
          <w:p w14:paraId="4AE81E4B">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Cardiovascular mortality</w:t>
            </w:r>
          </w:p>
        </w:tc>
        <w:tc>
          <w:tcPr>
            <w:tcW w:w="4353" w:type="dxa"/>
            <w:tcBorders>
              <w:top w:val="nil"/>
              <w:left w:val="nil"/>
              <w:bottom w:val="single" w:color="000000" w:sz="12" w:space="0"/>
              <w:right w:val="nil"/>
            </w:tcBorders>
            <w:shd w:val="clear" w:color="auto" w:fill="FFFFFF"/>
            <w:noWrap/>
            <w:vAlign w:val="center"/>
          </w:tcPr>
          <w:p w14:paraId="25774F05">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PA insufficient + high sedentary</w:t>
            </w:r>
          </w:p>
        </w:tc>
        <w:tc>
          <w:tcPr>
            <w:tcW w:w="2307" w:type="dxa"/>
            <w:tcBorders>
              <w:top w:val="nil"/>
              <w:left w:val="nil"/>
              <w:bottom w:val="single" w:color="000000" w:sz="12" w:space="0"/>
              <w:right w:val="single" w:color="auto" w:sz="4" w:space="0"/>
            </w:tcBorders>
            <w:shd w:val="clear" w:color="auto" w:fill="FFFFFF"/>
            <w:noWrap/>
            <w:vAlign w:val="center"/>
          </w:tcPr>
          <w:p w14:paraId="0BE5B015">
            <w:pPr>
              <w:keepNext w:val="0"/>
              <w:keepLines w:val="0"/>
              <w:widowControl/>
              <w:suppressLineNumbers w:val="0"/>
              <w:jc w:val="lef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IPCW-weighted</w:t>
            </w:r>
          </w:p>
        </w:tc>
        <w:tc>
          <w:tcPr>
            <w:tcW w:w="2713" w:type="dxa"/>
            <w:tcBorders>
              <w:top w:val="nil"/>
              <w:left w:val="nil"/>
              <w:bottom w:val="single" w:color="000000" w:sz="12" w:space="0"/>
              <w:right w:val="nil"/>
            </w:tcBorders>
            <w:shd w:val="clear" w:color="auto" w:fill="FFFFFF"/>
            <w:noWrap/>
            <w:vAlign w:val="center"/>
          </w:tcPr>
          <w:p w14:paraId="1BC2CF1F">
            <w:pPr>
              <w:keepNext w:val="0"/>
              <w:keepLines w:val="0"/>
              <w:widowControl/>
              <w:suppressLineNumbers w:val="0"/>
              <w:jc w:val="left"/>
              <w:rPr>
                <w:rFonts w:hint="eastAsia" w:ascii="宋体" w:hAnsi="宋体" w:eastAsia="宋体" w:cs="宋体"/>
                <w:b w:val="0"/>
                <w:i w:val="0"/>
                <w:iCs w:val="0"/>
                <w:color w:val="000000"/>
                <w:sz w:val="22"/>
                <w:szCs w:val="22"/>
                <w:u w:val="none"/>
              </w:rPr>
            </w:pPr>
            <w:r>
              <w:rPr>
                <w:rFonts w:hint="eastAsia" w:ascii="微软雅黑" w:hAnsi="微软雅黑" w:eastAsia="微软雅黑" w:cs="微软雅黑"/>
                <w:i w:val="0"/>
                <w:iCs w:val="0"/>
                <w:caps w:val="0"/>
                <w:color w:val="212529"/>
                <w:spacing w:val="0"/>
                <w:kern w:val="0"/>
                <w:sz w:val="18"/>
                <w:szCs w:val="18"/>
                <w:lang w:val="en-US" w:eastAsia="zh-CN" w:bidi="ar"/>
              </w:rPr>
              <w:t>1.753 (1.095–2.807)</w:t>
            </w:r>
          </w:p>
        </w:tc>
        <w:tc>
          <w:tcPr>
            <w:tcW w:w="1040" w:type="dxa"/>
            <w:tcBorders>
              <w:top w:val="nil"/>
              <w:left w:val="nil"/>
              <w:bottom w:val="single" w:color="000000" w:sz="12" w:space="0"/>
              <w:right w:val="nil"/>
            </w:tcBorders>
            <w:shd w:val="clear" w:color="auto" w:fill="FFFFFF"/>
            <w:noWrap/>
            <w:vAlign w:val="center"/>
          </w:tcPr>
          <w:p w14:paraId="3D3659B0">
            <w:pPr>
              <w:keepNext w:val="0"/>
              <w:keepLines w:val="0"/>
              <w:widowControl/>
              <w:suppressLineNumbers w:val="0"/>
              <w:jc w:val="right"/>
              <w:textAlignment w:val="center"/>
              <w:rPr>
                <w:rFonts w:hint="eastAsia" w:ascii="宋体" w:hAnsi="宋体" w:eastAsia="宋体" w:cs="宋体"/>
                <w:b w:val="0"/>
                <w:i w:val="0"/>
                <w:iCs w:val="0"/>
                <w:color w:val="000000"/>
                <w:sz w:val="22"/>
                <w:szCs w:val="22"/>
                <w:u w:val="none"/>
              </w:rPr>
            </w:pPr>
            <w:r>
              <w:rPr>
                <w:rFonts w:hint="eastAsia" w:ascii="宋体" w:hAnsi="宋体" w:eastAsia="宋体" w:cs="宋体"/>
                <w:b w:val="0"/>
                <w:i w:val="0"/>
                <w:iCs w:val="0"/>
                <w:color w:val="000000"/>
                <w:kern w:val="0"/>
                <w:sz w:val="22"/>
                <w:szCs w:val="22"/>
                <w:u w:val="none"/>
                <w:lang w:val="en-US" w:eastAsia="zh-CN" w:bidi="ar"/>
              </w:rPr>
              <w:t>0.0195</w:t>
            </w:r>
          </w:p>
        </w:tc>
      </w:tr>
    </w:tbl>
    <w:p w14:paraId="7B902F7B">
      <w:r>
        <w:rPr>
          <w:rFonts w:hint="eastAsia"/>
        </w:rPr>
        <w:t>Hazard ratios and 95% confidence intervals were estimated using Cox proportional hazards models. The physically active/low-sedentary group was the reference category. The original and IPCW models were adjusted for the same covariates included in fully adjusted Model 3. In the IPCW analysis, the probability of inclusion in the final complete-case sample was estimated using a logistic regression model with age, sex, race/ethnicity, marital status, smoking status, hypertension, diabetes, physical activity level, sedentary behavior, all-cause death, and follow-up duration as predictors. Stabilized inverse-probability-of-complete-case weights were truncated at the 99th percentile and combined with the NHANES MEC examination weights. Robust standard errors were used to account for weighting. P values &lt;0.0001 are reported as &lt;0.0001. CI, confidence interval; CVD, cardiovascular disease; HR, hazard ratio; IPCW, inverse probability of complete-case weighting; MEC, Mobile Examination Center; NHANES, National Health and Nutrition Examination Survey; PA, physical activity.</w:t>
      </w:r>
    </w:p>
    <w:p w14:paraId="6BA815E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B26461"/>
    <w:rsid w:val="1F2B1D3D"/>
    <w:rsid w:val="272B5085"/>
    <w:rsid w:val="2A7A763A"/>
    <w:rsid w:val="3B8A1482"/>
    <w:rsid w:val="411806AF"/>
    <w:rsid w:val="496A638F"/>
    <w:rsid w:val="4B101F6A"/>
    <w:rsid w:val="4C83735B"/>
    <w:rsid w:val="73EE3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326</Words>
  <Characters>2138</Characters>
  <Lines>0</Lines>
  <Paragraphs>0</Paragraphs>
  <TotalTime>6</TotalTime>
  <ScaleCrop>false</ScaleCrop>
  <LinksUpToDate>false</LinksUpToDate>
  <CharactersWithSpaces>2373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2026-07-11T05:28:00Z</dcterms:created>
  <dc:creator>ThinkPad</dc:creator>
  <cp:lastModifiedBy>Dr. Wang</cp:lastModifiedBy>
  <dcterms:modified xsi:type="dcterms:W3CDTF">2026-07-11T13:18:24Z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eyJoZGlkIjoiMzFjZjk2NWI4ZmFlODdkNmI3N2M2ZjY1NGU3ODdlNTMiLCJ1c2VySWQiOiIzNDEwMTE5ODkifQ==</vt:lpwstr>
  </property>
  <property fmtid="{D5CDD505-2E9C-101B-9397-08002B2CF9AE}" pid="4" name="ICV">
    <vt:lpwstr>FB473ED614104DB4912ED4E7790564CA_12</vt:lpwstr>
  </property>
</Properties>
</file>