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3D5E7D">
      <w:r>
        <w:rPr>
          <w:rFonts w:ascii="Times New Roman" w:hAnsi="Times New Roman"/>
          <w:b/>
          <w:sz w:val="20"/>
        </w:rPr>
        <w:t>Supplementary Table S6. Variance inflation factors and generalized variance inflation factors for covariates in the fully adjusted Cox proportional hazards models.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71A88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3D1EE77F">
            <w:pPr>
              <w:spacing w:after="0" w:line="240" w:lineRule="auto"/>
              <w:rPr>
                <w:b w:val="0"/>
                <w:color w:val="000000"/>
              </w:rPr>
            </w:pPr>
            <w:bookmarkStart w:id="0" w:name="_GoBack"/>
            <w:bookmarkEnd w:id="0"/>
            <w:r>
              <w:rPr>
                <w:b w:val="0"/>
                <w:color w:val="000000"/>
                <w:sz w:val="18"/>
              </w:rPr>
              <w:t>Covariate</w:t>
            </w:r>
          </w:p>
        </w:tc>
        <w:tc>
          <w:tcPr>
            <w:tcW w:w="288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63B87BB">
            <w:pPr>
              <w:spacing w:after="0" w:line="240" w:lineRule="auto"/>
              <w:rPr>
                <w:b w:val="0"/>
                <w:color w:val="000000"/>
              </w:rPr>
            </w:pPr>
            <w:r>
              <w:rPr>
                <w:b w:val="0"/>
                <w:color w:val="000000"/>
                <w:sz w:val="18"/>
              </w:rPr>
              <w:t>df</w:t>
            </w:r>
          </w:p>
        </w:tc>
        <w:tc>
          <w:tcPr>
            <w:tcW w:w="288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84BED21">
            <w:pPr>
              <w:spacing w:after="0" w:line="240" w:lineRule="auto"/>
              <w:rPr>
                <w:b w:val="0"/>
                <w:color w:val="000000"/>
              </w:rPr>
            </w:pPr>
            <w:r>
              <w:rPr>
                <w:b w:val="0"/>
                <w:color w:val="000000"/>
                <w:sz w:val="18"/>
              </w:rPr>
              <w:t>GVIF^(1/(2×df))</w:t>
            </w:r>
          </w:p>
        </w:tc>
      </w:tr>
      <w:tr w14:paraId="53A14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2277EA5D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Joint PA/sedentary category</w:t>
            </w:r>
          </w:p>
        </w:tc>
        <w:tc>
          <w:tcPr>
            <w:tcW w:w="288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2E101984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3</w:t>
            </w:r>
          </w:p>
        </w:tc>
        <w:tc>
          <w:tcPr>
            <w:tcW w:w="288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4B61D8B5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1.03</w:t>
            </w:r>
          </w:p>
        </w:tc>
      </w:tr>
      <w:tr w14:paraId="397AD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BB1D3F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Age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0928AC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A585AC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1.21</w:t>
            </w:r>
          </w:p>
        </w:tc>
      </w:tr>
      <w:tr w14:paraId="586FF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24B183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Sex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649E54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FE5155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1.16</w:t>
            </w:r>
          </w:p>
        </w:tc>
      </w:tr>
      <w:tr w14:paraId="5AE11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E5D3FD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Race/ethnicity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01C088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361113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1.05</w:t>
            </w:r>
          </w:p>
        </w:tc>
      </w:tr>
      <w:tr w14:paraId="7D7E6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9E3D95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Education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232945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851613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1.08</w:t>
            </w:r>
          </w:p>
        </w:tc>
      </w:tr>
      <w:tr w14:paraId="0DD82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7BAF6C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Marital status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AFDE68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6B60F7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1.08</w:t>
            </w:r>
          </w:p>
        </w:tc>
      </w:tr>
      <w:tr w14:paraId="172D2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E8E07A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Poverty income ratio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4F1804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861A3C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1.17</w:t>
            </w:r>
          </w:p>
        </w:tc>
      </w:tr>
      <w:tr w14:paraId="05E22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2AE6B7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Body mass index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8A1035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FDEDA8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1.14</w:t>
            </w:r>
          </w:p>
        </w:tc>
      </w:tr>
      <w:tr w14:paraId="74E82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3B1F15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Smoking status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21573C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4FC903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1.12</w:t>
            </w:r>
          </w:p>
        </w:tc>
      </w:tr>
      <w:tr w14:paraId="44432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2984F7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Alcohol status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BECEED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4A15BB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1.10</w:t>
            </w:r>
          </w:p>
        </w:tc>
      </w:tr>
      <w:tr w14:paraId="7AF0C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DDEDE5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Hypertension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DE3FCE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F4997F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1.04</w:t>
            </w:r>
          </w:p>
        </w:tc>
      </w:tr>
      <w:tr w14:paraId="217FA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69554B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Diabetes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7B3E53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4F094D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1.12</w:t>
            </w:r>
          </w:p>
        </w:tc>
      </w:tr>
      <w:tr w14:paraId="4E55D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58BDF8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Dyslipidemia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9D184F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87D2A3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1.04</w:t>
            </w:r>
          </w:p>
        </w:tc>
      </w:tr>
      <w:tr w14:paraId="4570A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82CD74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Chronic kidney disease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F2B9E3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B0078E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1.05</w:t>
            </w:r>
          </w:p>
        </w:tc>
      </w:tr>
      <w:tr w14:paraId="32130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570EDE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Cancer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BD0696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D84FA5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1.05</w:t>
            </w:r>
          </w:p>
        </w:tc>
      </w:tr>
      <w:tr w14:paraId="0A9AB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0F0745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Heart failure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F1BA2E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E4345A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1.07</w:t>
            </w:r>
          </w:p>
        </w:tc>
      </w:tr>
      <w:tr w14:paraId="1B388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0EC69F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Coronary heart disease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A04B00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D4F426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1.12</w:t>
            </w:r>
          </w:p>
        </w:tc>
      </w:tr>
      <w:tr w14:paraId="4A39D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8EFC84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Angina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83834C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2C730F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1.04</w:t>
            </w:r>
          </w:p>
        </w:tc>
      </w:tr>
      <w:tr w14:paraId="7E89E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F304AC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Myocardial infarction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BD0F41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665308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1.07</w:t>
            </w:r>
          </w:p>
        </w:tc>
      </w:tr>
      <w:tr w14:paraId="155F2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5E9CE831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Stroke</w:t>
            </w:r>
          </w:p>
        </w:tc>
        <w:tc>
          <w:tcPr>
            <w:tcW w:w="288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6C607A01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</w:t>
            </w:r>
          </w:p>
        </w:tc>
        <w:tc>
          <w:tcPr>
            <w:tcW w:w="288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1946B307">
            <w:pPr>
              <w:spacing w:after="0" w:line="240" w:lineRule="auto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1.12</w:t>
            </w:r>
          </w:p>
        </w:tc>
      </w:tr>
    </w:tbl>
    <w:p w14:paraId="430EBA69">
      <w:r>
        <w:rPr>
          <w:rFonts w:ascii="Times New Roman" w:hAnsi="Times New Roman"/>
          <w:i/>
          <w:sz w:val="16"/>
        </w:rPr>
        <w:t>Note: GVIF, generalized variance inflation factor; df, degrees of freedom; PA, physical activity. For single-degree-of-freedom terms (df = 1), GVIF^(1/(2×df)) is equivalent to the standard variance inflation factor. Values below 5 are considered to indicate no concerning multicollinearity. All covariates in the fully adjusted Cox models showed acceptable collinearity (maximum corrected GVIF = 1.21 for age).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0B53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870</Characters>
  <Lines>0</Lines>
  <Paragraphs>0</Paragraphs>
  <TotalTime>0</TotalTime>
  <ScaleCrop>false</ScaleCrop>
  <LinksUpToDate>false</LinksUpToDate>
  <CharactersWithSpaces>960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Dr. Wang</cp:lastModifiedBy>
  <dcterms:modified xsi:type="dcterms:W3CDTF">2026-08-12T07:49:31Z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eyJoZGlkIjoiMzFjZjk2NWI4ZmFlODdkNmI3N2M2ZjY1NGU3ODdlNTMiLCJ1c2VySWQiOiIzNDEwMTE5ODkifQ==</vt:lpwstr>
  </property>
  <property fmtid="{D5CDD505-2E9C-101B-9397-08002B2CF9AE}" pid="3" name="KSOProductBuildVer">
    <vt:lpwstr>2052-12.1.0.20784</vt:lpwstr>
  </property>
  <property fmtid="{D5CDD505-2E9C-101B-9397-08002B2CF9AE}" pid="4" name="ICV">
    <vt:lpwstr>7168CFB25A074D5C8B3E33953C89182A_12</vt:lpwstr>
  </property>
</Properties>
</file>