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5D10C">
      <w:pPr>
        <w:rPr>
          <w:rFonts w:hint="default" w:ascii="Times New Roman" w:hAnsi="Times New Roman" w:eastAsia="宋体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t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S1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</w:rPr>
        <w:t>Predictive performance of SIRI ≥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</w:rPr>
        <w:t>9.28 for secondary endpoints</w:t>
      </w:r>
    </w:p>
    <w:tbl>
      <w:tblPr>
        <w:tblStyle w:val="2"/>
        <w:tblW w:w="8666" w:type="dxa"/>
        <w:tblInd w:w="-2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0"/>
        <w:gridCol w:w="825"/>
        <w:gridCol w:w="1458"/>
        <w:gridCol w:w="967"/>
        <w:gridCol w:w="1608"/>
        <w:gridCol w:w="1658"/>
      </w:tblGrid>
      <w:tr w14:paraId="32E9C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150" w:type="dxa"/>
            <w:tcBorders>
              <w:top w:val="single" w:color="000000" w:sz="8" w:space="0"/>
              <w:bottom w:val="single" w:color="000000" w:sz="8" w:space="0"/>
            </w:tcBorders>
            <w:noWrap/>
            <w:vAlign w:val="top"/>
          </w:tcPr>
          <w:p w14:paraId="4C441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Secondary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 xml:space="preserve"> 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ndpoint</w:t>
            </w:r>
          </w:p>
        </w:tc>
        <w:tc>
          <w:tcPr>
            <w:tcW w:w="825" w:type="dxa"/>
            <w:tcBorders>
              <w:top w:val="single" w:color="000000" w:sz="8" w:space="0"/>
              <w:bottom w:val="single" w:color="000000" w:sz="8" w:space="0"/>
            </w:tcBorders>
            <w:noWrap/>
            <w:vAlign w:val="top"/>
          </w:tcPr>
          <w:p w14:paraId="1F17D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AUC</w:t>
            </w:r>
          </w:p>
        </w:tc>
        <w:tc>
          <w:tcPr>
            <w:tcW w:w="1458" w:type="dxa"/>
            <w:tcBorders>
              <w:top w:val="single" w:color="000000" w:sz="8" w:space="0"/>
              <w:bottom w:val="single" w:color="000000" w:sz="8" w:space="0"/>
            </w:tcBorders>
            <w:noWrap/>
            <w:vAlign w:val="top"/>
          </w:tcPr>
          <w:p w14:paraId="016DB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95% CI</w:t>
            </w:r>
          </w:p>
        </w:tc>
        <w:tc>
          <w:tcPr>
            <w:tcW w:w="967" w:type="dxa"/>
            <w:tcBorders>
              <w:top w:val="single" w:color="000000" w:sz="8" w:space="0"/>
              <w:bottom w:val="single" w:color="000000" w:sz="8" w:space="0"/>
            </w:tcBorders>
            <w:noWrap/>
            <w:vAlign w:val="top"/>
          </w:tcPr>
          <w:p w14:paraId="25983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P value</w:t>
            </w:r>
          </w:p>
        </w:tc>
        <w:tc>
          <w:tcPr>
            <w:tcW w:w="1608" w:type="dxa"/>
            <w:tcBorders>
              <w:top w:val="single" w:color="000000" w:sz="8" w:space="0"/>
              <w:bottom w:val="single" w:color="000000" w:sz="8" w:space="0"/>
            </w:tcBorders>
            <w:noWrap/>
            <w:vAlign w:val="top"/>
          </w:tcPr>
          <w:p w14:paraId="24F01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Sensitivity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(%)</w:t>
            </w:r>
          </w:p>
        </w:tc>
        <w:tc>
          <w:tcPr>
            <w:tcW w:w="1658" w:type="dxa"/>
            <w:tcBorders>
              <w:top w:val="single" w:color="000000" w:sz="8" w:space="0"/>
              <w:bottom w:val="single" w:color="000000" w:sz="8" w:space="0"/>
            </w:tcBorders>
            <w:noWrap/>
            <w:vAlign w:val="top"/>
          </w:tcPr>
          <w:p w14:paraId="1183A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pecificity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(%)</w:t>
            </w:r>
          </w:p>
        </w:tc>
      </w:tr>
      <w:tr w14:paraId="2C28F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150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bottom"/>
          </w:tcPr>
          <w:p w14:paraId="4DDAE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ICU stay ≥ 7 days</w:t>
            </w:r>
          </w:p>
        </w:tc>
        <w:tc>
          <w:tcPr>
            <w:tcW w:w="825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bottom"/>
          </w:tcPr>
          <w:p w14:paraId="208C5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0.762</w:t>
            </w:r>
          </w:p>
        </w:tc>
        <w:tc>
          <w:tcPr>
            <w:tcW w:w="1458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bottom"/>
          </w:tcPr>
          <w:p w14:paraId="70A56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0.710- 0.814</w:t>
            </w:r>
          </w:p>
        </w:tc>
        <w:tc>
          <w:tcPr>
            <w:tcW w:w="967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bottom"/>
          </w:tcPr>
          <w:p w14:paraId="071EB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&lt;0.001</w:t>
            </w:r>
          </w:p>
        </w:tc>
        <w:tc>
          <w:tcPr>
            <w:tcW w:w="1608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bottom"/>
          </w:tcPr>
          <w:p w14:paraId="115B6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74.4</w:t>
            </w:r>
          </w:p>
        </w:tc>
        <w:tc>
          <w:tcPr>
            <w:tcW w:w="1658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bottom"/>
          </w:tcPr>
          <w:p w14:paraId="0E1DE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73.8</w:t>
            </w:r>
          </w:p>
        </w:tc>
      </w:tr>
      <w:tr w14:paraId="051D8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150" w:type="dxa"/>
            <w:tcBorders>
              <w:top w:val="nil"/>
            </w:tcBorders>
            <w:noWrap w:val="0"/>
            <w:vAlign w:val="bottom"/>
          </w:tcPr>
          <w:p w14:paraId="32E1E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30-day mortality</w:t>
            </w:r>
          </w:p>
        </w:tc>
        <w:tc>
          <w:tcPr>
            <w:tcW w:w="825" w:type="dxa"/>
            <w:tcBorders>
              <w:top w:val="nil"/>
            </w:tcBorders>
            <w:noWrap w:val="0"/>
            <w:vAlign w:val="bottom"/>
          </w:tcPr>
          <w:p w14:paraId="75B79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458" w:type="dxa"/>
            <w:tcBorders>
              <w:top w:val="nil"/>
            </w:tcBorders>
            <w:noWrap/>
            <w:vAlign w:val="bottom"/>
          </w:tcPr>
          <w:p w14:paraId="4F3FB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0.654- 0.782</w:t>
            </w:r>
          </w:p>
        </w:tc>
        <w:tc>
          <w:tcPr>
            <w:tcW w:w="967" w:type="dxa"/>
            <w:tcBorders>
              <w:top w:val="nil"/>
            </w:tcBorders>
            <w:noWrap/>
            <w:vAlign w:val="bottom"/>
          </w:tcPr>
          <w:p w14:paraId="5CE3B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＜0.001</w:t>
            </w:r>
          </w:p>
        </w:tc>
        <w:tc>
          <w:tcPr>
            <w:tcW w:w="1608" w:type="dxa"/>
            <w:tcBorders>
              <w:top w:val="nil"/>
            </w:tcBorders>
            <w:noWrap/>
            <w:vAlign w:val="bottom"/>
          </w:tcPr>
          <w:p w14:paraId="6D3EB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74.1</w:t>
            </w:r>
          </w:p>
        </w:tc>
        <w:tc>
          <w:tcPr>
            <w:tcW w:w="1658" w:type="dxa"/>
            <w:tcBorders>
              <w:top w:val="nil"/>
            </w:tcBorders>
            <w:noWrap/>
            <w:vAlign w:val="bottom"/>
          </w:tcPr>
          <w:p w14:paraId="14799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68.5</w:t>
            </w:r>
          </w:p>
        </w:tc>
      </w:tr>
      <w:tr w14:paraId="25D1F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150" w:type="dxa"/>
            <w:noWrap w:val="0"/>
            <w:vAlign w:val="bottom"/>
          </w:tcPr>
          <w:p w14:paraId="460E9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ARDS</w:t>
            </w:r>
          </w:p>
        </w:tc>
        <w:tc>
          <w:tcPr>
            <w:tcW w:w="825" w:type="dxa"/>
            <w:noWrap w:val="0"/>
            <w:vAlign w:val="bottom"/>
          </w:tcPr>
          <w:p w14:paraId="7421C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0.678</w:t>
            </w:r>
          </w:p>
        </w:tc>
        <w:tc>
          <w:tcPr>
            <w:tcW w:w="1458" w:type="dxa"/>
            <w:noWrap/>
            <w:vAlign w:val="bottom"/>
          </w:tcPr>
          <w:p w14:paraId="6C73E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0.612-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0.759</w:t>
            </w:r>
          </w:p>
        </w:tc>
        <w:tc>
          <w:tcPr>
            <w:tcW w:w="967" w:type="dxa"/>
            <w:noWrap/>
            <w:vAlign w:val="bottom"/>
          </w:tcPr>
          <w:p w14:paraId="1C2F4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＜0.001</w:t>
            </w:r>
          </w:p>
        </w:tc>
        <w:tc>
          <w:tcPr>
            <w:tcW w:w="1608" w:type="dxa"/>
            <w:noWrap/>
            <w:vAlign w:val="bottom"/>
          </w:tcPr>
          <w:p w14:paraId="0BE81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67.7</w:t>
            </w:r>
          </w:p>
        </w:tc>
        <w:tc>
          <w:tcPr>
            <w:tcW w:w="1658" w:type="dxa"/>
            <w:noWrap/>
            <w:vAlign w:val="bottom"/>
          </w:tcPr>
          <w:p w14:paraId="4182D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70.4</w:t>
            </w:r>
          </w:p>
        </w:tc>
      </w:tr>
      <w:tr w14:paraId="646C8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150" w:type="dxa"/>
            <w:noWrap w:val="0"/>
            <w:vAlign w:val="bottom"/>
          </w:tcPr>
          <w:p w14:paraId="62C14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Acute kidney injury</w:t>
            </w:r>
          </w:p>
        </w:tc>
        <w:tc>
          <w:tcPr>
            <w:tcW w:w="825" w:type="dxa"/>
            <w:noWrap w:val="0"/>
            <w:vAlign w:val="bottom"/>
          </w:tcPr>
          <w:p w14:paraId="6BCB3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0.587</w:t>
            </w:r>
          </w:p>
        </w:tc>
        <w:tc>
          <w:tcPr>
            <w:tcW w:w="1458" w:type="dxa"/>
            <w:noWrap/>
            <w:vAlign w:val="bottom"/>
          </w:tcPr>
          <w:p w14:paraId="74503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0.604- 0.744</w:t>
            </w:r>
          </w:p>
        </w:tc>
        <w:tc>
          <w:tcPr>
            <w:tcW w:w="967" w:type="dxa"/>
            <w:noWrap/>
            <w:vAlign w:val="bottom"/>
          </w:tcPr>
          <w:p w14:paraId="2D9EC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＜0.001</w:t>
            </w:r>
          </w:p>
        </w:tc>
        <w:tc>
          <w:tcPr>
            <w:tcW w:w="1608" w:type="dxa"/>
            <w:noWrap/>
            <w:vAlign w:val="bottom"/>
          </w:tcPr>
          <w:p w14:paraId="085F4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64.0</w:t>
            </w:r>
          </w:p>
        </w:tc>
        <w:tc>
          <w:tcPr>
            <w:tcW w:w="1658" w:type="dxa"/>
            <w:noWrap/>
            <w:vAlign w:val="bottom"/>
          </w:tcPr>
          <w:p w14:paraId="01CF0D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69.2</w:t>
            </w:r>
          </w:p>
        </w:tc>
      </w:tr>
      <w:tr w14:paraId="611D7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150" w:type="dxa"/>
            <w:tcBorders>
              <w:bottom w:val="single" w:color="000000" w:sz="8" w:space="0"/>
            </w:tcBorders>
            <w:noWrap w:val="0"/>
            <w:vAlign w:val="bottom"/>
          </w:tcPr>
          <w:p w14:paraId="468E0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Composite MAE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val="en-US" w:eastAsia="zh-CN"/>
              </w:rPr>
              <w:t>*</w:t>
            </w:r>
          </w:p>
        </w:tc>
        <w:tc>
          <w:tcPr>
            <w:tcW w:w="825" w:type="dxa"/>
            <w:tcBorders>
              <w:bottom w:val="single" w:color="000000" w:sz="8" w:space="0"/>
            </w:tcBorders>
            <w:noWrap w:val="0"/>
            <w:vAlign w:val="bottom"/>
          </w:tcPr>
          <w:p w14:paraId="35CCF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0.748</w:t>
            </w:r>
          </w:p>
        </w:tc>
        <w:tc>
          <w:tcPr>
            <w:tcW w:w="1458" w:type="dxa"/>
            <w:tcBorders>
              <w:bottom w:val="single" w:color="000000" w:sz="8" w:space="0"/>
            </w:tcBorders>
            <w:noWrap/>
            <w:vAlign w:val="bottom"/>
          </w:tcPr>
          <w:p w14:paraId="0C1B7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694-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0.802</w:t>
            </w:r>
          </w:p>
        </w:tc>
        <w:tc>
          <w:tcPr>
            <w:tcW w:w="967" w:type="dxa"/>
            <w:tcBorders>
              <w:bottom w:val="single" w:color="000000" w:sz="8" w:space="0"/>
            </w:tcBorders>
            <w:noWrap/>
            <w:vAlign w:val="bottom"/>
          </w:tcPr>
          <w:p w14:paraId="1011F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＜0.001</w:t>
            </w:r>
          </w:p>
        </w:tc>
        <w:tc>
          <w:tcPr>
            <w:tcW w:w="1608" w:type="dxa"/>
            <w:tcBorders>
              <w:bottom w:val="single" w:color="000000" w:sz="8" w:space="0"/>
            </w:tcBorders>
            <w:noWrap/>
            <w:vAlign w:val="bottom"/>
          </w:tcPr>
          <w:p w14:paraId="73C70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70.8</w:t>
            </w:r>
          </w:p>
        </w:tc>
        <w:tc>
          <w:tcPr>
            <w:tcW w:w="1658" w:type="dxa"/>
            <w:tcBorders>
              <w:bottom w:val="single" w:color="000000" w:sz="8" w:space="0"/>
            </w:tcBorders>
            <w:noWrap/>
            <w:vAlign w:val="bottom"/>
          </w:tcPr>
          <w:p w14:paraId="025C1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  <w:t>72.5</w:t>
            </w:r>
          </w:p>
        </w:tc>
      </w:tr>
    </w:tbl>
    <w:p w14:paraId="5742A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Abbreviations: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 xml:space="preserve">ARDS, Acute respiratory distress syndrome; </w:t>
      </w:r>
      <w:r>
        <w:rPr>
          <w:rFonts w:hint="default" w:ascii="Times New Roman" w:hAnsi="Times New Roman" w:cs="Times New Roman"/>
          <w:color w:val="000000"/>
          <w:kern w:val="0"/>
          <w:sz w:val="22"/>
          <w:szCs w:val="22"/>
          <w:lang w:val="en-US" w:eastAsia="zh-CN"/>
        </w:rPr>
        <w:t>MAE</w:t>
      </w:r>
      <w:r>
        <w:rPr>
          <w:rFonts w:hint="eastAsia" w:ascii="Times New Roman" w:hAnsi="Times New Roman" w:cs="Times New Roman"/>
          <w:color w:val="000000"/>
          <w:kern w:val="0"/>
          <w:sz w:val="22"/>
          <w:szCs w:val="22"/>
          <w:lang w:val="en-US" w:eastAsia="zh-CN"/>
        </w:rPr>
        <w:t>, Major adverse events.</w:t>
      </w:r>
    </w:p>
    <w:p w14:paraId="10BA7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color w:val="000000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0"/>
          <w:sz w:val="22"/>
          <w:szCs w:val="22"/>
          <w:lang w:val="en-US" w:eastAsia="zh-CN"/>
        </w:rPr>
        <w:t xml:space="preserve">* </w:t>
      </w:r>
      <w:r>
        <w:rPr>
          <w:rFonts w:hint="default" w:ascii="Times New Roman" w:hAnsi="Times New Roman" w:cs="Times New Roman"/>
          <w:color w:val="000000"/>
          <w:kern w:val="0"/>
          <w:sz w:val="22"/>
          <w:szCs w:val="22"/>
          <w:lang w:val="en-US" w:eastAsia="zh-CN"/>
        </w:rPr>
        <w:t>Composite MAE</w:t>
      </w:r>
      <w:r>
        <w:rPr>
          <w:rFonts w:hint="eastAsia" w:ascii="Times New Roman" w:hAnsi="Times New Roman" w:cs="Times New Roman"/>
          <w:color w:val="000000"/>
          <w:kern w:val="0"/>
          <w:sz w:val="22"/>
          <w:szCs w:val="22"/>
          <w:lang w:val="en-US" w:eastAsia="zh-CN"/>
        </w:rPr>
        <w:t>: 30-day mortality + ARDS + acute kidney injury + Multiple organ dysfunction syndro</w:t>
      </w:r>
      <w:bookmarkStart w:id="0" w:name="_GoBack"/>
      <w:bookmarkEnd w:id="0"/>
      <w:r>
        <w:rPr>
          <w:rFonts w:hint="eastAsia" w:ascii="Times New Roman" w:hAnsi="Times New Roman" w:cs="Times New Roman"/>
          <w:color w:val="000000"/>
          <w:kern w:val="0"/>
          <w:sz w:val="22"/>
          <w:szCs w:val="22"/>
          <w:lang w:val="en-US" w:eastAsia="zh-CN"/>
        </w:rPr>
        <w:t>me + reoperation.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75D4B"/>
    <w:rsid w:val="0E161661"/>
    <w:rsid w:val="27104950"/>
    <w:rsid w:val="2AD47C51"/>
    <w:rsid w:val="2CD143F4"/>
    <w:rsid w:val="39756BD2"/>
    <w:rsid w:val="4D6E1364"/>
    <w:rsid w:val="4E766C5E"/>
    <w:rsid w:val="57743729"/>
    <w:rsid w:val="637B4506"/>
    <w:rsid w:val="63B22187"/>
    <w:rsid w:val="6EBA7656"/>
    <w:rsid w:val="742F66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657</Characters>
  <Lines>0</Lines>
  <Paragraphs>0</Paragraphs>
  <TotalTime>4</TotalTime>
  <ScaleCrop>false</ScaleCrop>
  <LinksUpToDate>false</LinksUpToDate>
  <CharactersWithSpaces>729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青松</dc:creator>
  <cp:lastModifiedBy>执著。</cp:lastModifiedBy>
  <dcterms:modified xsi:type="dcterms:W3CDTF">2026-07-21T01:59:27Z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E246A0F65D01414395D5E33AA10693D4_13</vt:lpwstr>
  </property>
  <property fmtid="{D5CDD505-2E9C-101B-9397-08002B2CF9AE}" pid="4" name="KSOTemplateDocerSaveRecord">
    <vt:lpwstr>eyJoZGlkIjoiNmEwOThhYjNiMzY1ZDEwNTQ4Y2QxNGMwMTU5MTkzMTAiLCJ1c2VySWQiOiIzMjM0OTUzNTcifQ==</vt:lpwstr>
  </property>
</Properties>
</file>