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257FC">
      <w:pPr>
        <w:keepNext w:val="0"/>
        <w:keepLines w:val="0"/>
        <w:pageBreakBefore w:val="0"/>
        <w:widowControl w:val="0"/>
        <w:kinsoku/>
        <w:wordWrap/>
        <w:overflowPunct/>
        <w:topLinePunct w:val="0"/>
        <w:autoSpaceDE/>
        <w:autoSpaceDN/>
        <w:bidi w:val="0"/>
        <w:adjustRightInd/>
        <w:snapToGrid/>
        <w:spacing w:line="480" w:lineRule="auto"/>
        <w:textAlignment w:val="auto"/>
      </w:pPr>
      <w:bookmarkStart w:id="0" w:name="_GoBack"/>
      <w:r>
        <w:rPr>
          <w:rFonts w:hint="default" w:ascii="Times New Roman Bold" w:hAnsi="Times New Roman Bold" w:cs="Times New Roman Bold"/>
          <w:b/>
          <w:bCs w:val="0"/>
          <w:sz w:val="28"/>
        </w:rPr>
        <w:t>A</w:t>
      </w:r>
      <w:bookmarkEnd w:id="0"/>
      <w:r>
        <w:rPr>
          <w:rFonts w:ascii="Times New Roman" w:hAnsi="Times New Roman"/>
          <w:b/>
          <w:sz w:val="28"/>
        </w:rPr>
        <w:t>dditional file 1</w:t>
      </w:r>
    </w:p>
    <w:p w14:paraId="20000037">
      <w:pPr>
        <w:spacing w:after="200" w:line="480" w:lineRule="auto"/>
      </w:pPr>
      <w:r>
        <w:rPr>
          <w:rFonts w:ascii="Times New Roman" w:hAnsi="Times New Roman"/>
          <w:i/>
          <w:sz w:val="22"/>
        </w:rPr>
        <w:t>Supplementary Methods, Tables S1–S9 and Fig. S1.</w:t>
      </w:r>
    </w:p>
    <w:p w14:paraId="61C55B85">
      <w:pPr>
        <w:pStyle w:val="3"/>
        <w:spacing w:before="200" w:after="120"/>
      </w:pPr>
      <w:r>
        <w:rPr>
          <w:b/>
          <w:bCs/>
          <w:sz w:val="26"/>
          <w:szCs w:val="26"/>
        </w:rPr>
        <w:t>Supplementary Methods</w:t>
      </w:r>
    </w:p>
    <w:p w14:paraId="2000006E">
      <w:pPr>
        <w:spacing w:after="160" w:line="360" w:lineRule="auto"/>
        <w:jc w:val="both"/>
      </w:pPr>
      <w:r>
        <w:rPr>
          <w:rFonts w:ascii="Times New Roman" w:hAnsi="Times New Roman"/>
          <w:sz w:val="24"/>
          <w:szCs w:val="24"/>
        </w:rPr>
        <w:t>Echocardiographic data were drawn from the structured-measurement table of MIMIC-IV-ECHO, which stores quantitative measurements abstracted from cardiologist-reported echocardiography; analyses were restricted to resting transthoracic studies. Left ventricular ejection fraction (LVEF) is recorded as a numeric interval (lower and upper bound). A single point estimate was derived as the midpoint of the interval when the interval was closed and narrow (upper bound below 100% and width of 15 percentage points or less) and as the lower bound otherwise; the latter rule prevents upward bias from open-ended entries such as “greater than 55%”, which are stored with an upper bound of 100%. Open-ended entries accounted for 26.2% of LVEF measurements, and use of the midpoint wherever an upper bound was recorded would have raised the cohort mean LVEF from 52.7% to 57.7% (Table S1, Fig. S1). Because the lower-bound rule assigns an entry such as “greater than 55%” to the 50–59% stratum, that stratum contains a substantial number of studies coded at exactly 55%; the distribution of open-ended entries across strata is reported in the main Results. A further 484 studies carried no recorded upper bound and were assigned their lower bound under the same rule; they are not counted among the open-ended entries.</w:t>
      </w:r>
    </w:p>
    <w:p w14:paraId="200000A5">
      <w:pPr>
        <w:spacing w:after="160" w:line="360" w:lineRule="auto"/>
        <w:jc w:val="both"/>
      </w:pPr>
      <w:r>
        <w:rPr>
          <w:rFonts w:ascii="Times New Roman" w:hAnsi="Times New Roman"/>
          <w:sz w:val="24"/>
          <w:szCs w:val="24"/>
        </w:rPr>
        <w:t>From the same structured report we additionally extracted the left ventricular end-diastolic and end-systolic dimensions, septal and inferolateral wall thickness, left atrial dimension and volume, right ventricular diastolic dimension, left ventricular outflow tract diameter and velocity–time integral, and body surface area, together with the qualitative descriptors of chamber size and of systolic function. Stroke volume was computed as 0.785 × (outflow tract diameter)² × velocity–time integral, cardiac output as stroke volume × the mean heart rate over the 12 hours centred on the echocardiogram, and systemic vascular resistance was estimated as (mean arterial pressure − 8) × 80 / cardiac output, assuming a central venous pressure of 8 mmHg. Stroke volume and cardiac output were indexed to body surface area where it was recorded. A small left ventricular cavity was defined by the sex-specific lower limit of normal for the end-diastolic dimension (below 4.2 cm in men and below 3.8 cm in women; reference 17 of the main text). Left ventricular volumes by the biplane or three-dimensional methods, fractional shortening, inferior vena cava diameter and tricuspid annular plane systolic excursion appear only in a minority of report templates and were recorded for too few admissions to be analysed (Table S1).</w:t>
      </w:r>
    </w:p>
    <w:p w14:paraId="200000DC">
      <w:pPr>
        <w:spacing w:after="160" w:line="360" w:lineRule="auto"/>
        <w:jc w:val="both"/>
      </w:pPr>
      <w:r>
        <w:rPr>
          <w:rFonts w:ascii="Times New Roman" w:hAnsi="Times New Roman"/>
          <w:sz w:val="24"/>
          <w:szCs w:val="24"/>
        </w:rPr>
        <w:t>Sepsis was defined with the MIMIC-derived Sepsis-3 concept (a suspected infection together with an acute increase of at least 2 points in the SOFA score), from which the SOFA score at sepsis onset was also taken. Serum lactate was obtained from laboratory measurements and summarised as the maximum value within 24 hours of ICU admission. Invasive mechanical ventilation and vasopressor administration within 24 hours, the maximum 24-hour norepinephrine-equivalent dose, and the maximum KDIGO acute kidney injury stage within 48 hours were derived from the corresponding MIMIC organ-support and treatment concepts. Admissions receiving no vasopressor were assigned a norepinephrine-equivalent dose of zero, and the dose entered the models as a linear term in µg/kg/min across all 8792 admissions. Mean arterial pressure (invasive where recorded, otherwise non-invasive) and heart rate were taken from the derived vital-sign table and summarised over the 12 hours centred on the echocardiogram and over the first 24 hours of ICU admission. Cumulative fluid intake was summed from the intake event table over volumes recorded in millilitres or litres, total output from the output event table, and the net balance taken as their difference, over the first 24 hours of ICU admission and, for the net balance, additionally over the interval from ICU admission to the echocardiogram; entries flagged as rewritten were excluded, although no qualifying entry in this cohort carried that flag, so the totals are unaffected.</w:t>
      </w:r>
    </w:p>
    <w:p w14:paraId="20000113">
      <w:pPr>
        <w:spacing w:after="160" w:line="360" w:lineRule="auto"/>
        <w:jc w:val="both"/>
      </w:pPr>
      <w:r>
        <w:rPr>
          <w:rFonts w:ascii="Times New Roman" w:hAnsi="Times New Roman"/>
          <w:sz w:val="24"/>
          <w:szCs w:val="24"/>
        </w:rPr>
        <w:t>Comorbidities were identified from International Classification of Diseases, Ninth and Tenth Revision diagnosis codes recorded for the index hospitalisation: the Charlson Comorbidity Index from its standard code groupings, atrial fibrillation from the relevant rhythm codes, and cardiac disease as the presence of any of heart failure, ischaemic heart disease, valvular heart disease or cardiomyopathy. Because these codes are assigned at discharge, they capture conditions first diagnosed during the index admission as well as antecedent disease, and are therefore described throughout as documented rather than pre-existing. For the prior-admission sensitivity analysis, the same code groupings were applied only to hospitalisations of the same patient discharged before the admission date of the index hospitalisation (Table S8).</w:t>
      </w:r>
    </w:p>
    <w:p w14:paraId="2000014A">
      <w:pPr>
        <w:spacing w:after="160" w:line="360" w:lineRule="auto"/>
        <w:jc w:val="both"/>
      </w:pPr>
      <w:r>
        <w:rPr>
          <w:rFonts w:ascii="Times New Roman" w:hAnsi="Times New Roman"/>
          <w:sz w:val="24"/>
          <w:szCs w:val="24"/>
        </w:rPr>
        <w:t>The qualifying transthoracic echocardiogram served as time zero for the 28-day and 90-day outcomes: death within 28 days and within 90 days was counted from the date of the echocardiogram, and the 90-day outcome was additionally modelled as time to event from that origin. A sensitivity analysis in which the 28-day window was counted from ICU admission is reported in Table S3.</w:t>
      </w:r>
    </w:p>
    <w:p w14:paraId="20000181">
      <w:pPr>
        <w:spacing w:after="160" w:line="360" w:lineRule="auto"/>
        <w:jc w:val="both"/>
      </w:pPr>
      <w:r>
        <w:rPr>
          <w:rFonts w:ascii="Times New Roman" w:hAnsi="Times New Roman"/>
          <w:sz w:val="24"/>
          <w:szCs w:val="24"/>
        </w:rPr>
        <w:t>As an exploratory, descriptive analysis, diastolic and pulmonary indices (the ratio of mitral inflow E velocity to tissue-Doppler e′ velocity, the E/A ratio, and tricuspid regurgitant velocity) were summarised by LVEF stratum among the admissions in which each was recorded (Table S4). These parameters are incompletely recorded, and their availability is neither uniform across strata nor independent of patient characteristics—in particular, e′ is less often measurable in atrial fibrillation. The exact denominator for every cell is therefore given in Table S4, and these indices were neither imputed nor modelled.</w:t>
      </w:r>
    </w:p>
    <w:p w14:paraId="200001B8">
      <w:pPr>
        <w:spacing w:after="160" w:line="360" w:lineRule="auto"/>
        <w:jc w:val="both"/>
      </w:pPr>
      <w:r>
        <w:rPr>
          <w:rFonts w:ascii="Times New Roman" w:hAnsi="Times New Roman"/>
          <w:sz w:val="24"/>
          <w:szCs w:val="24"/>
        </w:rPr>
        <w:t>Model fitting followed the plan set out in the main Methods. Discrimination was compared between the covariate model with and without LVEF category using the DeLong test for paired areas under the receiver-operating-characteristic curve; the integrated discrimination improvement and the continuous net reclassification improvement were computed with their event and non-event components reported separately; calibration was assessed with the Hosmer–Lemeshow statistic over ten risk deciles and with a calibration slope corrected for optimism by 200 bootstrap replications (Table S7); all of these used R version 4.5.2 with the pROC, Hmisc, ResourceSelection and rms packages. Multiple imputation used the mice package with 100 imputed datasets in which log-transformed serum lactate was drawn from a Bayesian normal linear model containing every analysis covariate and the outcome, with estimates combined by Rubin’s rules; the likelihood-ratio test for non-linearity was pooled across imputations by the D2 method (Tables S3 and S9).</w:t>
      </w:r>
    </w:p>
    <w:p w14:paraId="200001EF">
      <w:pPr>
        <w:spacing w:before="160" w:after="80"/>
      </w:pPr>
      <w:r>
        <w:rPr>
          <w:b/>
          <w:bCs/>
          <w:sz w:val="20"/>
          <w:szCs w:val="20"/>
        </w:rPr>
        <w:t xml:space="preserve">Table S1. </w:t>
      </w:r>
      <w:r>
        <w:rPr>
          <w:sz w:val="20"/>
          <w:szCs w:val="20"/>
        </w:rPr>
        <w:t>Availability of echocardiographic parameters in the early transthoracic studies.</w:t>
      </w: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3260"/>
        <w:gridCol w:w="1560"/>
        <w:gridCol w:w="1180"/>
        <w:gridCol w:w="1560"/>
        <w:gridCol w:w="1800"/>
      </w:tblGrid>
      <w:tr w14:paraId="20000339">
        <w:trPr>
          <w:tblHeader/>
        </w:trPr>
        <w:tc>
          <w:tcPr>
            <w:tcW w:w="3260" w:type="dxa"/>
            <w:tcBorders>
              <w:top w:val="single" w:color="000000" w:sz="8" w:space="0"/>
              <w:left w:val="nil"/>
              <w:bottom w:val="single" w:color="000000" w:sz="4" w:space="0"/>
              <w:right w:val="nil"/>
            </w:tcBorders>
            <w:tcMar>
              <w:top w:w="40" w:type="dxa"/>
              <w:left w:w="40" w:type="dxa"/>
              <w:bottom w:w="40" w:type="dxa"/>
              <w:right w:w="40" w:type="dxa"/>
            </w:tcMar>
          </w:tcPr>
          <w:p w14:paraId="20000226">
            <w:pPr>
              <w:spacing w:line="220" w:lineRule="auto"/>
              <w:jc w:val="left"/>
            </w:pPr>
            <w:r>
              <w:rPr>
                <w:b/>
                <w:bCs/>
                <w:sz w:val="18"/>
                <w:szCs w:val="18"/>
              </w:rPr>
              <w:t>Parameter</w:t>
            </w:r>
          </w:p>
        </w:tc>
        <w:tc>
          <w:tcPr>
            <w:tcW w:w="1560" w:type="dxa"/>
            <w:tcBorders>
              <w:top w:val="single" w:color="000000" w:sz="8" w:space="0"/>
              <w:left w:val="nil"/>
              <w:bottom w:val="single" w:color="000000" w:sz="4" w:space="0"/>
              <w:right w:val="nil"/>
            </w:tcBorders>
            <w:tcMar>
              <w:top w:w="40" w:type="dxa"/>
              <w:left w:w="40" w:type="dxa"/>
              <w:bottom w:w="40" w:type="dxa"/>
              <w:right w:w="40" w:type="dxa"/>
            </w:tcMar>
          </w:tcPr>
          <w:p w14:paraId="2000025D">
            <w:pPr>
              <w:spacing w:line="220" w:lineRule="auto"/>
              <w:jc w:val="center"/>
            </w:pPr>
            <w:r>
              <w:rPr>
                <w:b/>
                <w:bCs/>
                <w:sz w:val="18"/>
                <w:szCs w:val="18"/>
              </w:rPr>
              <w:t>Field present in report, n</w:t>
            </w:r>
          </w:p>
        </w:tc>
        <w:tc>
          <w:tcPr>
            <w:tcW w:w="1180" w:type="dxa"/>
            <w:tcBorders>
              <w:top w:val="single" w:color="000000" w:sz="8" w:space="0"/>
              <w:left w:val="nil"/>
              <w:bottom w:val="single" w:color="000000" w:sz="4" w:space="0"/>
              <w:right w:val="nil"/>
            </w:tcBorders>
            <w:tcMar>
              <w:top w:w="40" w:type="dxa"/>
              <w:left w:w="40" w:type="dxa"/>
              <w:bottom w:w="40" w:type="dxa"/>
              <w:right w:w="40" w:type="dxa"/>
            </w:tcMar>
          </w:tcPr>
          <w:p w14:paraId="20000294">
            <w:pPr>
              <w:spacing w:line="220" w:lineRule="auto"/>
              <w:jc w:val="center"/>
            </w:pPr>
            <w:r>
              <w:rPr>
                <w:b/>
                <w:bCs/>
                <w:sz w:val="18"/>
                <w:szCs w:val="18"/>
              </w:rPr>
              <w:t>Recorded, n</w:t>
            </w:r>
          </w:p>
        </w:tc>
        <w:tc>
          <w:tcPr>
            <w:tcW w:w="1560" w:type="dxa"/>
            <w:tcBorders>
              <w:top w:val="single" w:color="000000" w:sz="8" w:space="0"/>
              <w:left w:val="nil"/>
              <w:bottom w:val="single" w:color="000000" w:sz="4" w:space="0"/>
              <w:right w:val="nil"/>
            </w:tcBorders>
            <w:tcMar>
              <w:top w:w="40" w:type="dxa"/>
              <w:left w:w="40" w:type="dxa"/>
              <w:bottom w:w="40" w:type="dxa"/>
              <w:right w:w="40" w:type="dxa"/>
            </w:tcMar>
          </w:tcPr>
          <w:p w14:paraId="200002CB">
            <w:pPr>
              <w:spacing w:line="220" w:lineRule="auto"/>
              <w:jc w:val="center"/>
            </w:pPr>
            <w:r>
              <w:rPr>
                <w:b/>
                <w:bCs/>
                <w:sz w:val="18"/>
                <w:szCs w:val="18"/>
              </w:rPr>
              <w:t>% of 9744 studies</w:t>
            </w:r>
          </w:p>
        </w:tc>
        <w:tc>
          <w:tcPr>
            <w:tcW w:w="1800" w:type="dxa"/>
            <w:tcBorders>
              <w:top w:val="single" w:color="000000" w:sz="8" w:space="0"/>
              <w:left w:val="nil"/>
              <w:bottom w:val="single" w:color="000000" w:sz="4" w:space="0"/>
              <w:right w:val="nil"/>
            </w:tcBorders>
            <w:tcMar>
              <w:top w:w="40" w:type="dxa"/>
              <w:left w:w="40" w:type="dxa"/>
              <w:bottom w:w="40" w:type="dxa"/>
              <w:right w:w="40" w:type="dxa"/>
            </w:tcMar>
          </w:tcPr>
          <w:p w14:paraId="20000302">
            <w:pPr>
              <w:spacing w:line="220" w:lineRule="auto"/>
              <w:jc w:val="center"/>
            </w:pPr>
            <w:r>
              <w:rPr>
                <w:b/>
                <w:bCs/>
                <w:sz w:val="18"/>
                <w:szCs w:val="18"/>
              </w:rPr>
              <w:t>% of 8792 analytic admissions</w:t>
            </w:r>
          </w:p>
        </w:tc>
      </w:tr>
      <w:tr w14:paraId="20000483">
        <w:tc>
          <w:tcPr>
            <w:tcW w:w="3260" w:type="dxa"/>
            <w:tcBorders>
              <w:top w:val="nil"/>
              <w:left w:val="nil"/>
              <w:bottom w:val="nil"/>
              <w:right w:val="nil"/>
            </w:tcBorders>
            <w:tcMar>
              <w:top w:w="40" w:type="dxa"/>
              <w:left w:w="40" w:type="dxa"/>
              <w:bottom w:w="40" w:type="dxa"/>
              <w:right w:w="40" w:type="dxa"/>
            </w:tcMar>
          </w:tcPr>
          <w:p w14:paraId="20000370">
            <w:pPr>
              <w:spacing w:line="220" w:lineRule="auto"/>
              <w:jc w:val="left"/>
            </w:pPr>
            <w:r>
              <w:rPr>
                <w:sz w:val="18"/>
                <w:szCs w:val="18"/>
              </w:rPr>
              <w:t>Left ventricular ejection fraction</w:t>
            </w:r>
          </w:p>
        </w:tc>
        <w:tc>
          <w:tcPr>
            <w:tcW w:w="1560" w:type="dxa"/>
            <w:tcBorders>
              <w:top w:val="nil"/>
              <w:left w:val="nil"/>
              <w:bottom w:val="nil"/>
              <w:right w:val="nil"/>
            </w:tcBorders>
            <w:tcMar>
              <w:top w:w="40" w:type="dxa"/>
              <w:left w:w="40" w:type="dxa"/>
              <w:bottom w:w="40" w:type="dxa"/>
              <w:right w:w="40" w:type="dxa"/>
            </w:tcMar>
          </w:tcPr>
          <w:p w14:paraId="200003A7">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3DE">
            <w:pPr>
              <w:spacing w:line="220" w:lineRule="auto"/>
              <w:jc w:val="center"/>
            </w:pPr>
            <w:r>
              <w:rPr>
                <w:sz w:val="18"/>
                <w:szCs w:val="18"/>
              </w:rPr>
              <w:t>8792</w:t>
            </w:r>
          </w:p>
        </w:tc>
        <w:tc>
          <w:tcPr>
            <w:tcW w:w="1560" w:type="dxa"/>
            <w:tcBorders>
              <w:top w:val="nil"/>
              <w:left w:val="nil"/>
              <w:bottom w:val="nil"/>
              <w:right w:val="nil"/>
            </w:tcBorders>
            <w:tcMar>
              <w:top w:w="40" w:type="dxa"/>
              <w:left w:w="40" w:type="dxa"/>
              <w:bottom w:w="40" w:type="dxa"/>
              <w:right w:w="40" w:type="dxa"/>
            </w:tcMar>
          </w:tcPr>
          <w:p w14:paraId="20000415">
            <w:pPr>
              <w:spacing w:line="220" w:lineRule="auto"/>
              <w:jc w:val="center"/>
            </w:pPr>
            <w:r>
              <w:rPr>
                <w:sz w:val="18"/>
                <w:szCs w:val="18"/>
              </w:rPr>
              <w:t>90.2</w:t>
            </w:r>
          </w:p>
        </w:tc>
        <w:tc>
          <w:tcPr>
            <w:tcW w:w="1800" w:type="dxa"/>
            <w:tcBorders>
              <w:top w:val="nil"/>
              <w:left w:val="nil"/>
              <w:bottom w:val="nil"/>
              <w:right w:val="nil"/>
            </w:tcBorders>
            <w:tcMar>
              <w:top w:w="40" w:type="dxa"/>
              <w:left w:w="40" w:type="dxa"/>
              <w:bottom w:w="40" w:type="dxa"/>
              <w:right w:w="40" w:type="dxa"/>
            </w:tcMar>
          </w:tcPr>
          <w:p w14:paraId="2000044C">
            <w:pPr>
              <w:spacing w:line="220" w:lineRule="auto"/>
              <w:jc w:val="center"/>
            </w:pPr>
            <w:r>
              <w:rPr>
                <w:sz w:val="18"/>
                <w:szCs w:val="18"/>
              </w:rPr>
              <w:t>100</w:t>
            </w:r>
          </w:p>
        </w:tc>
      </w:tr>
      <w:tr w14:paraId="200005CD">
        <w:tc>
          <w:tcPr>
            <w:tcW w:w="3260" w:type="dxa"/>
            <w:tcBorders>
              <w:top w:val="nil"/>
              <w:left w:val="nil"/>
              <w:bottom w:val="nil"/>
              <w:right w:val="nil"/>
            </w:tcBorders>
            <w:tcMar>
              <w:top w:w="40" w:type="dxa"/>
              <w:left w:w="40" w:type="dxa"/>
              <w:bottom w:w="40" w:type="dxa"/>
              <w:right w:w="40" w:type="dxa"/>
            </w:tcMar>
          </w:tcPr>
          <w:p w14:paraId="200004BA">
            <w:pPr>
              <w:spacing w:line="220" w:lineRule="auto"/>
              <w:jc w:val="left"/>
            </w:pPr>
            <w:r>
              <w:rPr>
                <w:sz w:val="18"/>
                <w:szCs w:val="18"/>
              </w:rPr>
              <w:t>Left ventricular ejection fraction, upper bound</w:t>
            </w:r>
          </w:p>
        </w:tc>
        <w:tc>
          <w:tcPr>
            <w:tcW w:w="1560" w:type="dxa"/>
            <w:tcBorders>
              <w:top w:val="nil"/>
              <w:left w:val="nil"/>
              <w:bottom w:val="nil"/>
              <w:right w:val="nil"/>
            </w:tcBorders>
            <w:tcMar>
              <w:top w:w="40" w:type="dxa"/>
              <w:left w:w="40" w:type="dxa"/>
              <w:bottom w:w="40" w:type="dxa"/>
              <w:right w:w="40" w:type="dxa"/>
            </w:tcMar>
          </w:tcPr>
          <w:p w14:paraId="200004F1">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528">
            <w:pPr>
              <w:spacing w:line="220" w:lineRule="auto"/>
              <w:jc w:val="center"/>
            </w:pPr>
            <w:r>
              <w:rPr>
                <w:sz w:val="18"/>
                <w:szCs w:val="18"/>
              </w:rPr>
              <w:t>8564</w:t>
            </w:r>
          </w:p>
        </w:tc>
        <w:tc>
          <w:tcPr>
            <w:tcW w:w="1560" w:type="dxa"/>
            <w:tcBorders>
              <w:top w:val="nil"/>
              <w:left w:val="nil"/>
              <w:bottom w:val="nil"/>
              <w:right w:val="nil"/>
            </w:tcBorders>
            <w:tcMar>
              <w:top w:w="40" w:type="dxa"/>
              <w:left w:w="40" w:type="dxa"/>
              <w:bottom w:w="40" w:type="dxa"/>
              <w:right w:w="40" w:type="dxa"/>
            </w:tcMar>
          </w:tcPr>
          <w:p w14:paraId="2000055F">
            <w:pPr>
              <w:spacing w:line="220" w:lineRule="auto"/>
              <w:jc w:val="center"/>
            </w:pPr>
            <w:r>
              <w:rPr>
                <w:sz w:val="18"/>
                <w:szCs w:val="18"/>
              </w:rPr>
              <w:t>87.9</w:t>
            </w:r>
          </w:p>
        </w:tc>
        <w:tc>
          <w:tcPr>
            <w:tcW w:w="1800" w:type="dxa"/>
            <w:tcBorders>
              <w:top w:val="nil"/>
              <w:left w:val="nil"/>
              <w:bottom w:val="nil"/>
              <w:right w:val="nil"/>
            </w:tcBorders>
            <w:tcMar>
              <w:top w:w="40" w:type="dxa"/>
              <w:left w:w="40" w:type="dxa"/>
              <w:bottom w:w="40" w:type="dxa"/>
              <w:right w:w="40" w:type="dxa"/>
            </w:tcMar>
          </w:tcPr>
          <w:p w14:paraId="20000596">
            <w:pPr>
              <w:spacing w:line="220" w:lineRule="auto"/>
              <w:jc w:val="center"/>
            </w:pPr>
            <w:r>
              <w:rPr>
                <w:sz w:val="18"/>
                <w:szCs w:val="18"/>
              </w:rPr>
              <w:t>94.5</w:t>
            </w:r>
          </w:p>
        </w:tc>
      </w:tr>
      <w:tr w14:paraId="20000717">
        <w:tc>
          <w:tcPr>
            <w:tcW w:w="3260" w:type="dxa"/>
            <w:tcBorders>
              <w:top w:val="nil"/>
              <w:left w:val="nil"/>
              <w:bottom w:val="nil"/>
              <w:right w:val="nil"/>
            </w:tcBorders>
            <w:tcMar>
              <w:top w:w="40" w:type="dxa"/>
              <w:left w:w="40" w:type="dxa"/>
              <w:bottom w:w="40" w:type="dxa"/>
              <w:right w:w="40" w:type="dxa"/>
            </w:tcMar>
          </w:tcPr>
          <w:p w14:paraId="20000604">
            <w:pPr>
              <w:spacing w:line="220" w:lineRule="auto"/>
              <w:jc w:val="left"/>
            </w:pPr>
            <w:r>
              <w:rPr>
                <w:sz w:val="18"/>
                <w:szCs w:val="18"/>
              </w:rPr>
              <w:t>Body surface area</w:t>
            </w:r>
          </w:p>
        </w:tc>
        <w:tc>
          <w:tcPr>
            <w:tcW w:w="1560" w:type="dxa"/>
            <w:tcBorders>
              <w:top w:val="nil"/>
              <w:left w:val="nil"/>
              <w:bottom w:val="nil"/>
              <w:right w:val="nil"/>
            </w:tcBorders>
            <w:tcMar>
              <w:top w:w="40" w:type="dxa"/>
              <w:left w:w="40" w:type="dxa"/>
              <w:bottom w:w="40" w:type="dxa"/>
              <w:right w:w="40" w:type="dxa"/>
            </w:tcMar>
          </w:tcPr>
          <w:p w14:paraId="2000063B">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672">
            <w:pPr>
              <w:spacing w:line="220" w:lineRule="auto"/>
              <w:jc w:val="center"/>
            </w:pPr>
            <w:r>
              <w:rPr>
                <w:sz w:val="18"/>
                <w:szCs w:val="18"/>
              </w:rPr>
              <w:t>9100</w:t>
            </w:r>
          </w:p>
        </w:tc>
        <w:tc>
          <w:tcPr>
            <w:tcW w:w="1560" w:type="dxa"/>
            <w:tcBorders>
              <w:top w:val="nil"/>
              <w:left w:val="nil"/>
              <w:bottom w:val="nil"/>
              <w:right w:val="nil"/>
            </w:tcBorders>
            <w:tcMar>
              <w:top w:w="40" w:type="dxa"/>
              <w:left w:w="40" w:type="dxa"/>
              <w:bottom w:w="40" w:type="dxa"/>
              <w:right w:w="40" w:type="dxa"/>
            </w:tcMar>
          </w:tcPr>
          <w:p w14:paraId="200006A9">
            <w:pPr>
              <w:spacing w:line="220" w:lineRule="auto"/>
              <w:jc w:val="center"/>
            </w:pPr>
            <w:r>
              <w:rPr>
                <w:sz w:val="18"/>
                <w:szCs w:val="18"/>
              </w:rPr>
              <w:t>93.4</w:t>
            </w:r>
          </w:p>
        </w:tc>
        <w:tc>
          <w:tcPr>
            <w:tcW w:w="1800" w:type="dxa"/>
            <w:tcBorders>
              <w:top w:val="nil"/>
              <w:left w:val="nil"/>
              <w:bottom w:val="nil"/>
              <w:right w:val="nil"/>
            </w:tcBorders>
            <w:tcMar>
              <w:top w:w="40" w:type="dxa"/>
              <w:left w:w="40" w:type="dxa"/>
              <w:bottom w:w="40" w:type="dxa"/>
              <w:right w:w="40" w:type="dxa"/>
            </w:tcMar>
          </w:tcPr>
          <w:p w14:paraId="200006E0">
            <w:pPr>
              <w:spacing w:line="220" w:lineRule="auto"/>
              <w:jc w:val="center"/>
            </w:pPr>
            <w:r>
              <w:rPr>
                <w:sz w:val="18"/>
                <w:szCs w:val="18"/>
              </w:rPr>
              <w:t>93.1</w:t>
            </w:r>
          </w:p>
        </w:tc>
      </w:tr>
      <w:tr w14:paraId="20000861">
        <w:tc>
          <w:tcPr>
            <w:tcW w:w="3260" w:type="dxa"/>
            <w:tcBorders>
              <w:top w:val="nil"/>
              <w:left w:val="nil"/>
              <w:bottom w:val="nil"/>
              <w:right w:val="nil"/>
            </w:tcBorders>
            <w:tcMar>
              <w:top w:w="40" w:type="dxa"/>
              <w:left w:w="40" w:type="dxa"/>
              <w:bottom w:w="40" w:type="dxa"/>
              <w:right w:w="40" w:type="dxa"/>
            </w:tcMar>
          </w:tcPr>
          <w:p w14:paraId="2000074E">
            <w:pPr>
              <w:spacing w:line="220" w:lineRule="auto"/>
              <w:jc w:val="left"/>
            </w:pPr>
            <w:r>
              <w:rPr>
                <w:sz w:val="18"/>
                <w:szCs w:val="18"/>
              </w:rPr>
              <w:t>Left ventricular end-diastolic dimension</w:t>
            </w:r>
          </w:p>
        </w:tc>
        <w:tc>
          <w:tcPr>
            <w:tcW w:w="1560" w:type="dxa"/>
            <w:tcBorders>
              <w:top w:val="nil"/>
              <w:left w:val="nil"/>
              <w:bottom w:val="nil"/>
              <w:right w:val="nil"/>
            </w:tcBorders>
            <w:tcMar>
              <w:top w:w="40" w:type="dxa"/>
              <w:left w:w="40" w:type="dxa"/>
              <w:bottom w:w="40" w:type="dxa"/>
              <w:right w:w="40" w:type="dxa"/>
            </w:tcMar>
          </w:tcPr>
          <w:p w14:paraId="20000785">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7BC">
            <w:pPr>
              <w:spacing w:line="220" w:lineRule="auto"/>
              <w:jc w:val="center"/>
            </w:pPr>
            <w:r>
              <w:rPr>
                <w:sz w:val="18"/>
                <w:szCs w:val="18"/>
              </w:rPr>
              <w:t>8481</w:t>
            </w:r>
          </w:p>
        </w:tc>
        <w:tc>
          <w:tcPr>
            <w:tcW w:w="1560" w:type="dxa"/>
            <w:tcBorders>
              <w:top w:val="nil"/>
              <w:left w:val="nil"/>
              <w:bottom w:val="nil"/>
              <w:right w:val="nil"/>
            </w:tcBorders>
            <w:tcMar>
              <w:top w:w="40" w:type="dxa"/>
              <w:left w:w="40" w:type="dxa"/>
              <w:bottom w:w="40" w:type="dxa"/>
              <w:right w:w="40" w:type="dxa"/>
            </w:tcMar>
          </w:tcPr>
          <w:p w14:paraId="200007F3">
            <w:pPr>
              <w:spacing w:line="220" w:lineRule="auto"/>
              <w:jc w:val="center"/>
            </w:pPr>
            <w:r>
              <w:rPr>
                <w:sz w:val="18"/>
                <w:szCs w:val="18"/>
              </w:rPr>
              <w:t>87.0</w:t>
            </w:r>
          </w:p>
        </w:tc>
        <w:tc>
          <w:tcPr>
            <w:tcW w:w="1800" w:type="dxa"/>
            <w:tcBorders>
              <w:top w:val="nil"/>
              <w:left w:val="nil"/>
              <w:bottom w:val="nil"/>
              <w:right w:val="nil"/>
            </w:tcBorders>
            <w:tcMar>
              <w:top w:w="40" w:type="dxa"/>
              <w:left w:w="40" w:type="dxa"/>
              <w:bottom w:w="40" w:type="dxa"/>
              <w:right w:w="40" w:type="dxa"/>
            </w:tcMar>
          </w:tcPr>
          <w:p w14:paraId="2000082A">
            <w:pPr>
              <w:spacing w:line="220" w:lineRule="auto"/>
              <w:jc w:val="center"/>
            </w:pPr>
            <w:r>
              <w:rPr>
                <w:sz w:val="18"/>
                <w:szCs w:val="18"/>
              </w:rPr>
              <w:t>88.6</w:t>
            </w:r>
          </w:p>
        </w:tc>
      </w:tr>
      <w:tr w14:paraId="200009AB">
        <w:tc>
          <w:tcPr>
            <w:tcW w:w="3260" w:type="dxa"/>
            <w:tcBorders>
              <w:top w:val="nil"/>
              <w:left w:val="nil"/>
              <w:bottom w:val="nil"/>
              <w:right w:val="nil"/>
            </w:tcBorders>
            <w:tcMar>
              <w:top w:w="40" w:type="dxa"/>
              <w:left w:w="40" w:type="dxa"/>
              <w:bottom w:w="40" w:type="dxa"/>
              <w:right w:w="40" w:type="dxa"/>
            </w:tcMar>
          </w:tcPr>
          <w:p w14:paraId="20000898">
            <w:pPr>
              <w:spacing w:line="220" w:lineRule="auto"/>
              <w:jc w:val="left"/>
            </w:pPr>
            <w:r>
              <w:rPr>
                <w:sz w:val="18"/>
                <w:szCs w:val="18"/>
              </w:rPr>
              <w:t>Septal wall thickness</w:t>
            </w:r>
          </w:p>
        </w:tc>
        <w:tc>
          <w:tcPr>
            <w:tcW w:w="1560" w:type="dxa"/>
            <w:tcBorders>
              <w:top w:val="nil"/>
              <w:left w:val="nil"/>
              <w:bottom w:val="nil"/>
              <w:right w:val="nil"/>
            </w:tcBorders>
            <w:tcMar>
              <w:top w:w="40" w:type="dxa"/>
              <w:left w:w="40" w:type="dxa"/>
              <w:bottom w:w="40" w:type="dxa"/>
              <w:right w:w="40" w:type="dxa"/>
            </w:tcMar>
          </w:tcPr>
          <w:p w14:paraId="200008CF">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906">
            <w:pPr>
              <w:spacing w:line="220" w:lineRule="auto"/>
              <w:jc w:val="center"/>
            </w:pPr>
            <w:r>
              <w:rPr>
                <w:sz w:val="18"/>
                <w:szCs w:val="18"/>
              </w:rPr>
              <w:t>8389</w:t>
            </w:r>
          </w:p>
        </w:tc>
        <w:tc>
          <w:tcPr>
            <w:tcW w:w="1560" w:type="dxa"/>
            <w:tcBorders>
              <w:top w:val="nil"/>
              <w:left w:val="nil"/>
              <w:bottom w:val="nil"/>
              <w:right w:val="nil"/>
            </w:tcBorders>
            <w:tcMar>
              <w:top w:w="40" w:type="dxa"/>
              <w:left w:w="40" w:type="dxa"/>
              <w:bottom w:w="40" w:type="dxa"/>
              <w:right w:w="40" w:type="dxa"/>
            </w:tcMar>
          </w:tcPr>
          <w:p w14:paraId="2000093D">
            <w:pPr>
              <w:spacing w:line="220" w:lineRule="auto"/>
              <w:jc w:val="center"/>
            </w:pPr>
            <w:r>
              <w:rPr>
                <w:sz w:val="18"/>
                <w:szCs w:val="18"/>
              </w:rPr>
              <w:t>86.1</w:t>
            </w:r>
          </w:p>
        </w:tc>
        <w:tc>
          <w:tcPr>
            <w:tcW w:w="1800" w:type="dxa"/>
            <w:tcBorders>
              <w:top w:val="nil"/>
              <w:left w:val="nil"/>
              <w:bottom w:val="nil"/>
              <w:right w:val="nil"/>
            </w:tcBorders>
            <w:tcMar>
              <w:top w:w="40" w:type="dxa"/>
              <w:left w:w="40" w:type="dxa"/>
              <w:bottom w:w="40" w:type="dxa"/>
              <w:right w:w="40" w:type="dxa"/>
            </w:tcMar>
          </w:tcPr>
          <w:p w14:paraId="20000974">
            <w:pPr>
              <w:spacing w:line="220" w:lineRule="auto"/>
              <w:jc w:val="center"/>
            </w:pPr>
            <w:r>
              <w:rPr>
                <w:sz w:val="18"/>
                <w:szCs w:val="18"/>
              </w:rPr>
              <w:t>87.8</w:t>
            </w:r>
          </w:p>
        </w:tc>
      </w:tr>
      <w:tr w14:paraId="20000AF5">
        <w:tc>
          <w:tcPr>
            <w:tcW w:w="3260" w:type="dxa"/>
            <w:tcBorders>
              <w:top w:val="nil"/>
              <w:left w:val="nil"/>
              <w:bottom w:val="nil"/>
              <w:right w:val="nil"/>
            </w:tcBorders>
            <w:tcMar>
              <w:top w:w="40" w:type="dxa"/>
              <w:left w:w="40" w:type="dxa"/>
              <w:bottom w:w="40" w:type="dxa"/>
              <w:right w:w="40" w:type="dxa"/>
            </w:tcMar>
          </w:tcPr>
          <w:p w14:paraId="200009E2">
            <w:pPr>
              <w:spacing w:line="220" w:lineRule="auto"/>
              <w:jc w:val="left"/>
            </w:pPr>
            <w:r>
              <w:rPr>
                <w:sz w:val="18"/>
                <w:szCs w:val="18"/>
              </w:rPr>
              <w:t>Inferolateral wall thickness</w:t>
            </w:r>
          </w:p>
        </w:tc>
        <w:tc>
          <w:tcPr>
            <w:tcW w:w="1560" w:type="dxa"/>
            <w:tcBorders>
              <w:top w:val="nil"/>
              <w:left w:val="nil"/>
              <w:bottom w:val="nil"/>
              <w:right w:val="nil"/>
            </w:tcBorders>
            <w:tcMar>
              <w:top w:w="40" w:type="dxa"/>
              <w:left w:w="40" w:type="dxa"/>
              <w:bottom w:w="40" w:type="dxa"/>
              <w:right w:w="40" w:type="dxa"/>
            </w:tcMar>
          </w:tcPr>
          <w:p w14:paraId="20000A19">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A50">
            <w:pPr>
              <w:spacing w:line="220" w:lineRule="auto"/>
              <w:jc w:val="center"/>
            </w:pPr>
            <w:r>
              <w:rPr>
                <w:sz w:val="18"/>
                <w:szCs w:val="18"/>
              </w:rPr>
              <w:t>8381</w:t>
            </w:r>
          </w:p>
        </w:tc>
        <w:tc>
          <w:tcPr>
            <w:tcW w:w="1560" w:type="dxa"/>
            <w:tcBorders>
              <w:top w:val="nil"/>
              <w:left w:val="nil"/>
              <w:bottom w:val="nil"/>
              <w:right w:val="nil"/>
            </w:tcBorders>
            <w:tcMar>
              <w:top w:w="40" w:type="dxa"/>
              <w:left w:w="40" w:type="dxa"/>
              <w:bottom w:w="40" w:type="dxa"/>
              <w:right w:w="40" w:type="dxa"/>
            </w:tcMar>
          </w:tcPr>
          <w:p w14:paraId="20000A87">
            <w:pPr>
              <w:spacing w:line="220" w:lineRule="auto"/>
              <w:jc w:val="center"/>
            </w:pPr>
            <w:r>
              <w:rPr>
                <w:sz w:val="18"/>
                <w:szCs w:val="18"/>
              </w:rPr>
              <w:t>86.0</w:t>
            </w:r>
          </w:p>
        </w:tc>
        <w:tc>
          <w:tcPr>
            <w:tcW w:w="1800" w:type="dxa"/>
            <w:tcBorders>
              <w:top w:val="nil"/>
              <w:left w:val="nil"/>
              <w:bottom w:val="nil"/>
              <w:right w:val="nil"/>
            </w:tcBorders>
            <w:tcMar>
              <w:top w:w="40" w:type="dxa"/>
              <w:left w:w="40" w:type="dxa"/>
              <w:bottom w:w="40" w:type="dxa"/>
              <w:right w:w="40" w:type="dxa"/>
            </w:tcMar>
          </w:tcPr>
          <w:p w14:paraId="20000ABE">
            <w:pPr>
              <w:spacing w:line="220" w:lineRule="auto"/>
              <w:jc w:val="center"/>
            </w:pPr>
            <w:r>
              <w:rPr>
                <w:sz w:val="18"/>
                <w:szCs w:val="18"/>
              </w:rPr>
              <w:t>87.7</w:t>
            </w:r>
          </w:p>
        </w:tc>
      </w:tr>
      <w:tr w14:paraId="20000C3F">
        <w:tc>
          <w:tcPr>
            <w:tcW w:w="3260" w:type="dxa"/>
            <w:tcBorders>
              <w:top w:val="nil"/>
              <w:left w:val="nil"/>
              <w:bottom w:val="nil"/>
              <w:right w:val="nil"/>
            </w:tcBorders>
            <w:tcMar>
              <w:top w:w="40" w:type="dxa"/>
              <w:left w:w="40" w:type="dxa"/>
              <w:bottom w:w="40" w:type="dxa"/>
              <w:right w:w="40" w:type="dxa"/>
            </w:tcMar>
          </w:tcPr>
          <w:p w14:paraId="20000B2C">
            <w:pPr>
              <w:spacing w:line="220" w:lineRule="auto"/>
              <w:jc w:val="left"/>
            </w:pPr>
            <w:r>
              <w:rPr>
                <w:sz w:val="18"/>
                <w:szCs w:val="18"/>
              </w:rPr>
              <w:t>Left atrial diastolic dimension</w:t>
            </w:r>
          </w:p>
        </w:tc>
        <w:tc>
          <w:tcPr>
            <w:tcW w:w="1560" w:type="dxa"/>
            <w:tcBorders>
              <w:top w:val="nil"/>
              <w:left w:val="nil"/>
              <w:bottom w:val="nil"/>
              <w:right w:val="nil"/>
            </w:tcBorders>
            <w:tcMar>
              <w:top w:w="40" w:type="dxa"/>
              <w:left w:w="40" w:type="dxa"/>
              <w:bottom w:w="40" w:type="dxa"/>
              <w:right w:w="40" w:type="dxa"/>
            </w:tcMar>
          </w:tcPr>
          <w:p w14:paraId="20000B63">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B9A">
            <w:pPr>
              <w:spacing w:line="220" w:lineRule="auto"/>
              <w:jc w:val="center"/>
            </w:pPr>
            <w:r>
              <w:rPr>
                <w:sz w:val="18"/>
                <w:szCs w:val="18"/>
              </w:rPr>
              <w:t>8161</w:t>
            </w:r>
          </w:p>
        </w:tc>
        <w:tc>
          <w:tcPr>
            <w:tcW w:w="1560" w:type="dxa"/>
            <w:tcBorders>
              <w:top w:val="nil"/>
              <w:left w:val="nil"/>
              <w:bottom w:val="nil"/>
              <w:right w:val="nil"/>
            </w:tcBorders>
            <w:tcMar>
              <w:top w:w="40" w:type="dxa"/>
              <w:left w:w="40" w:type="dxa"/>
              <w:bottom w:w="40" w:type="dxa"/>
              <w:right w:w="40" w:type="dxa"/>
            </w:tcMar>
          </w:tcPr>
          <w:p w14:paraId="20000BD1">
            <w:pPr>
              <w:spacing w:line="220" w:lineRule="auto"/>
              <w:jc w:val="center"/>
            </w:pPr>
            <w:r>
              <w:rPr>
                <w:sz w:val="18"/>
                <w:szCs w:val="18"/>
              </w:rPr>
              <w:t>83.8</w:t>
            </w:r>
          </w:p>
        </w:tc>
        <w:tc>
          <w:tcPr>
            <w:tcW w:w="1800" w:type="dxa"/>
            <w:tcBorders>
              <w:top w:val="nil"/>
              <w:left w:val="nil"/>
              <w:bottom w:val="nil"/>
              <w:right w:val="nil"/>
            </w:tcBorders>
            <w:tcMar>
              <w:top w:w="40" w:type="dxa"/>
              <w:left w:w="40" w:type="dxa"/>
              <w:bottom w:w="40" w:type="dxa"/>
              <w:right w:w="40" w:type="dxa"/>
            </w:tcMar>
          </w:tcPr>
          <w:p w14:paraId="20000C08">
            <w:pPr>
              <w:spacing w:line="220" w:lineRule="auto"/>
              <w:jc w:val="center"/>
            </w:pPr>
            <w:r>
              <w:rPr>
                <w:sz w:val="18"/>
                <w:szCs w:val="18"/>
              </w:rPr>
              <w:t>85.3</w:t>
            </w:r>
          </w:p>
        </w:tc>
      </w:tr>
      <w:tr w14:paraId="20000D89">
        <w:tc>
          <w:tcPr>
            <w:tcW w:w="3260" w:type="dxa"/>
            <w:tcBorders>
              <w:top w:val="nil"/>
              <w:left w:val="nil"/>
              <w:bottom w:val="nil"/>
              <w:right w:val="nil"/>
            </w:tcBorders>
            <w:tcMar>
              <w:top w:w="40" w:type="dxa"/>
              <w:left w:w="40" w:type="dxa"/>
              <w:bottom w:w="40" w:type="dxa"/>
              <w:right w:w="40" w:type="dxa"/>
            </w:tcMar>
          </w:tcPr>
          <w:p w14:paraId="20000C76">
            <w:pPr>
              <w:spacing w:line="220" w:lineRule="auto"/>
              <w:jc w:val="left"/>
            </w:pPr>
            <w:r>
              <w:rPr>
                <w:sz w:val="18"/>
                <w:szCs w:val="18"/>
              </w:rPr>
              <w:t>Left ventricular chamber size (descriptive)</w:t>
            </w:r>
          </w:p>
        </w:tc>
        <w:tc>
          <w:tcPr>
            <w:tcW w:w="1560" w:type="dxa"/>
            <w:tcBorders>
              <w:top w:val="nil"/>
              <w:left w:val="nil"/>
              <w:bottom w:val="nil"/>
              <w:right w:val="nil"/>
            </w:tcBorders>
            <w:tcMar>
              <w:top w:w="40" w:type="dxa"/>
              <w:left w:w="40" w:type="dxa"/>
              <w:bottom w:w="40" w:type="dxa"/>
              <w:right w:w="40" w:type="dxa"/>
            </w:tcMar>
          </w:tcPr>
          <w:p w14:paraId="20000CAD">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CE4">
            <w:pPr>
              <w:spacing w:line="220" w:lineRule="auto"/>
              <w:jc w:val="center"/>
            </w:pPr>
            <w:r>
              <w:rPr>
                <w:sz w:val="18"/>
                <w:szCs w:val="18"/>
              </w:rPr>
              <w:t>6681</w:t>
            </w:r>
          </w:p>
        </w:tc>
        <w:tc>
          <w:tcPr>
            <w:tcW w:w="1560" w:type="dxa"/>
            <w:tcBorders>
              <w:top w:val="nil"/>
              <w:left w:val="nil"/>
              <w:bottom w:val="nil"/>
              <w:right w:val="nil"/>
            </w:tcBorders>
            <w:tcMar>
              <w:top w:w="40" w:type="dxa"/>
              <w:left w:w="40" w:type="dxa"/>
              <w:bottom w:w="40" w:type="dxa"/>
              <w:right w:w="40" w:type="dxa"/>
            </w:tcMar>
          </w:tcPr>
          <w:p w14:paraId="20000D1B">
            <w:pPr>
              <w:spacing w:line="220" w:lineRule="auto"/>
              <w:jc w:val="center"/>
            </w:pPr>
            <w:r>
              <w:rPr>
                <w:sz w:val="18"/>
                <w:szCs w:val="18"/>
              </w:rPr>
              <w:t>68.6</w:t>
            </w:r>
          </w:p>
        </w:tc>
        <w:tc>
          <w:tcPr>
            <w:tcW w:w="1800" w:type="dxa"/>
            <w:tcBorders>
              <w:top w:val="nil"/>
              <w:left w:val="nil"/>
              <w:bottom w:val="nil"/>
              <w:right w:val="nil"/>
            </w:tcBorders>
            <w:tcMar>
              <w:top w:w="40" w:type="dxa"/>
              <w:left w:w="40" w:type="dxa"/>
              <w:bottom w:w="40" w:type="dxa"/>
              <w:right w:w="40" w:type="dxa"/>
            </w:tcMar>
          </w:tcPr>
          <w:p w14:paraId="20000D52">
            <w:pPr>
              <w:spacing w:line="220" w:lineRule="auto"/>
              <w:jc w:val="center"/>
            </w:pPr>
            <w:r>
              <w:rPr>
                <w:sz w:val="18"/>
                <w:szCs w:val="18"/>
              </w:rPr>
              <w:t>74.6</w:t>
            </w:r>
          </w:p>
        </w:tc>
      </w:tr>
      <w:tr w14:paraId="3659F454">
        <w:tc>
          <w:tcPr>
            <w:tcW w:w="3260" w:type="dxa"/>
            <w:tcBorders>
              <w:top w:val="nil"/>
              <w:left w:val="nil"/>
              <w:bottom w:val="nil"/>
              <w:right w:val="nil"/>
            </w:tcBorders>
            <w:tcMar>
              <w:top w:w="40" w:type="dxa"/>
              <w:left w:w="40" w:type="dxa"/>
              <w:bottom w:w="40" w:type="dxa"/>
              <w:right w:w="40" w:type="dxa"/>
            </w:tcMar>
          </w:tcPr>
          <w:p w14:paraId="4FF29661">
            <w:pPr>
              <w:spacing w:line="220" w:lineRule="auto"/>
              <w:jc w:val="left"/>
            </w:pPr>
            <w:r>
              <w:rPr>
                <w:sz w:val="18"/>
                <w:szCs w:val="18"/>
              </w:rPr>
              <w:t>Left ventricular systolic function (descriptive)</w:t>
            </w:r>
          </w:p>
        </w:tc>
        <w:tc>
          <w:tcPr>
            <w:tcW w:w="1560" w:type="dxa"/>
            <w:tcBorders>
              <w:top w:val="nil"/>
              <w:left w:val="nil"/>
              <w:bottom w:val="nil"/>
              <w:right w:val="nil"/>
            </w:tcBorders>
            <w:tcMar>
              <w:top w:w="40" w:type="dxa"/>
              <w:left w:w="40" w:type="dxa"/>
              <w:bottom w:w="40" w:type="dxa"/>
              <w:right w:w="40" w:type="dxa"/>
            </w:tcMar>
          </w:tcPr>
          <w:p w14:paraId="794096BD">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3B1FC5EA">
            <w:pPr>
              <w:spacing w:line="220" w:lineRule="auto"/>
              <w:jc w:val="center"/>
            </w:pPr>
            <w:r>
              <w:rPr>
                <w:sz w:val="18"/>
                <w:szCs w:val="18"/>
              </w:rPr>
              <w:t>657</w:t>
            </w:r>
          </w:p>
        </w:tc>
        <w:tc>
          <w:tcPr>
            <w:tcW w:w="1560" w:type="dxa"/>
            <w:tcBorders>
              <w:top w:val="nil"/>
              <w:left w:val="nil"/>
              <w:bottom w:val="nil"/>
              <w:right w:val="nil"/>
            </w:tcBorders>
            <w:tcMar>
              <w:top w:w="40" w:type="dxa"/>
              <w:left w:w="40" w:type="dxa"/>
              <w:bottom w:w="40" w:type="dxa"/>
              <w:right w:w="40" w:type="dxa"/>
            </w:tcMar>
          </w:tcPr>
          <w:p w14:paraId="4D54D6C3">
            <w:pPr>
              <w:spacing w:line="220" w:lineRule="auto"/>
              <w:jc w:val="center"/>
            </w:pPr>
            <w:r>
              <w:rPr>
                <w:sz w:val="18"/>
                <w:szCs w:val="18"/>
              </w:rPr>
              <w:t>6.7</w:t>
            </w:r>
          </w:p>
        </w:tc>
        <w:tc>
          <w:tcPr>
            <w:tcW w:w="1800" w:type="dxa"/>
            <w:tcBorders>
              <w:top w:val="nil"/>
              <w:left w:val="nil"/>
              <w:bottom w:val="nil"/>
              <w:right w:val="nil"/>
            </w:tcBorders>
            <w:tcMar>
              <w:top w:w="40" w:type="dxa"/>
              <w:left w:w="40" w:type="dxa"/>
              <w:bottom w:w="40" w:type="dxa"/>
              <w:right w:w="40" w:type="dxa"/>
            </w:tcMar>
          </w:tcPr>
          <w:p w14:paraId="54373C00">
            <w:pPr>
              <w:spacing w:line="220" w:lineRule="auto"/>
              <w:jc w:val="center"/>
            </w:pPr>
            <w:r>
              <w:rPr>
                <w:sz w:val="18"/>
                <w:szCs w:val="18"/>
              </w:rPr>
              <w:t>4.9</w:t>
            </w:r>
          </w:p>
        </w:tc>
      </w:tr>
      <w:tr w14:paraId="20000ED3">
        <w:tc>
          <w:tcPr>
            <w:tcW w:w="3260" w:type="dxa"/>
            <w:tcBorders>
              <w:top w:val="nil"/>
              <w:left w:val="nil"/>
              <w:bottom w:val="nil"/>
              <w:right w:val="nil"/>
            </w:tcBorders>
            <w:tcMar>
              <w:top w:w="40" w:type="dxa"/>
              <w:left w:w="40" w:type="dxa"/>
              <w:bottom w:w="40" w:type="dxa"/>
              <w:right w:w="40" w:type="dxa"/>
            </w:tcMar>
          </w:tcPr>
          <w:p w14:paraId="20000DC0">
            <w:pPr>
              <w:spacing w:line="220" w:lineRule="auto"/>
              <w:jc w:val="left"/>
            </w:pPr>
            <w:r>
              <w:rPr>
                <w:sz w:val="18"/>
                <w:szCs w:val="18"/>
              </w:rPr>
              <w:t>Pulmonary hypertension severity (descriptive)</w:t>
            </w:r>
          </w:p>
        </w:tc>
        <w:tc>
          <w:tcPr>
            <w:tcW w:w="1560" w:type="dxa"/>
            <w:tcBorders>
              <w:top w:val="nil"/>
              <w:left w:val="nil"/>
              <w:bottom w:val="nil"/>
              <w:right w:val="nil"/>
            </w:tcBorders>
            <w:tcMar>
              <w:top w:w="40" w:type="dxa"/>
              <w:left w:w="40" w:type="dxa"/>
              <w:bottom w:w="40" w:type="dxa"/>
              <w:right w:w="40" w:type="dxa"/>
            </w:tcMar>
          </w:tcPr>
          <w:p w14:paraId="20000DF7">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E2E">
            <w:pPr>
              <w:spacing w:line="220" w:lineRule="auto"/>
              <w:jc w:val="center"/>
            </w:pPr>
            <w:r>
              <w:rPr>
                <w:sz w:val="18"/>
                <w:szCs w:val="18"/>
              </w:rPr>
              <w:t>8398</w:t>
            </w:r>
          </w:p>
        </w:tc>
        <w:tc>
          <w:tcPr>
            <w:tcW w:w="1560" w:type="dxa"/>
            <w:tcBorders>
              <w:top w:val="nil"/>
              <w:left w:val="nil"/>
              <w:bottom w:val="nil"/>
              <w:right w:val="nil"/>
            </w:tcBorders>
            <w:tcMar>
              <w:top w:w="40" w:type="dxa"/>
              <w:left w:w="40" w:type="dxa"/>
              <w:bottom w:w="40" w:type="dxa"/>
              <w:right w:w="40" w:type="dxa"/>
            </w:tcMar>
          </w:tcPr>
          <w:p w14:paraId="20000E65">
            <w:pPr>
              <w:spacing w:line="220" w:lineRule="auto"/>
              <w:jc w:val="center"/>
            </w:pPr>
            <w:r>
              <w:rPr>
                <w:sz w:val="18"/>
                <w:szCs w:val="18"/>
              </w:rPr>
              <w:t>86.2</w:t>
            </w:r>
          </w:p>
        </w:tc>
        <w:tc>
          <w:tcPr>
            <w:tcW w:w="1800" w:type="dxa"/>
            <w:tcBorders>
              <w:top w:val="nil"/>
              <w:left w:val="nil"/>
              <w:bottom w:val="nil"/>
              <w:right w:val="nil"/>
            </w:tcBorders>
            <w:tcMar>
              <w:top w:w="40" w:type="dxa"/>
              <w:left w:w="40" w:type="dxa"/>
              <w:bottom w:w="40" w:type="dxa"/>
              <w:right w:w="40" w:type="dxa"/>
            </w:tcMar>
          </w:tcPr>
          <w:p w14:paraId="20000E9C">
            <w:pPr>
              <w:spacing w:line="220" w:lineRule="auto"/>
              <w:jc w:val="center"/>
            </w:pPr>
            <w:r>
              <w:rPr>
                <w:sz w:val="18"/>
                <w:szCs w:val="18"/>
              </w:rPr>
              <w:t>n/a</w:t>
            </w:r>
          </w:p>
        </w:tc>
      </w:tr>
      <w:tr w14:paraId="2000101D">
        <w:tc>
          <w:tcPr>
            <w:tcW w:w="3260" w:type="dxa"/>
            <w:tcBorders>
              <w:top w:val="nil"/>
              <w:left w:val="nil"/>
              <w:bottom w:val="nil"/>
              <w:right w:val="nil"/>
            </w:tcBorders>
            <w:tcMar>
              <w:top w:w="40" w:type="dxa"/>
              <w:left w:w="40" w:type="dxa"/>
              <w:bottom w:w="40" w:type="dxa"/>
              <w:right w:w="40" w:type="dxa"/>
            </w:tcMar>
          </w:tcPr>
          <w:p w14:paraId="20000F0A">
            <w:pPr>
              <w:spacing w:line="220" w:lineRule="auto"/>
              <w:jc w:val="left"/>
            </w:pPr>
            <w:r>
              <w:rPr>
                <w:sz w:val="18"/>
                <w:szCs w:val="18"/>
              </w:rPr>
              <w:t>Tricuspid regurgitant pressure gradient</w:t>
            </w:r>
          </w:p>
        </w:tc>
        <w:tc>
          <w:tcPr>
            <w:tcW w:w="1560" w:type="dxa"/>
            <w:tcBorders>
              <w:top w:val="nil"/>
              <w:left w:val="nil"/>
              <w:bottom w:val="nil"/>
              <w:right w:val="nil"/>
            </w:tcBorders>
            <w:tcMar>
              <w:top w:w="40" w:type="dxa"/>
              <w:left w:w="40" w:type="dxa"/>
              <w:bottom w:w="40" w:type="dxa"/>
              <w:right w:w="40" w:type="dxa"/>
            </w:tcMar>
          </w:tcPr>
          <w:p w14:paraId="20000F41">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0F78">
            <w:pPr>
              <w:spacing w:line="220" w:lineRule="auto"/>
              <w:jc w:val="center"/>
            </w:pPr>
            <w:r>
              <w:rPr>
                <w:sz w:val="18"/>
                <w:szCs w:val="18"/>
              </w:rPr>
              <w:t>6942</w:t>
            </w:r>
          </w:p>
        </w:tc>
        <w:tc>
          <w:tcPr>
            <w:tcW w:w="1560" w:type="dxa"/>
            <w:tcBorders>
              <w:top w:val="nil"/>
              <w:left w:val="nil"/>
              <w:bottom w:val="nil"/>
              <w:right w:val="nil"/>
            </w:tcBorders>
            <w:tcMar>
              <w:top w:w="40" w:type="dxa"/>
              <w:left w:w="40" w:type="dxa"/>
              <w:bottom w:w="40" w:type="dxa"/>
              <w:right w:w="40" w:type="dxa"/>
            </w:tcMar>
          </w:tcPr>
          <w:p w14:paraId="20000FAF">
            <w:pPr>
              <w:spacing w:line="220" w:lineRule="auto"/>
              <w:jc w:val="center"/>
            </w:pPr>
            <w:r>
              <w:rPr>
                <w:sz w:val="18"/>
                <w:szCs w:val="18"/>
              </w:rPr>
              <w:t>71.2</w:t>
            </w:r>
          </w:p>
        </w:tc>
        <w:tc>
          <w:tcPr>
            <w:tcW w:w="1800" w:type="dxa"/>
            <w:tcBorders>
              <w:top w:val="nil"/>
              <w:left w:val="nil"/>
              <w:bottom w:val="nil"/>
              <w:right w:val="nil"/>
            </w:tcBorders>
            <w:tcMar>
              <w:top w:w="40" w:type="dxa"/>
              <w:left w:w="40" w:type="dxa"/>
              <w:bottom w:w="40" w:type="dxa"/>
              <w:right w:w="40" w:type="dxa"/>
            </w:tcMar>
          </w:tcPr>
          <w:p w14:paraId="20000FE6">
            <w:pPr>
              <w:spacing w:line="220" w:lineRule="auto"/>
              <w:jc w:val="center"/>
            </w:pPr>
            <w:r>
              <w:rPr>
                <w:sz w:val="18"/>
                <w:szCs w:val="18"/>
              </w:rPr>
              <w:t>72.1</w:t>
            </w:r>
          </w:p>
        </w:tc>
      </w:tr>
      <w:tr w14:paraId="20001167">
        <w:tc>
          <w:tcPr>
            <w:tcW w:w="3260" w:type="dxa"/>
            <w:tcBorders>
              <w:top w:val="nil"/>
              <w:left w:val="nil"/>
              <w:bottom w:val="nil"/>
              <w:right w:val="nil"/>
            </w:tcBorders>
            <w:tcMar>
              <w:top w:w="40" w:type="dxa"/>
              <w:left w:w="40" w:type="dxa"/>
              <w:bottom w:w="40" w:type="dxa"/>
              <w:right w:w="40" w:type="dxa"/>
            </w:tcMar>
          </w:tcPr>
          <w:p w14:paraId="20001054">
            <w:pPr>
              <w:spacing w:line="220" w:lineRule="auto"/>
              <w:jc w:val="left"/>
            </w:pPr>
            <w:r>
              <w:rPr>
                <w:sz w:val="18"/>
                <w:szCs w:val="18"/>
              </w:rPr>
              <w:t>Tricuspid regurgitant velocity</w:t>
            </w:r>
          </w:p>
        </w:tc>
        <w:tc>
          <w:tcPr>
            <w:tcW w:w="1560" w:type="dxa"/>
            <w:tcBorders>
              <w:top w:val="nil"/>
              <w:left w:val="nil"/>
              <w:bottom w:val="nil"/>
              <w:right w:val="nil"/>
            </w:tcBorders>
            <w:tcMar>
              <w:top w:w="40" w:type="dxa"/>
              <w:left w:w="40" w:type="dxa"/>
              <w:bottom w:w="40" w:type="dxa"/>
              <w:right w:w="40" w:type="dxa"/>
            </w:tcMar>
          </w:tcPr>
          <w:p w14:paraId="2000108B">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0C2">
            <w:pPr>
              <w:spacing w:line="220" w:lineRule="auto"/>
              <w:jc w:val="center"/>
            </w:pPr>
            <w:r>
              <w:rPr>
                <w:sz w:val="18"/>
                <w:szCs w:val="18"/>
              </w:rPr>
              <w:t>6935</w:t>
            </w:r>
          </w:p>
        </w:tc>
        <w:tc>
          <w:tcPr>
            <w:tcW w:w="1560" w:type="dxa"/>
            <w:tcBorders>
              <w:top w:val="nil"/>
              <w:left w:val="nil"/>
              <w:bottom w:val="nil"/>
              <w:right w:val="nil"/>
            </w:tcBorders>
            <w:tcMar>
              <w:top w:w="40" w:type="dxa"/>
              <w:left w:w="40" w:type="dxa"/>
              <w:bottom w:w="40" w:type="dxa"/>
              <w:right w:w="40" w:type="dxa"/>
            </w:tcMar>
          </w:tcPr>
          <w:p w14:paraId="200010F9">
            <w:pPr>
              <w:spacing w:line="220" w:lineRule="auto"/>
              <w:jc w:val="center"/>
            </w:pPr>
            <w:r>
              <w:rPr>
                <w:sz w:val="18"/>
                <w:szCs w:val="18"/>
              </w:rPr>
              <w:t>71.2</w:t>
            </w:r>
          </w:p>
        </w:tc>
        <w:tc>
          <w:tcPr>
            <w:tcW w:w="1800" w:type="dxa"/>
            <w:tcBorders>
              <w:top w:val="nil"/>
              <w:left w:val="nil"/>
              <w:bottom w:val="nil"/>
              <w:right w:val="nil"/>
            </w:tcBorders>
            <w:tcMar>
              <w:top w:w="40" w:type="dxa"/>
              <w:left w:w="40" w:type="dxa"/>
              <w:bottom w:w="40" w:type="dxa"/>
              <w:right w:w="40" w:type="dxa"/>
            </w:tcMar>
          </w:tcPr>
          <w:p w14:paraId="20001130">
            <w:pPr>
              <w:spacing w:line="220" w:lineRule="auto"/>
              <w:jc w:val="center"/>
            </w:pPr>
            <w:r>
              <w:rPr>
                <w:sz w:val="18"/>
                <w:szCs w:val="18"/>
              </w:rPr>
              <w:t>72.0</w:t>
            </w:r>
          </w:p>
        </w:tc>
      </w:tr>
      <w:tr w14:paraId="200012B1">
        <w:tc>
          <w:tcPr>
            <w:tcW w:w="3260" w:type="dxa"/>
            <w:tcBorders>
              <w:top w:val="nil"/>
              <w:left w:val="nil"/>
              <w:bottom w:val="nil"/>
              <w:right w:val="nil"/>
            </w:tcBorders>
            <w:tcMar>
              <w:top w:w="40" w:type="dxa"/>
              <w:left w:w="40" w:type="dxa"/>
              <w:bottom w:w="40" w:type="dxa"/>
              <w:right w:w="40" w:type="dxa"/>
            </w:tcMar>
          </w:tcPr>
          <w:p w14:paraId="2000119E">
            <w:pPr>
              <w:spacing w:line="220" w:lineRule="auto"/>
              <w:jc w:val="left"/>
            </w:pPr>
            <w:r>
              <w:rPr>
                <w:sz w:val="18"/>
                <w:szCs w:val="18"/>
              </w:rPr>
              <w:t>Left ventricular outflow tract diameter</w:t>
            </w:r>
          </w:p>
        </w:tc>
        <w:tc>
          <w:tcPr>
            <w:tcW w:w="1560" w:type="dxa"/>
            <w:tcBorders>
              <w:top w:val="nil"/>
              <w:left w:val="nil"/>
              <w:bottom w:val="nil"/>
              <w:right w:val="nil"/>
            </w:tcBorders>
            <w:tcMar>
              <w:top w:w="40" w:type="dxa"/>
              <w:left w:w="40" w:type="dxa"/>
              <w:bottom w:w="40" w:type="dxa"/>
              <w:right w:w="40" w:type="dxa"/>
            </w:tcMar>
          </w:tcPr>
          <w:p w14:paraId="200011D5">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20C">
            <w:pPr>
              <w:spacing w:line="220" w:lineRule="auto"/>
              <w:jc w:val="center"/>
            </w:pPr>
            <w:r>
              <w:rPr>
                <w:sz w:val="18"/>
                <w:szCs w:val="18"/>
              </w:rPr>
              <w:t>6805</w:t>
            </w:r>
          </w:p>
        </w:tc>
        <w:tc>
          <w:tcPr>
            <w:tcW w:w="1560" w:type="dxa"/>
            <w:tcBorders>
              <w:top w:val="nil"/>
              <w:left w:val="nil"/>
              <w:bottom w:val="nil"/>
              <w:right w:val="nil"/>
            </w:tcBorders>
            <w:tcMar>
              <w:top w:w="40" w:type="dxa"/>
              <w:left w:w="40" w:type="dxa"/>
              <w:bottom w:w="40" w:type="dxa"/>
              <w:right w:w="40" w:type="dxa"/>
            </w:tcMar>
          </w:tcPr>
          <w:p w14:paraId="20001243">
            <w:pPr>
              <w:spacing w:line="220" w:lineRule="auto"/>
              <w:jc w:val="center"/>
            </w:pPr>
            <w:r>
              <w:rPr>
                <w:sz w:val="18"/>
                <w:szCs w:val="18"/>
              </w:rPr>
              <w:t>69.8</w:t>
            </w:r>
          </w:p>
        </w:tc>
        <w:tc>
          <w:tcPr>
            <w:tcW w:w="1800" w:type="dxa"/>
            <w:tcBorders>
              <w:top w:val="nil"/>
              <w:left w:val="nil"/>
              <w:bottom w:val="nil"/>
              <w:right w:val="nil"/>
            </w:tcBorders>
            <w:tcMar>
              <w:top w:w="40" w:type="dxa"/>
              <w:left w:w="40" w:type="dxa"/>
              <w:bottom w:w="40" w:type="dxa"/>
              <w:right w:w="40" w:type="dxa"/>
            </w:tcMar>
          </w:tcPr>
          <w:p w14:paraId="2000127A">
            <w:pPr>
              <w:spacing w:line="220" w:lineRule="auto"/>
              <w:jc w:val="center"/>
            </w:pPr>
            <w:r>
              <w:rPr>
                <w:sz w:val="18"/>
                <w:szCs w:val="18"/>
              </w:rPr>
              <w:t>70.1</w:t>
            </w:r>
          </w:p>
        </w:tc>
      </w:tr>
      <w:tr w14:paraId="200013FB">
        <w:tc>
          <w:tcPr>
            <w:tcW w:w="3260" w:type="dxa"/>
            <w:tcBorders>
              <w:top w:val="nil"/>
              <w:left w:val="nil"/>
              <w:bottom w:val="nil"/>
              <w:right w:val="nil"/>
            </w:tcBorders>
            <w:tcMar>
              <w:top w:w="40" w:type="dxa"/>
              <w:left w:w="40" w:type="dxa"/>
              <w:bottom w:w="40" w:type="dxa"/>
              <w:right w:w="40" w:type="dxa"/>
            </w:tcMar>
          </w:tcPr>
          <w:p w14:paraId="200012E8">
            <w:pPr>
              <w:spacing w:line="220" w:lineRule="auto"/>
              <w:jc w:val="left"/>
            </w:pPr>
            <w:r>
              <w:rPr>
                <w:sz w:val="18"/>
                <w:szCs w:val="18"/>
              </w:rPr>
              <w:t>E/A ratio</w:t>
            </w:r>
          </w:p>
        </w:tc>
        <w:tc>
          <w:tcPr>
            <w:tcW w:w="1560" w:type="dxa"/>
            <w:tcBorders>
              <w:top w:val="nil"/>
              <w:left w:val="nil"/>
              <w:bottom w:val="nil"/>
              <w:right w:val="nil"/>
            </w:tcBorders>
            <w:tcMar>
              <w:top w:w="40" w:type="dxa"/>
              <w:left w:w="40" w:type="dxa"/>
              <w:bottom w:w="40" w:type="dxa"/>
              <w:right w:w="40" w:type="dxa"/>
            </w:tcMar>
          </w:tcPr>
          <w:p w14:paraId="2000131F">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356">
            <w:pPr>
              <w:spacing w:line="220" w:lineRule="auto"/>
              <w:jc w:val="center"/>
            </w:pPr>
            <w:r>
              <w:rPr>
                <w:sz w:val="18"/>
                <w:szCs w:val="18"/>
              </w:rPr>
              <w:t>6477</w:t>
            </w:r>
          </w:p>
        </w:tc>
        <w:tc>
          <w:tcPr>
            <w:tcW w:w="1560" w:type="dxa"/>
            <w:tcBorders>
              <w:top w:val="nil"/>
              <w:left w:val="nil"/>
              <w:bottom w:val="nil"/>
              <w:right w:val="nil"/>
            </w:tcBorders>
            <w:tcMar>
              <w:top w:w="40" w:type="dxa"/>
              <w:left w:w="40" w:type="dxa"/>
              <w:bottom w:w="40" w:type="dxa"/>
              <w:right w:w="40" w:type="dxa"/>
            </w:tcMar>
          </w:tcPr>
          <w:p w14:paraId="2000138D">
            <w:pPr>
              <w:spacing w:line="220" w:lineRule="auto"/>
              <w:jc w:val="center"/>
            </w:pPr>
            <w:r>
              <w:rPr>
                <w:sz w:val="18"/>
                <w:szCs w:val="18"/>
              </w:rPr>
              <w:t>66.5</w:t>
            </w:r>
          </w:p>
        </w:tc>
        <w:tc>
          <w:tcPr>
            <w:tcW w:w="1800" w:type="dxa"/>
            <w:tcBorders>
              <w:top w:val="nil"/>
              <w:left w:val="nil"/>
              <w:bottom w:val="nil"/>
              <w:right w:val="nil"/>
            </w:tcBorders>
            <w:tcMar>
              <w:top w:w="40" w:type="dxa"/>
              <w:left w:w="40" w:type="dxa"/>
              <w:bottom w:w="40" w:type="dxa"/>
              <w:right w:w="40" w:type="dxa"/>
            </w:tcMar>
          </w:tcPr>
          <w:p w14:paraId="200013C4">
            <w:pPr>
              <w:spacing w:line="220" w:lineRule="auto"/>
              <w:jc w:val="center"/>
            </w:pPr>
            <w:r>
              <w:rPr>
                <w:sz w:val="18"/>
                <w:szCs w:val="18"/>
              </w:rPr>
              <w:t>67.7</w:t>
            </w:r>
          </w:p>
        </w:tc>
      </w:tr>
      <w:tr w14:paraId="20001545">
        <w:tc>
          <w:tcPr>
            <w:tcW w:w="3260" w:type="dxa"/>
            <w:tcBorders>
              <w:top w:val="nil"/>
              <w:left w:val="nil"/>
              <w:bottom w:val="nil"/>
              <w:right w:val="nil"/>
            </w:tcBorders>
            <w:tcMar>
              <w:top w:w="40" w:type="dxa"/>
              <w:left w:w="40" w:type="dxa"/>
              <w:bottom w:w="40" w:type="dxa"/>
              <w:right w:w="40" w:type="dxa"/>
            </w:tcMar>
          </w:tcPr>
          <w:p w14:paraId="20001432">
            <w:pPr>
              <w:spacing w:line="220" w:lineRule="auto"/>
              <w:jc w:val="left"/>
            </w:pPr>
            <w:r>
              <w:rPr>
                <w:sz w:val="18"/>
                <w:szCs w:val="18"/>
              </w:rPr>
              <w:t>Left ventricular outflow tract velocity–time integral</w:t>
            </w:r>
          </w:p>
        </w:tc>
        <w:tc>
          <w:tcPr>
            <w:tcW w:w="1560" w:type="dxa"/>
            <w:tcBorders>
              <w:top w:val="nil"/>
              <w:left w:val="nil"/>
              <w:bottom w:val="nil"/>
              <w:right w:val="nil"/>
            </w:tcBorders>
            <w:tcMar>
              <w:top w:w="40" w:type="dxa"/>
              <w:left w:w="40" w:type="dxa"/>
              <w:bottom w:w="40" w:type="dxa"/>
              <w:right w:w="40" w:type="dxa"/>
            </w:tcMar>
          </w:tcPr>
          <w:p w14:paraId="20001469">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4A0">
            <w:pPr>
              <w:spacing w:line="220" w:lineRule="auto"/>
              <w:jc w:val="center"/>
            </w:pPr>
            <w:r>
              <w:rPr>
                <w:sz w:val="18"/>
                <w:szCs w:val="18"/>
              </w:rPr>
              <w:t>5905</w:t>
            </w:r>
          </w:p>
        </w:tc>
        <w:tc>
          <w:tcPr>
            <w:tcW w:w="1560" w:type="dxa"/>
            <w:tcBorders>
              <w:top w:val="nil"/>
              <w:left w:val="nil"/>
              <w:bottom w:val="nil"/>
              <w:right w:val="nil"/>
            </w:tcBorders>
            <w:tcMar>
              <w:top w:w="40" w:type="dxa"/>
              <w:left w:w="40" w:type="dxa"/>
              <w:bottom w:w="40" w:type="dxa"/>
              <w:right w:w="40" w:type="dxa"/>
            </w:tcMar>
          </w:tcPr>
          <w:p w14:paraId="200014D7">
            <w:pPr>
              <w:spacing w:line="220" w:lineRule="auto"/>
              <w:jc w:val="center"/>
            </w:pPr>
            <w:r>
              <w:rPr>
                <w:sz w:val="18"/>
                <w:szCs w:val="18"/>
              </w:rPr>
              <w:t>60.6</w:t>
            </w:r>
          </w:p>
        </w:tc>
        <w:tc>
          <w:tcPr>
            <w:tcW w:w="1800" w:type="dxa"/>
            <w:tcBorders>
              <w:top w:val="nil"/>
              <w:left w:val="nil"/>
              <w:bottom w:val="nil"/>
              <w:right w:val="nil"/>
            </w:tcBorders>
            <w:tcMar>
              <w:top w:w="40" w:type="dxa"/>
              <w:left w:w="40" w:type="dxa"/>
              <w:bottom w:w="40" w:type="dxa"/>
              <w:right w:w="40" w:type="dxa"/>
            </w:tcMar>
          </w:tcPr>
          <w:p w14:paraId="2000150E">
            <w:pPr>
              <w:spacing w:line="220" w:lineRule="auto"/>
              <w:jc w:val="center"/>
            </w:pPr>
            <w:r>
              <w:rPr>
                <w:sz w:val="18"/>
                <w:szCs w:val="18"/>
              </w:rPr>
              <w:t>60.3</w:t>
            </w:r>
          </w:p>
        </w:tc>
      </w:tr>
      <w:tr w14:paraId="2000168F">
        <w:tc>
          <w:tcPr>
            <w:tcW w:w="3260" w:type="dxa"/>
            <w:tcBorders>
              <w:top w:val="nil"/>
              <w:left w:val="nil"/>
              <w:bottom w:val="nil"/>
              <w:right w:val="nil"/>
            </w:tcBorders>
            <w:tcMar>
              <w:top w:w="40" w:type="dxa"/>
              <w:left w:w="40" w:type="dxa"/>
              <w:bottom w:w="40" w:type="dxa"/>
              <w:right w:w="40" w:type="dxa"/>
            </w:tcMar>
          </w:tcPr>
          <w:p w14:paraId="2000157C">
            <w:pPr>
              <w:spacing w:line="220" w:lineRule="auto"/>
              <w:jc w:val="left"/>
            </w:pPr>
            <w:r>
              <w:rPr>
                <w:sz w:val="18"/>
                <w:szCs w:val="18"/>
              </w:rPr>
              <w:t>Left ventricular end-systolic dimension</w:t>
            </w:r>
          </w:p>
        </w:tc>
        <w:tc>
          <w:tcPr>
            <w:tcW w:w="1560" w:type="dxa"/>
            <w:tcBorders>
              <w:top w:val="nil"/>
              <w:left w:val="nil"/>
              <w:bottom w:val="nil"/>
              <w:right w:val="nil"/>
            </w:tcBorders>
            <w:tcMar>
              <w:top w:w="40" w:type="dxa"/>
              <w:left w:w="40" w:type="dxa"/>
              <w:bottom w:w="40" w:type="dxa"/>
              <w:right w:w="40" w:type="dxa"/>
            </w:tcMar>
          </w:tcPr>
          <w:p w14:paraId="200015B3">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5EA">
            <w:pPr>
              <w:spacing w:line="220" w:lineRule="auto"/>
              <w:jc w:val="center"/>
            </w:pPr>
            <w:r>
              <w:rPr>
                <w:sz w:val="18"/>
                <w:szCs w:val="18"/>
              </w:rPr>
              <w:t>5314</w:t>
            </w:r>
          </w:p>
        </w:tc>
        <w:tc>
          <w:tcPr>
            <w:tcW w:w="1560" w:type="dxa"/>
            <w:tcBorders>
              <w:top w:val="nil"/>
              <w:left w:val="nil"/>
              <w:bottom w:val="nil"/>
              <w:right w:val="nil"/>
            </w:tcBorders>
            <w:tcMar>
              <w:top w:w="40" w:type="dxa"/>
              <w:left w:w="40" w:type="dxa"/>
              <w:bottom w:w="40" w:type="dxa"/>
              <w:right w:w="40" w:type="dxa"/>
            </w:tcMar>
          </w:tcPr>
          <w:p w14:paraId="20001621">
            <w:pPr>
              <w:spacing w:line="220" w:lineRule="auto"/>
              <w:jc w:val="center"/>
            </w:pPr>
            <w:r>
              <w:rPr>
                <w:sz w:val="18"/>
                <w:szCs w:val="18"/>
              </w:rPr>
              <w:t>54.5</w:t>
            </w:r>
          </w:p>
        </w:tc>
        <w:tc>
          <w:tcPr>
            <w:tcW w:w="1800" w:type="dxa"/>
            <w:tcBorders>
              <w:top w:val="nil"/>
              <w:left w:val="nil"/>
              <w:bottom w:val="nil"/>
              <w:right w:val="nil"/>
            </w:tcBorders>
            <w:tcMar>
              <w:top w:w="40" w:type="dxa"/>
              <w:left w:w="40" w:type="dxa"/>
              <w:bottom w:w="40" w:type="dxa"/>
              <w:right w:w="40" w:type="dxa"/>
            </w:tcMar>
          </w:tcPr>
          <w:p w14:paraId="20001658">
            <w:pPr>
              <w:spacing w:line="220" w:lineRule="auto"/>
              <w:jc w:val="center"/>
            </w:pPr>
            <w:r>
              <w:rPr>
                <w:sz w:val="18"/>
                <w:szCs w:val="18"/>
              </w:rPr>
              <w:t>54.5</w:t>
            </w:r>
          </w:p>
        </w:tc>
      </w:tr>
      <w:tr w14:paraId="200017D9">
        <w:tc>
          <w:tcPr>
            <w:tcW w:w="3260" w:type="dxa"/>
            <w:tcBorders>
              <w:top w:val="nil"/>
              <w:left w:val="nil"/>
              <w:bottom w:val="nil"/>
              <w:right w:val="nil"/>
            </w:tcBorders>
            <w:tcMar>
              <w:top w:w="40" w:type="dxa"/>
              <w:left w:w="40" w:type="dxa"/>
              <w:bottom w:w="40" w:type="dxa"/>
              <w:right w:w="40" w:type="dxa"/>
            </w:tcMar>
          </w:tcPr>
          <w:p w14:paraId="200016C6">
            <w:pPr>
              <w:spacing w:line="220" w:lineRule="auto"/>
              <w:jc w:val="left"/>
            </w:pPr>
            <w:r>
              <w:rPr>
                <w:sz w:val="18"/>
                <w:szCs w:val="18"/>
              </w:rPr>
              <w:t>E/e′, lateral</w:t>
            </w:r>
          </w:p>
        </w:tc>
        <w:tc>
          <w:tcPr>
            <w:tcW w:w="1560" w:type="dxa"/>
            <w:tcBorders>
              <w:top w:val="nil"/>
              <w:left w:val="nil"/>
              <w:bottom w:val="nil"/>
              <w:right w:val="nil"/>
            </w:tcBorders>
            <w:tcMar>
              <w:top w:w="40" w:type="dxa"/>
              <w:left w:w="40" w:type="dxa"/>
              <w:bottom w:w="40" w:type="dxa"/>
              <w:right w:w="40" w:type="dxa"/>
            </w:tcMar>
          </w:tcPr>
          <w:p w14:paraId="200016FD">
            <w:pPr>
              <w:spacing w:line="220" w:lineRule="auto"/>
              <w:jc w:val="center"/>
            </w:pPr>
            <w:r>
              <w:rPr>
                <w:sz w:val="18"/>
                <w:szCs w:val="18"/>
              </w:rPr>
              <w:t>8217</w:t>
            </w:r>
          </w:p>
        </w:tc>
        <w:tc>
          <w:tcPr>
            <w:tcW w:w="1180" w:type="dxa"/>
            <w:tcBorders>
              <w:top w:val="nil"/>
              <w:left w:val="nil"/>
              <w:bottom w:val="nil"/>
              <w:right w:val="nil"/>
            </w:tcBorders>
            <w:tcMar>
              <w:top w:w="40" w:type="dxa"/>
              <w:left w:w="40" w:type="dxa"/>
              <w:bottom w:w="40" w:type="dxa"/>
              <w:right w:w="40" w:type="dxa"/>
            </w:tcMar>
          </w:tcPr>
          <w:p w14:paraId="20001734">
            <w:pPr>
              <w:spacing w:line="220" w:lineRule="auto"/>
              <w:jc w:val="center"/>
            </w:pPr>
            <w:r>
              <w:rPr>
                <w:sz w:val="18"/>
                <w:szCs w:val="18"/>
              </w:rPr>
              <w:t>4295</w:t>
            </w:r>
          </w:p>
        </w:tc>
        <w:tc>
          <w:tcPr>
            <w:tcW w:w="1560" w:type="dxa"/>
            <w:tcBorders>
              <w:top w:val="nil"/>
              <w:left w:val="nil"/>
              <w:bottom w:val="nil"/>
              <w:right w:val="nil"/>
            </w:tcBorders>
            <w:tcMar>
              <w:top w:w="40" w:type="dxa"/>
              <w:left w:w="40" w:type="dxa"/>
              <w:bottom w:w="40" w:type="dxa"/>
              <w:right w:w="40" w:type="dxa"/>
            </w:tcMar>
          </w:tcPr>
          <w:p w14:paraId="2000176B">
            <w:pPr>
              <w:spacing w:line="220" w:lineRule="auto"/>
              <w:jc w:val="center"/>
            </w:pPr>
            <w:r>
              <w:rPr>
                <w:sz w:val="18"/>
                <w:szCs w:val="18"/>
              </w:rPr>
              <w:t>44.1</w:t>
            </w:r>
          </w:p>
        </w:tc>
        <w:tc>
          <w:tcPr>
            <w:tcW w:w="1800" w:type="dxa"/>
            <w:tcBorders>
              <w:top w:val="nil"/>
              <w:left w:val="nil"/>
              <w:bottom w:val="nil"/>
              <w:right w:val="nil"/>
            </w:tcBorders>
            <w:tcMar>
              <w:top w:w="40" w:type="dxa"/>
              <w:left w:w="40" w:type="dxa"/>
              <w:bottom w:w="40" w:type="dxa"/>
              <w:right w:w="40" w:type="dxa"/>
            </w:tcMar>
          </w:tcPr>
          <w:p w14:paraId="200017A2">
            <w:pPr>
              <w:spacing w:line="220" w:lineRule="auto"/>
              <w:jc w:val="center"/>
            </w:pPr>
            <w:r>
              <w:rPr>
                <w:sz w:val="18"/>
                <w:szCs w:val="18"/>
              </w:rPr>
              <w:t>48.5</w:t>
            </w:r>
          </w:p>
        </w:tc>
      </w:tr>
      <w:tr w14:paraId="20001923">
        <w:tc>
          <w:tcPr>
            <w:tcW w:w="3260" w:type="dxa"/>
            <w:tcBorders>
              <w:top w:val="nil"/>
              <w:left w:val="nil"/>
              <w:bottom w:val="nil"/>
              <w:right w:val="nil"/>
            </w:tcBorders>
            <w:tcMar>
              <w:top w:w="40" w:type="dxa"/>
              <w:left w:w="40" w:type="dxa"/>
              <w:bottom w:w="40" w:type="dxa"/>
              <w:right w:w="40" w:type="dxa"/>
            </w:tcMar>
          </w:tcPr>
          <w:p w14:paraId="20001810">
            <w:pPr>
              <w:spacing w:line="220" w:lineRule="auto"/>
              <w:jc w:val="left"/>
            </w:pPr>
            <w:r>
              <w:rPr>
                <w:sz w:val="18"/>
                <w:szCs w:val="18"/>
              </w:rPr>
              <w:t>E/e′, septal</w:t>
            </w:r>
          </w:p>
        </w:tc>
        <w:tc>
          <w:tcPr>
            <w:tcW w:w="1560" w:type="dxa"/>
            <w:tcBorders>
              <w:top w:val="nil"/>
              <w:left w:val="nil"/>
              <w:bottom w:val="nil"/>
              <w:right w:val="nil"/>
            </w:tcBorders>
            <w:tcMar>
              <w:top w:w="40" w:type="dxa"/>
              <w:left w:w="40" w:type="dxa"/>
              <w:bottom w:w="40" w:type="dxa"/>
              <w:right w:w="40" w:type="dxa"/>
            </w:tcMar>
          </w:tcPr>
          <w:p w14:paraId="20001847">
            <w:pPr>
              <w:spacing w:line="220" w:lineRule="auto"/>
              <w:jc w:val="center"/>
            </w:pPr>
            <w:r>
              <w:rPr>
                <w:sz w:val="18"/>
                <w:szCs w:val="18"/>
              </w:rPr>
              <w:t>8217</w:t>
            </w:r>
          </w:p>
        </w:tc>
        <w:tc>
          <w:tcPr>
            <w:tcW w:w="1180" w:type="dxa"/>
            <w:tcBorders>
              <w:top w:val="nil"/>
              <w:left w:val="nil"/>
              <w:bottom w:val="nil"/>
              <w:right w:val="nil"/>
            </w:tcBorders>
            <w:tcMar>
              <w:top w:w="40" w:type="dxa"/>
              <w:left w:w="40" w:type="dxa"/>
              <w:bottom w:w="40" w:type="dxa"/>
              <w:right w:w="40" w:type="dxa"/>
            </w:tcMar>
          </w:tcPr>
          <w:p w14:paraId="2000187E">
            <w:pPr>
              <w:spacing w:line="220" w:lineRule="auto"/>
              <w:jc w:val="center"/>
            </w:pPr>
            <w:r>
              <w:rPr>
                <w:sz w:val="18"/>
                <w:szCs w:val="18"/>
              </w:rPr>
              <w:t>4231</w:t>
            </w:r>
          </w:p>
        </w:tc>
        <w:tc>
          <w:tcPr>
            <w:tcW w:w="1560" w:type="dxa"/>
            <w:tcBorders>
              <w:top w:val="nil"/>
              <w:left w:val="nil"/>
              <w:bottom w:val="nil"/>
              <w:right w:val="nil"/>
            </w:tcBorders>
            <w:tcMar>
              <w:top w:w="40" w:type="dxa"/>
              <w:left w:w="40" w:type="dxa"/>
              <w:bottom w:w="40" w:type="dxa"/>
              <w:right w:w="40" w:type="dxa"/>
            </w:tcMar>
          </w:tcPr>
          <w:p w14:paraId="200018B5">
            <w:pPr>
              <w:spacing w:line="220" w:lineRule="auto"/>
              <w:jc w:val="center"/>
            </w:pPr>
            <w:r>
              <w:rPr>
                <w:sz w:val="18"/>
                <w:szCs w:val="18"/>
              </w:rPr>
              <w:t>43.4</w:t>
            </w:r>
          </w:p>
        </w:tc>
        <w:tc>
          <w:tcPr>
            <w:tcW w:w="1800" w:type="dxa"/>
            <w:tcBorders>
              <w:top w:val="nil"/>
              <w:left w:val="nil"/>
              <w:bottom w:val="nil"/>
              <w:right w:val="nil"/>
            </w:tcBorders>
            <w:tcMar>
              <w:top w:w="40" w:type="dxa"/>
              <w:left w:w="40" w:type="dxa"/>
              <w:bottom w:w="40" w:type="dxa"/>
              <w:right w:w="40" w:type="dxa"/>
            </w:tcMar>
          </w:tcPr>
          <w:p w14:paraId="200018EC">
            <w:pPr>
              <w:spacing w:line="220" w:lineRule="auto"/>
              <w:jc w:val="center"/>
            </w:pPr>
            <w:r>
              <w:rPr>
                <w:sz w:val="18"/>
                <w:szCs w:val="18"/>
              </w:rPr>
              <w:t>47.8</w:t>
            </w:r>
          </w:p>
        </w:tc>
      </w:tr>
      <w:tr w14:paraId="20001A6D">
        <w:tc>
          <w:tcPr>
            <w:tcW w:w="3260" w:type="dxa"/>
            <w:tcBorders>
              <w:top w:val="nil"/>
              <w:left w:val="nil"/>
              <w:bottom w:val="nil"/>
              <w:right w:val="nil"/>
            </w:tcBorders>
            <w:tcMar>
              <w:top w:w="40" w:type="dxa"/>
              <w:left w:w="40" w:type="dxa"/>
              <w:bottom w:w="40" w:type="dxa"/>
              <w:right w:w="40" w:type="dxa"/>
            </w:tcMar>
          </w:tcPr>
          <w:p w14:paraId="2000195A">
            <w:pPr>
              <w:spacing w:line="220" w:lineRule="auto"/>
              <w:jc w:val="left"/>
            </w:pPr>
            <w:r>
              <w:rPr>
                <w:sz w:val="18"/>
                <w:szCs w:val="18"/>
              </w:rPr>
              <w:t>E/e′, mean</w:t>
            </w:r>
          </w:p>
        </w:tc>
        <w:tc>
          <w:tcPr>
            <w:tcW w:w="1560" w:type="dxa"/>
            <w:tcBorders>
              <w:top w:val="nil"/>
              <w:left w:val="nil"/>
              <w:bottom w:val="nil"/>
              <w:right w:val="nil"/>
            </w:tcBorders>
            <w:tcMar>
              <w:top w:w="40" w:type="dxa"/>
              <w:left w:w="40" w:type="dxa"/>
              <w:bottom w:w="40" w:type="dxa"/>
              <w:right w:w="40" w:type="dxa"/>
            </w:tcMar>
          </w:tcPr>
          <w:p w14:paraId="20001991">
            <w:pPr>
              <w:spacing w:line="220" w:lineRule="auto"/>
              <w:jc w:val="center"/>
            </w:pPr>
            <w:r>
              <w:rPr>
                <w:sz w:val="18"/>
                <w:szCs w:val="18"/>
              </w:rPr>
              <w:t>8217</w:t>
            </w:r>
          </w:p>
        </w:tc>
        <w:tc>
          <w:tcPr>
            <w:tcW w:w="1180" w:type="dxa"/>
            <w:tcBorders>
              <w:top w:val="nil"/>
              <w:left w:val="nil"/>
              <w:bottom w:val="nil"/>
              <w:right w:val="nil"/>
            </w:tcBorders>
            <w:tcMar>
              <w:top w:w="40" w:type="dxa"/>
              <w:left w:w="40" w:type="dxa"/>
              <w:bottom w:w="40" w:type="dxa"/>
              <w:right w:w="40" w:type="dxa"/>
            </w:tcMar>
          </w:tcPr>
          <w:p w14:paraId="200019C8">
            <w:pPr>
              <w:spacing w:line="220" w:lineRule="auto"/>
              <w:jc w:val="center"/>
            </w:pPr>
            <w:r>
              <w:rPr>
                <w:sz w:val="18"/>
                <w:szCs w:val="18"/>
              </w:rPr>
              <w:t>4190</w:t>
            </w:r>
          </w:p>
        </w:tc>
        <w:tc>
          <w:tcPr>
            <w:tcW w:w="1560" w:type="dxa"/>
            <w:tcBorders>
              <w:top w:val="nil"/>
              <w:left w:val="nil"/>
              <w:bottom w:val="nil"/>
              <w:right w:val="nil"/>
            </w:tcBorders>
            <w:tcMar>
              <w:top w:w="40" w:type="dxa"/>
              <w:left w:w="40" w:type="dxa"/>
              <w:bottom w:w="40" w:type="dxa"/>
              <w:right w:w="40" w:type="dxa"/>
            </w:tcMar>
          </w:tcPr>
          <w:p w14:paraId="200019FF">
            <w:pPr>
              <w:spacing w:line="220" w:lineRule="auto"/>
              <w:jc w:val="center"/>
            </w:pPr>
            <w:r>
              <w:rPr>
                <w:sz w:val="18"/>
                <w:szCs w:val="18"/>
              </w:rPr>
              <w:t>43.0</w:t>
            </w:r>
          </w:p>
        </w:tc>
        <w:tc>
          <w:tcPr>
            <w:tcW w:w="1800" w:type="dxa"/>
            <w:tcBorders>
              <w:top w:val="nil"/>
              <w:left w:val="nil"/>
              <w:bottom w:val="nil"/>
              <w:right w:val="nil"/>
            </w:tcBorders>
            <w:tcMar>
              <w:top w:w="40" w:type="dxa"/>
              <w:left w:w="40" w:type="dxa"/>
              <w:bottom w:w="40" w:type="dxa"/>
              <w:right w:w="40" w:type="dxa"/>
            </w:tcMar>
          </w:tcPr>
          <w:p w14:paraId="20001A36">
            <w:pPr>
              <w:spacing w:line="220" w:lineRule="auto"/>
              <w:jc w:val="center"/>
            </w:pPr>
            <w:r>
              <w:rPr>
                <w:sz w:val="18"/>
                <w:szCs w:val="18"/>
              </w:rPr>
              <w:t>47.3</w:t>
            </w:r>
          </w:p>
        </w:tc>
      </w:tr>
      <w:tr w14:paraId="20001BB7">
        <w:tc>
          <w:tcPr>
            <w:tcW w:w="3260" w:type="dxa"/>
            <w:tcBorders>
              <w:top w:val="nil"/>
              <w:left w:val="nil"/>
              <w:bottom w:val="nil"/>
              <w:right w:val="nil"/>
            </w:tcBorders>
            <w:tcMar>
              <w:top w:w="40" w:type="dxa"/>
              <w:left w:w="40" w:type="dxa"/>
              <w:bottom w:w="40" w:type="dxa"/>
              <w:right w:w="40" w:type="dxa"/>
            </w:tcMar>
          </w:tcPr>
          <w:p w14:paraId="20001AA4">
            <w:pPr>
              <w:spacing w:line="220" w:lineRule="auto"/>
              <w:jc w:val="left"/>
            </w:pPr>
            <w:r>
              <w:rPr>
                <w:sz w:val="18"/>
                <w:szCs w:val="18"/>
              </w:rPr>
              <w:t>Right ventricular diastolic dimension</w:t>
            </w:r>
          </w:p>
        </w:tc>
        <w:tc>
          <w:tcPr>
            <w:tcW w:w="1560" w:type="dxa"/>
            <w:tcBorders>
              <w:top w:val="nil"/>
              <w:left w:val="nil"/>
              <w:bottom w:val="nil"/>
              <w:right w:val="nil"/>
            </w:tcBorders>
            <w:tcMar>
              <w:top w:w="40" w:type="dxa"/>
              <w:left w:w="40" w:type="dxa"/>
              <w:bottom w:w="40" w:type="dxa"/>
              <w:right w:w="40" w:type="dxa"/>
            </w:tcMar>
          </w:tcPr>
          <w:p w14:paraId="20001ADB">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B12">
            <w:pPr>
              <w:spacing w:line="220" w:lineRule="auto"/>
              <w:jc w:val="center"/>
            </w:pPr>
            <w:r>
              <w:rPr>
                <w:sz w:val="18"/>
                <w:szCs w:val="18"/>
              </w:rPr>
              <w:t>3344</w:t>
            </w:r>
          </w:p>
        </w:tc>
        <w:tc>
          <w:tcPr>
            <w:tcW w:w="1560" w:type="dxa"/>
            <w:tcBorders>
              <w:top w:val="nil"/>
              <w:left w:val="nil"/>
              <w:bottom w:val="nil"/>
              <w:right w:val="nil"/>
            </w:tcBorders>
            <w:tcMar>
              <w:top w:w="40" w:type="dxa"/>
              <w:left w:w="40" w:type="dxa"/>
              <w:bottom w:w="40" w:type="dxa"/>
              <w:right w:w="40" w:type="dxa"/>
            </w:tcMar>
          </w:tcPr>
          <w:p w14:paraId="20001B49">
            <w:pPr>
              <w:spacing w:line="220" w:lineRule="auto"/>
              <w:jc w:val="center"/>
            </w:pPr>
            <w:r>
              <w:rPr>
                <w:sz w:val="18"/>
                <w:szCs w:val="18"/>
              </w:rPr>
              <w:t>34.3</w:t>
            </w:r>
          </w:p>
        </w:tc>
        <w:tc>
          <w:tcPr>
            <w:tcW w:w="1800" w:type="dxa"/>
            <w:tcBorders>
              <w:top w:val="nil"/>
              <w:left w:val="nil"/>
              <w:bottom w:val="nil"/>
              <w:right w:val="nil"/>
            </w:tcBorders>
            <w:tcMar>
              <w:top w:w="40" w:type="dxa"/>
              <w:left w:w="40" w:type="dxa"/>
              <w:bottom w:w="40" w:type="dxa"/>
              <w:right w:w="40" w:type="dxa"/>
            </w:tcMar>
          </w:tcPr>
          <w:p w14:paraId="20001B80">
            <w:pPr>
              <w:spacing w:line="220" w:lineRule="auto"/>
              <w:jc w:val="center"/>
            </w:pPr>
            <w:r>
              <w:rPr>
                <w:sz w:val="18"/>
                <w:szCs w:val="18"/>
              </w:rPr>
              <w:t>31.3</w:t>
            </w:r>
          </w:p>
        </w:tc>
      </w:tr>
      <w:tr w14:paraId="20001D01">
        <w:tc>
          <w:tcPr>
            <w:tcW w:w="3260" w:type="dxa"/>
            <w:tcBorders>
              <w:top w:val="nil"/>
              <w:left w:val="nil"/>
              <w:bottom w:val="nil"/>
              <w:right w:val="nil"/>
            </w:tcBorders>
            <w:tcMar>
              <w:top w:w="40" w:type="dxa"/>
              <w:left w:w="40" w:type="dxa"/>
              <w:bottom w:w="40" w:type="dxa"/>
              <w:right w:w="40" w:type="dxa"/>
            </w:tcMar>
          </w:tcPr>
          <w:p w14:paraId="20001BEE">
            <w:pPr>
              <w:spacing w:line="220" w:lineRule="auto"/>
              <w:jc w:val="left"/>
            </w:pPr>
            <w:r>
              <w:rPr>
                <w:sz w:val="18"/>
                <w:szCs w:val="18"/>
              </w:rPr>
              <w:t>Left atrial volume</w:t>
            </w:r>
          </w:p>
        </w:tc>
        <w:tc>
          <w:tcPr>
            <w:tcW w:w="1560" w:type="dxa"/>
            <w:tcBorders>
              <w:top w:val="nil"/>
              <w:left w:val="nil"/>
              <w:bottom w:val="nil"/>
              <w:right w:val="nil"/>
            </w:tcBorders>
            <w:tcMar>
              <w:top w:w="40" w:type="dxa"/>
              <w:left w:w="40" w:type="dxa"/>
              <w:bottom w:w="40" w:type="dxa"/>
              <w:right w:w="40" w:type="dxa"/>
            </w:tcMar>
          </w:tcPr>
          <w:p w14:paraId="20001C25">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C5C">
            <w:pPr>
              <w:spacing w:line="220" w:lineRule="auto"/>
              <w:jc w:val="center"/>
            </w:pPr>
            <w:r>
              <w:rPr>
                <w:sz w:val="18"/>
                <w:szCs w:val="18"/>
              </w:rPr>
              <w:t>2115</w:t>
            </w:r>
          </w:p>
        </w:tc>
        <w:tc>
          <w:tcPr>
            <w:tcW w:w="1560" w:type="dxa"/>
            <w:tcBorders>
              <w:top w:val="nil"/>
              <w:left w:val="nil"/>
              <w:bottom w:val="nil"/>
              <w:right w:val="nil"/>
            </w:tcBorders>
            <w:tcMar>
              <w:top w:w="40" w:type="dxa"/>
              <w:left w:w="40" w:type="dxa"/>
              <w:bottom w:w="40" w:type="dxa"/>
              <w:right w:w="40" w:type="dxa"/>
            </w:tcMar>
          </w:tcPr>
          <w:p w14:paraId="20001C93">
            <w:pPr>
              <w:spacing w:line="220" w:lineRule="auto"/>
              <w:jc w:val="center"/>
            </w:pPr>
            <w:r>
              <w:rPr>
                <w:sz w:val="18"/>
                <w:szCs w:val="18"/>
              </w:rPr>
              <w:t>21.7</w:t>
            </w:r>
          </w:p>
        </w:tc>
        <w:tc>
          <w:tcPr>
            <w:tcW w:w="1800" w:type="dxa"/>
            <w:tcBorders>
              <w:top w:val="nil"/>
              <w:left w:val="nil"/>
              <w:bottom w:val="nil"/>
              <w:right w:val="nil"/>
            </w:tcBorders>
            <w:tcMar>
              <w:top w:w="40" w:type="dxa"/>
              <w:left w:w="40" w:type="dxa"/>
              <w:bottom w:w="40" w:type="dxa"/>
              <w:right w:w="40" w:type="dxa"/>
            </w:tcMar>
          </w:tcPr>
          <w:p w14:paraId="20001CCA">
            <w:pPr>
              <w:spacing w:line="220" w:lineRule="auto"/>
              <w:jc w:val="center"/>
            </w:pPr>
            <w:r>
              <w:rPr>
                <w:sz w:val="18"/>
                <w:szCs w:val="18"/>
              </w:rPr>
              <w:t>18.1</w:t>
            </w:r>
          </w:p>
        </w:tc>
      </w:tr>
      <w:tr w14:paraId="20001E4B">
        <w:tc>
          <w:tcPr>
            <w:tcW w:w="3260" w:type="dxa"/>
            <w:tcBorders>
              <w:top w:val="nil"/>
              <w:left w:val="nil"/>
              <w:bottom w:val="nil"/>
              <w:right w:val="nil"/>
            </w:tcBorders>
            <w:tcMar>
              <w:top w:w="40" w:type="dxa"/>
              <w:left w:w="40" w:type="dxa"/>
              <w:bottom w:w="40" w:type="dxa"/>
              <w:right w:w="40" w:type="dxa"/>
            </w:tcMar>
          </w:tcPr>
          <w:p w14:paraId="20001D38">
            <w:pPr>
              <w:spacing w:line="220" w:lineRule="auto"/>
              <w:jc w:val="left"/>
            </w:pPr>
            <w:r>
              <w:rPr>
                <w:sz w:val="18"/>
                <w:szCs w:val="18"/>
              </w:rPr>
              <w:t>Inferior vena cava description</w:t>
            </w:r>
          </w:p>
        </w:tc>
        <w:tc>
          <w:tcPr>
            <w:tcW w:w="1560" w:type="dxa"/>
            <w:tcBorders>
              <w:top w:val="nil"/>
              <w:left w:val="nil"/>
              <w:bottom w:val="nil"/>
              <w:right w:val="nil"/>
            </w:tcBorders>
            <w:tcMar>
              <w:top w:w="40" w:type="dxa"/>
              <w:left w:w="40" w:type="dxa"/>
              <w:bottom w:w="40" w:type="dxa"/>
              <w:right w:w="40" w:type="dxa"/>
            </w:tcMar>
          </w:tcPr>
          <w:p w14:paraId="20001D6F">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1DA6">
            <w:pPr>
              <w:spacing w:line="220" w:lineRule="auto"/>
              <w:jc w:val="center"/>
            </w:pPr>
            <w:r>
              <w:rPr>
                <w:sz w:val="18"/>
                <w:szCs w:val="18"/>
              </w:rPr>
              <w:t>852</w:t>
            </w:r>
          </w:p>
        </w:tc>
        <w:tc>
          <w:tcPr>
            <w:tcW w:w="1560" w:type="dxa"/>
            <w:tcBorders>
              <w:top w:val="nil"/>
              <w:left w:val="nil"/>
              <w:bottom w:val="nil"/>
              <w:right w:val="nil"/>
            </w:tcBorders>
            <w:tcMar>
              <w:top w:w="40" w:type="dxa"/>
              <w:left w:w="40" w:type="dxa"/>
              <w:bottom w:w="40" w:type="dxa"/>
              <w:right w:w="40" w:type="dxa"/>
            </w:tcMar>
          </w:tcPr>
          <w:p w14:paraId="20001DDD">
            <w:pPr>
              <w:spacing w:line="220" w:lineRule="auto"/>
              <w:jc w:val="center"/>
            </w:pPr>
            <w:r>
              <w:rPr>
                <w:sz w:val="18"/>
                <w:szCs w:val="18"/>
              </w:rPr>
              <w:t>8.7</w:t>
            </w:r>
          </w:p>
        </w:tc>
        <w:tc>
          <w:tcPr>
            <w:tcW w:w="1800" w:type="dxa"/>
            <w:tcBorders>
              <w:top w:val="nil"/>
              <w:left w:val="nil"/>
              <w:bottom w:val="nil"/>
              <w:right w:val="nil"/>
            </w:tcBorders>
            <w:tcMar>
              <w:top w:w="40" w:type="dxa"/>
              <w:left w:w="40" w:type="dxa"/>
              <w:bottom w:w="40" w:type="dxa"/>
              <w:right w:w="40" w:type="dxa"/>
            </w:tcMar>
          </w:tcPr>
          <w:p w14:paraId="20001E14">
            <w:pPr>
              <w:spacing w:line="220" w:lineRule="auto"/>
              <w:jc w:val="center"/>
            </w:pPr>
            <w:r>
              <w:rPr>
                <w:sz w:val="18"/>
                <w:szCs w:val="18"/>
              </w:rPr>
              <w:t>n/a</w:t>
            </w:r>
          </w:p>
        </w:tc>
      </w:tr>
      <w:tr w14:paraId="20001F95">
        <w:tc>
          <w:tcPr>
            <w:tcW w:w="3260" w:type="dxa"/>
            <w:tcBorders>
              <w:top w:val="nil"/>
              <w:left w:val="nil"/>
              <w:bottom w:val="nil"/>
              <w:right w:val="nil"/>
            </w:tcBorders>
            <w:tcMar>
              <w:top w:w="40" w:type="dxa"/>
              <w:left w:w="40" w:type="dxa"/>
              <w:bottom w:w="40" w:type="dxa"/>
              <w:right w:w="40" w:type="dxa"/>
            </w:tcMar>
          </w:tcPr>
          <w:p w14:paraId="20001E82">
            <w:pPr>
              <w:spacing w:line="220" w:lineRule="auto"/>
              <w:jc w:val="left"/>
            </w:pPr>
            <w:r>
              <w:rPr>
                <w:sz w:val="18"/>
                <w:szCs w:val="18"/>
              </w:rPr>
              <w:t>Diastolic function grade (descriptive)</w:t>
            </w:r>
          </w:p>
        </w:tc>
        <w:tc>
          <w:tcPr>
            <w:tcW w:w="1560" w:type="dxa"/>
            <w:tcBorders>
              <w:top w:val="nil"/>
              <w:left w:val="nil"/>
              <w:bottom w:val="nil"/>
              <w:right w:val="nil"/>
            </w:tcBorders>
            <w:tcMar>
              <w:top w:w="40" w:type="dxa"/>
              <w:left w:w="40" w:type="dxa"/>
              <w:bottom w:w="40" w:type="dxa"/>
              <w:right w:w="40" w:type="dxa"/>
            </w:tcMar>
          </w:tcPr>
          <w:p w14:paraId="20001EB9">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1EF0">
            <w:pPr>
              <w:spacing w:line="220" w:lineRule="auto"/>
              <w:jc w:val="center"/>
            </w:pPr>
            <w:r>
              <w:rPr>
                <w:sz w:val="18"/>
                <w:szCs w:val="18"/>
              </w:rPr>
              <w:t>779</w:t>
            </w:r>
          </w:p>
        </w:tc>
        <w:tc>
          <w:tcPr>
            <w:tcW w:w="1560" w:type="dxa"/>
            <w:tcBorders>
              <w:top w:val="nil"/>
              <w:left w:val="nil"/>
              <w:bottom w:val="nil"/>
              <w:right w:val="nil"/>
            </w:tcBorders>
            <w:tcMar>
              <w:top w:w="40" w:type="dxa"/>
              <w:left w:w="40" w:type="dxa"/>
              <w:bottom w:w="40" w:type="dxa"/>
              <w:right w:w="40" w:type="dxa"/>
            </w:tcMar>
          </w:tcPr>
          <w:p w14:paraId="20001F27">
            <w:pPr>
              <w:spacing w:line="220" w:lineRule="auto"/>
              <w:jc w:val="center"/>
            </w:pPr>
            <w:r>
              <w:rPr>
                <w:sz w:val="18"/>
                <w:szCs w:val="18"/>
              </w:rPr>
              <w:t>8.0</w:t>
            </w:r>
          </w:p>
        </w:tc>
        <w:tc>
          <w:tcPr>
            <w:tcW w:w="1800" w:type="dxa"/>
            <w:tcBorders>
              <w:top w:val="nil"/>
              <w:left w:val="nil"/>
              <w:bottom w:val="nil"/>
              <w:right w:val="nil"/>
            </w:tcBorders>
            <w:tcMar>
              <w:top w:w="40" w:type="dxa"/>
              <w:left w:w="40" w:type="dxa"/>
              <w:bottom w:w="40" w:type="dxa"/>
              <w:right w:w="40" w:type="dxa"/>
            </w:tcMar>
          </w:tcPr>
          <w:p w14:paraId="20001F5E">
            <w:pPr>
              <w:spacing w:line="220" w:lineRule="auto"/>
              <w:jc w:val="center"/>
            </w:pPr>
            <w:r>
              <w:rPr>
                <w:sz w:val="18"/>
                <w:szCs w:val="18"/>
              </w:rPr>
              <w:t>n/a</w:t>
            </w:r>
          </w:p>
        </w:tc>
      </w:tr>
      <w:tr w14:paraId="200020DF">
        <w:tc>
          <w:tcPr>
            <w:tcW w:w="3260" w:type="dxa"/>
            <w:tcBorders>
              <w:top w:val="nil"/>
              <w:left w:val="nil"/>
              <w:bottom w:val="nil"/>
              <w:right w:val="nil"/>
            </w:tcBorders>
            <w:tcMar>
              <w:top w:w="40" w:type="dxa"/>
              <w:left w:w="40" w:type="dxa"/>
              <w:bottom w:w="40" w:type="dxa"/>
              <w:right w:w="40" w:type="dxa"/>
            </w:tcMar>
          </w:tcPr>
          <w:p w14:paraId="20001FCC">
            <w:pPr>
              <w:spacing w:line="220" w:lineRule="auto"/>
              <w:jc w:val="left"/>
            </w:pPr>
            <w:r>
              <w:rPr>
                <w:sz w:val="18"/>
                <w:szCs w:val="18"/>
              </w:rPr>
              <w:t>Peak outflow tract velocity</w:t>
            </w:r>
          </w:p>
        </w:tc>
        <w:tc>
          <w:tcPr>
            <w:tcW w:w="1560" w:type="dxa"/>
            <w:tcBorders>
              <w:top w:val="nil"/>
              <w:left w:val="nil"/>
              <w:bottom w:val="nil"/>
              <w:right w:val="nil"/>
            </w:tcBorders>
            <w:tcMar>
              <w:top w:w="40" w:type="dxa"/>
              <w:left w:w="40" w:type="dxa"/>
              <w:bottom w:w="40" w:type="dxa"/>
              <w:right w:w="40" w:type="dxa"/>
            </w:tcMar>
          </w:tcPr>
          <w:p w14:paraId="20002003">
            <w:pPr>
              <w:spacing w:line="220" w:lineRule="auto"/>
              <w:jc w:val="center"/>
            </w:pPr>
            <w:r>
              <w:rPr>
                <w:sz w:val="18"/>
                <w:szCs w:val="18"/>
              </w:rPr>
              <w:t>9744</w:t>
            </w:r>
          </w:p>
        </w:tc>
        <w:tc>
          <w:tcPr>
            <w:tcW w:w="1180" w:type="dxa"/>
            <w:tcBorders>
              <w:top w:val="nil"/>
              <w:left w:val="nil"/>
              <w:bottom w:val="nil"/>
              <w:right w:val="nil"/>
            </w:tcBorders>
            <w:tcMar>
              <w:top w:w="40" w:type="dxa"/>
              <w:left w:w="40" w:type="dxa"/>
              <w:bottom w:w="40" w:type="dxa"/>
              <w:right w:w="40" w:type="dxa"/>
            </w:tcMar>
          </w:tcPr>
          <w:p w14:paraId="2000203A">
            <w:pPr>
              <w:spacing w:line="220" w:lineRule="auto"/>
              <w:jc w:val="center"/>
            </w:pPr>
            <w:r>
              <w:rPr>
                <w:sz w:val="18"/>
                <w:szCs w:val="18"/>
              </w:rPr>
              <w:t>880</w:t>
            </w:r>
          </w:p>
        </w:tc>
        <w:tc>
          <w:tcPr>
            <w:tcW w:w="1560" w:type="dxa"/>
            <w:tcBorders>
              <w:top w:val="nil"/>
              <w:left w:val="nil"/>
              <w:bottom w:val="nil"/>
              <w:right w:val="nil"/>
            </w:tcBorders>
            <w:tcMar>
              <w:top w:w="40" w:type="dxa"/>
              <w:left w:w="40" w:type="dxa"/>
              <w:bottom w:w="40" w:type="dxa"/>
              <w:right w:w="40" w:type="dxa"/>
            </w:tcMar>
          </w:tcPr>
          <w:p w14:paraId="20002071">
            <w:pPr>
              <w:spacing w:line="220" w:lineRule="auto"/>
              <w:jc w:val="center"/>
            </w:pPr>
            <w:r>
              <w:rPr>
                <w:sz w:val="18"/>
                <w:szCs w:val="18"/>
              </w:rPr>
              <w:t>9.0</w:t>
            </w:r>
          </w:p>
        </w:tc>
        <w:tc>
          <w:tcPr>
            <w:tcW w:w="1800" w:type="dxa"/>
            <w:tcBorders>
              <w:top w:val="nil"/>
              <w:left w:val="nil"/>
              <w:bottom w:val="nil"/>
              <w:right w:val="nil"/>
            </w:tcBorders>
            <w:tcMar>
              <w:top w:w="40" w:type="dxa"/>
              <w:left w:w="40" w:type="dxa"/>
              <w:bottom w:w="40" w:type="dxa"/>
              <w:right w:w="40" w:type="dxa"/>
            </w:tcMar>
          </w:tcPr>
          <w:p w14:paraId="200020A8">
            <w:pPr>
              <w:spacing w:line="220" w:lineRule="auto"/>
              <w:jc w:val="center"/>
            </w:pPr>
            <w:r>
              <w:rPr>
                <w:sz w:val="18"/>
                <w:szCs w:val="18"/>
              </w:rPr>
              <w:t>8.0</w:t>
            </w:r>
          </w:p>
        </w:tc>
      </w:tr>
      <w:tr w14:paraId="20002229">
        <w:tc>
          <w:tcPr>
            <w:tcW w:w="3260" w:type="dxa"/>
            <w:tcBorders>
              <w:top w:val="nil"/>
              <w:left w:val="nil"/>
              <w:bottom w:val="nil"/>
              <w:right w:val="nil"/>
            </w:tcBorders>
            <w:tcMar>
              <w:top w:w="40" w:type="dxa"/>
              <w:left w:w="40" w:type="dxa"/>
              <w:bottom w:w="40" w:type="dxa"/>
              <w:right w:w="40" w:type="dxa"/>
            </w:tcMar>
          </w:tcPr>
          <w:p w14:paraId="20002116">
            <w:pPr>
              <w:spacing w:line="220" w:lineRule="auto"/>
              <w:jc w:val="left"/>
            </w:pPr>
            <w:r>
              <w:rPr>
                <w:sz w:val="18"/>
                <w:szCs w:val="18"/>
              </w:rPr>
              <w:t>Fractional shortening</w:t>
            </w:r>
          </w:p>
        </w:tc>
        <w:tc>
          <w:tcPr>
            <w:tcW w:w="1560" w:type="dxa"/>
            <w:tcBorders>
              <w:top w:val="nil"/>
              <w:left w:val="nil"/>
              <w:bottom w:val="nil"/>
              <w:right w:val="nil"/>
            </w:tcBorders>
            <w:tcMar>
              <w:top w:w="40" w:type="dxa"/>
              <w:left w:w="40" w:type="dxa"/>
              <w:bottom w:w="40" w:type="dxa"/>
              <w:right w:w="40" w:type="dxa"/>
            </w:tcMar>
          </w:tcPr>
          <w:p w14:paraId="2000214D">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2184">
            <w:pPr>
              <w:spacing w:line="220" w:lineRule="auto"/>
              <w:jc w:val="center"/>
            </w:pPr>
            <w:r>
              <w:rPr>
                <w:sz w:val="18"/>
                <w:szCs w:val="18"/>
              </w:rPr>
              <w:t>1026</w:t>
            </w:r>
          </w:p>
        </w:tc>
        <w:tc>
          <w:tcPr>
            <w:tcW w:w="1560" w:type="dxa"/>
            <w:tcBorders>
              <w:top w:val="nil"/>
              <w:left w:val="nil"/>
              <w:bottom w:val="nil"/>
              <w:right w:val="nil"/>
            </w:tcBorders>
            <w:tcMar>
              <w:top w:w="40" w:type="dxa"/>
              <w:left w:w="40" w:type="dxa"/>
              <w:bottom w:w="40" w:type="dxa"/>
              <w:right w:w="40" w:type="dxa"/>
            </w:tcMar>
          </w:tcPr>
          <w:p w14:paraId="200021BB">
            <w:pPr>
              <w:spacing w:line="220" w:lineRule="auto"/>
              <w:jc w:val="center"/>
            </w:pPr>
            <w:r>
              <w:rPr>
                <w:sz w:val="18"/>
                <w:szCs w:val="18"/>
              </w:rPr>
              <w:t>10.5</w:t>
            </w:r>
          </w:p>
        </w:tc>
        <w:tc>
          <w:tcPr>
            <w:tcW w:w="1800" w:type="dxa"/>
            <w:tcBorders>
              <w:top w:val="nil"/>
              <w:left w:val="nil"/>
              <w:bottom w:val="nil"/>
              <w:right w:val="nil"/>
            </w:tcBorders>
            <w:tcMar>
              <w:top w:w="40" w:type="dxa"/>
              <w:left w:w="40" w:type="dxa"/>
              <w:bottom w:w="40" w:type="dxa"/>
              <w:right w:w="40" w:type="dxa"/>
            </w:tcMar>
          </w:tcPr>
          <w:p w14:paraId="200021F2">
            <w:pPr>
              <w:spacing w:line="220" w:lineRule="auto"/>
              <w:jc w:val="center"/>
            </w:pPr>
            <w:r>
              <w:rPr>
                <w:sz w:val="18"/>
                <w:szCs w:val="18"/>
              </w:rPr>
              <w:t>6.4</w:t>
            </w:r>
          </w:p>
        </w:tc>
      </w:tr>
      <w:tr w14:paraId="20002373">
        <w:tc>
          <w:tcPr>
            <w:tcW w:w="3260" w:type="dxa"/>
            <w:tcBorders>
              <w:top w:val="nil"/>
              <w:left w:val="nil"/>
              <w:bottom w:val="nil"/>
              <w:right w:val="nil"/>
            </w:tcBorders>
            <w:tcMar>
              <w:top w:w="40" w:type="dxa"/>
              <w:left w:w="40" w:type="dxa"/>
              <w:bottom w:w="40" w:type="dxa"/>
              <w:right w:w="40" w:type="dxa"/>
            </w:tcMar>
          </w:tcPr>
          <w:p w14:paraId="20002260">
            <w:pPr>
              <w:spacing w:line="220" w:lineRule="auto"/>
              <w:jc w:val="left"/>
            </w:pPr>
            <w:r>
              <w:rPr>
                <w:sz w:val="18"/>
                <w:szCs w:val="18"/>
              </w:rPr>
              <w:t>Inferior vena cava diameter</w:t>
            </w:r>
          </w:p>
        </w:tc>
        <w:tc>
          <w:tcPr>
            <w:tcW w:w="1560" w:type="dxa"/>
            <w:tcBorders>
              <w:top w:val="nil"/>
              <w:left w:val="nil"/>
              <w:bottom w:val="nil"/>
              <w:right w:val="nil"/>
            </w:tcBorders>
            <w:tcMar>
              <w:top w:w="40" w:type="dxa"/>
              <w:left w:w="40" w:type="dxa"/>
              <w:bottom w:w="40" w:type="dxa"/>
              <w:right w:w="40" w:type="dxa"/>
            </w:tcMar>
          </w:tcPr>
          <w:p w14:paraId="20002297">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22CE">
            <w:pPr>
              <w:spacing w:line="220" w:lineRule="auto"/>
              <w:jc w:val="center"/>
            </w:pPr>
            <w:r>
              <w:rPr>
                <w:sz w:val="18"/>
                <w:szCs w:val="18"/>
              </w:rPr>
              <w:t>900</w:t>
            </w:r>
          </w:p>
        </w:tc>
        <w:tc>
          <w:tcPr>
            <w:tcW w:w="1560" w:type="dxa"/>
            <w:tcBorders>
              <w:top w:val="nil"/>
              <w:left w:val="nil"/>
              <w:bottom w:val="nil"/>
              <w:right w:val="nil"/>
            </w:tcBorders>
            <w:tcMar>
              <w:top w:w="40" w:type="dxa"/>
              <w:left w:w="40" w:type="dxa"/>
              <w:bottom w:w="40" w:type="dxa"/>
              <w:right w:w="40" w:type="dxa"/>
            </w:tcMar>
          </w:tcPr>
          <w:p w14:paraId="20002305">
            <w:pPr>
              <w:spacing w:line="220" w:lineRule="auto"/>
              <w:jc w:val="center"/>
            </w:pPr>
            <w:r>
              <w:rPr>
                <w:sz w:val="18"/>
                <w:szCs w:val="18"/>
              </w:rPr>
              <w:t>9.2</w:t>
            </w:r>
          </w:p>
        </w:tc>
        <w:tc>
          <w:tcPr>
            <w:tcW w:w="1800" w:type="dxa"/>
            <w:tcBorders>
              <w:top w:val="nil"/>
              <w:left w:val="nil"/>
              <w:bottom w:val="nil"/>
              <w:right w:val="nil"/>
            </w:tcBorders>
            <w:tcMar>
              <w:top w:w="40" w:type="dxa"/>
              <w:left w:w="40" w:type="dxa"/>
              <w:bottom w:w="40" w:type="dxa"/>
              <w:right w:w="40" w:type="dxa"/>
            </w:tcMar>
          </w:tcPr>
          <w:p w14:paraId="2000233C">
            <w:pPr>
              <w:spacing w:line="220" w:lineRule="auto"/>
              <w:jc w:val="center"/>
            </w:pPr>
            <w:r>
              <w:rPr>
                <w:sz w:val="18"/>
                <w:szCs w:val="18"/>
              </w:rPr>
              <w:t>5.3</w:t>
            </w:r>
          </w:p>
        </w:tc>
      </w:tr>
      <w:tr w14:paraId="200024BD">
        <w:tc>
          <w:tcPr>
            <w:tcW w:w="3260" w:type="dxa"/>
            <w:tcBorders>
              <w:top w:val="nil"/>
              <w:left w:val="nil"/>
              <w:bottom w:val="nil"/>
              <w:right w:val="nil"/>
            </w:tcBorders>
            <w:tcMar>
              <w:top w:w="40" w:type="dxa"/>
              <w:left w:w="40" w:type="dxa"/>
              <w:bottom w:w="40" w:type="dxa"/>
              <w:right w:w="40" w:type="dxa"/>
            </w:tcMar>
          </w:tcPr>
          <w:p w14:paraId="200023AA">
            <w:pPr>
              <w:spacing w:line="220" w:lineRule="auto"/>
              <w:jc w:val="left"/>
            </w:pPr>
            <w:r>
              <w:rPr>
                <w:sz w:val="18"/>
                <w:szCs w:val="18"/>
              </w:rPr>
              <w:t>Tricuspid annular plane systolic excursion</w:t>
            </w:r>
          </w:p>
        </w:tc>
        <w:tc>
          <w:tcPr>
            <w:tcW w:w="1560" w:type="dxa"/>
            <w:tcBorders>
              <w:top w:val="nil"/>
              <w:left w:val="nil"/>
              <w:bottom w:val="nil"/>
              <w:right w:val="nil"/>
            </w:tcBorders>
            <w:tcMar>
              <w:top w:w="40" w:type="dxa"/>
              <w:left w:w="40" w:type="dxa"/>
              <w:bottom w:w="40" w:type="dxa"/>
              <w:right w:w="40" w:type="dxa"/>
            </w:tcMar>
          </w:tcPr>
          <w:p w14:paraId="200023E1">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2418">
            <w:pPr>
              <w:spacing w:line="220" w:lineRule="auto"/>
              <w:jc w:val="center"/>
            </w:pPr>
            <w:r>
              <w:rPr>
                <w:sz w:val="18"/>
                <w:szCs w:val="18"/>
              </w:rPr>
              <w:t>581</w:t>
            </w:r>
          </w:p>
        </w:tc>
        <w:tc>
          <w:tcPr>
            <w:tcW w:w="1560" w:type="dxa"/>
            <w:tcBorders>
              <w:top w:val="nil"/>
              <w:left w:val="nil"/>
              <w:bottom w:val="nil"/>
              <w:right w:val="nil"/>
            </w:tcBorders>
            <w:tcMar>
              <w:top w:w="40" w:type="dxa"/>
              <w:left w:w="40" w:type="dxa"/>
              <w:bottom w:w="40" w:type="dxa"/>
              <w:right w:w="40" w:type="dxa"/>
            </w:tcMar>
          </w:tcPr>
          <w:p w14:paraId="2000244F">
            <w:pPr>
              <w:spacing w:line="220" w:lineRule="auto"/>
              <w:jc w:val="center"/>
            </w:pPr>
            <w:r>
              <w:rPr>
                <w:sz w:val="18"/>
                <w:szCs w:val="18"/>
              </w:rPr>
              <w:t>6.0</w:t>
            </w:r>
          </w:p>
        </w:tc>
        <w:tc>
          <w:tcPr>
            <w:tcW w:w="1800" w:type="dxa"/>
            <w:tcBorders>
              <w:top w:val="nil"/>
              <w:left w:val="nil"/>
              <w:bottom w:val="nil"/>
              <w:right w:val="nil"/>
            </w:tcBorders>
            <w:tcMar>
              <w:top w:w="40" w:type="dxa"/>
              <w:left w:w="40" w:type="dxa"/>
              <w:bottom w:w="40" w:type="dxa"/>
              <w:right w:w="40" w:type="dxa"/>
            </w:tcMar>
          </w:tcPr>
          <w:p w14:paraId="20002486">
            <w:pPr>
              <w:spacing w:line="220" w:lineRule="auto"/>
              <w:jc w:val="center"/>
            </w:pPr>
            <w:r>
              <w:rPr>
                <w:sz w:val="18"/>
                <w:szCs w:val="18"/>
              </w:rPr>
              <w:t>2.9</w:t>
            </w:r>
          </w:p>
        </w:tc>
      </w:tr>
      <w:tr w14:paraId="20002607">
        <w:tc>
          <w:tcPr>
            <w:tcW w:w="3260" w:type="dxa"/>
            <w:tcBorders>
              <w:top w:val="nil"/>
              <w:left w:val="nil"/>
              <w:bottom w:val="nil"/>
              <w:right w:val="nil"/>
            </w:tcBorders>
            <w:tcMar>
              <w:top w:w="40" w:type="dxa"/>
              <w:left w:w="40" w:type="dxa"/>
              <w:bottom w:w="40" w:type="dxa"/>
              <w:right w:w="40" w:type="dxa"/>
            </w:tcMar>
          </w:tcPr>
          <w:p w14:paraId="200024F4">
            <w:pPr>
              <w:spacing w:line="220" w:lineRule="auto"/>
              <w:jc w:val="left"/>
            </w:pPr>
            <w:r>
              <w:rPr>
                <w:sz w:val="18"/>
                <w:szCs w:val="18"/>
              </w:rPr>
              <w:t>Left ventricular end-diastolic volume, biplane</w:t>
            </w:r>
          </w:p>
        </w:tc>
        <w:tc>
          <w:tcPr>
            <w:tcW w:w="1560" w:type="dxa"/>
            <w:tcBorders>
              <w:top w:val="nil"/>
              <w:left w:val="nil"/>
              <w:bottom w:val="nil"/>
              <w:right w:val="nil"/>
            </w:tcBorders>
            <w:tcMar>
              <w:top w:w="40" w:type="dxa"/>
              <w:left w:w="40" w:type="dxa"/>
              <w:bottom w:w="40" w:type="dxa"/>
              <w:right w:w="40" w:type="dxa"/>
            </w:tcMar>
          </w:tcPr>
          <w:p w14:paraId="2000252B">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2562">
            <w:pPr>
              <w:spacing w:line="220" w:lineRule="auto"/>
              <w:jc w:val="center"/>
            </w:pPr>
            <w:r>
              <w:rPr>
                <w:sz w:val="18"/>
                <w:szCs w:val="18"/>
              </w:rPr>
              <w:t>504</w:t>
            </w:r>
          </w:p>
        </w:tc>
        <w:tc>
          <w:tcPr>
            <w:tcW w:w="1560" w:type="dxa"/>
            <w:tcBorders>
              <w:top w:val="nil"/>
              <w:left w:val="nil"/>
              <w:bottom w:val="nil"/>
              <w:right w:val="nil"/>
            </w:tcBorders>
            <w:tcMar>
              <w:top w:w="40" w:type="dxa"/>
              <w:left w:w="40" w:type="dxa"/>
              <w:bottom w:w="40" w:type="dxa"/>
              <w:right w:w="40" w:type="dxa"/>
            </w:tcMar>
          </w:tcPr>
          <w:p w14:paraId="20002599">
            <w:pPr>
              <w:spacing w:line="220" w:lineRule="auto"/>
              <w:jc w:val="center"/>
            </w:pPr>
            <w:r>
              <w:rPr>
                <w:sz w:val="18"/>
                <w:szCs w:val="18"/>
              </w:rPr>
              <w:t>5.2</w:t>
            </w:r>
          </w:p>
        </w:tc>
        <w:tc>
          <w:tcPr>
            <w:tcW w:w="1800" w:type="dxa"/>
            <w:tcBorders>
              <w:top w:val="nil"/>
              <w:left w:val="nil"/>
              <w:bottom w:val="nil"/>
              <w:right w:val="nil"/>
            </w:tcBorders>
            <w:tcMar>
              <w:top w:w="40" w:type="dxa"/>
              <w:left w:w="40" w:type="dxa"/>
              <w:bottom w:w="40" w:type="dxa"/>
              <w:right w:w="40" w:type="dxa"/>
            </w:tcMar>
          </w:tcPr>
          <w:p w14:paraId="200025D0">
            <w:pPr>
              <w:spacing w:line="220" w:lineRule="auto"/>
              <w:jc w:val="center"/>
            </w:pPr>
            <w:r>
              <w:rPr>
                <w:sz w:val="18"/>
                <w:szCs w:val="18"/>
              </w:rPr>
              <w:t>0.6</w:t>
            </w:r>
          </w:p>
        </w:tc>
      </w:tr>
      <w:tr w14:paraId="20002751">
        <w:tc>
          <w:tcPr>
            <w:tcW w:w="3260" w:type="dxa"/>
            <w:tcBorders>
              <w:top w:val="nil"/>
              <w:left w:val="nil"/>
              <w:bottom w:val="nil"/>
              <w:right w:val="nil"/>
            </w:tcBorders>
            <w:tcMar>
              <w:top w:w="40" w:type="dxa"/>
              <w:left w:w="40" w:type="dxa"/>
              <w:bottom w:w="40" w:type="dxa"/>
              <w:right w:w="40" w:type="dxa"/>
            </w:tcMar>
          </w:tcPr>
          <w:p w14:paraId="2000263E">
            <w:pPr>
              <w:spacing w:line="220" w:lineRule="auto"/>
              <w:jc w:val="left"/>
            </w:pPr>
            <w:r>
              <w:rPr>
                <w:sz w:val="18"/>
                <w:szCs w:val="18"/>
              </w:rPr>
              <w:t>Left ventricular end-systolic volume, biplane</w:t>
            </w:r>
          </w:p>
        </w:tc>
        <w:tc>
          <w:tcPr>
            <w:tcW w:w="1560" w:type="dxa"/>
            <w:tcBorders>
              <w:top w:val="nil"/>
              <w:left w:val="nil"/>
              <w:bottom w:val="nil"/>
              <w:right w:val="nil"/>
            </w:tcBorders>
            <w:tcMar>
              <w:top w:w="40" w:type="dxa"/>
              <w:left w:w="40" w:type="dxa"/>
              <w:bottom w:w="40" w:type="dxa"/>
              <w:right w:w="40" w:type="dxa"/>
            </w:tcMar>
          </w:tcPr>
          <w:p w14:paraId="20002675">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26AC">
            <w:pPr>
              <w:spacing w:line="220" w:lineRule="auto"/>
              <w:jc w:val="center"/>
            </w:pPr>
            <w:r>
              <w:rPr>
                <w:sz w:val="18"/>
                <w:szCs w:val="18"/>
              </w:rPr>
              <w:t>483</w:t>
            </w:r>
          </w:p>
        </w:tc>
        <w:tc>
          <w:tcPr>
            <w:tcW w:w="1560" w:type="dxa"/>
            <w:tcBorders>
              <w:top w:val="nil"/>
              <w:left w:val="nil"/>
              <w:bottom w:val="nil"/>
              <w:right w:val="nil"/>
            </w:tcBorders>
            <w:tcMar>
              <w:top w:w="40" w:type="dxa"/>
              <w:left w:w="40" w:type="dxa"/>
              <w:bottom w:w="40" w:type="dxa"/>
              <w:right w:w="40" w:type="dxa"/>
            </w:tcMar>
          </w:tcPr>
          <w:p w14:paraId="200026E3">
            <w:pPr>
              <w:spacing w:line="220" w:lineRule="auto"/>
              <w:jc w:val="center"/>
            </w:pPr>
            <w:r>
              <w:rPr>
                <w:sz w:val="18"/>
                <w:szCs w:val="18"/>
              </w:rPr>
              <w:t>5.0</w:t>
            </w:r>
          </w:p>
        </w:tc>
        <w:tc>
          <w:tcPr>
            <w:tcW w:w="1800" w:type="dxa"/>
            <w:tcBorders>
              <w:top w:val="nil"/>
              <w:left w:val="nil"/>
              <w:bottom w:val="nil"/>
              <w:right w:val="nil"/>
            </w:tcBorders>
            <w:tcMar>
              <w:top w:w="40" w:type="dxa"/>
              <w:left w:w="40" w:type="dxa"/>
              <w:bottom w:w="40" w:type="dxa"/>
              <w:right w:w="40" w:type="dxa"/>
            </w:tcMar>
          </w:tcPr>
          <w:p w14:paraId="2000271A">
            <w:pPr>
              <w:spacing w:line="220" w:lineRule="auto"/>
              <w:jc w:val="center"/>
            </w:pPr>
            <w:r>
              <w:rPr>
                <w:sz w:val="18"/>
                <w:szCs w:val="18"/>
              </w:rPr>
              <w:t>0.5</w:t>
            </w:r>
          </w:p>
        </w:tc>
      </w:tr>
      <w:tr w14:paraId="2000289B">
        <w:tc>
          <w:tcPr>
            <w:tcW w:w="3260" w:type="dxa"/>
            <w:tcBorders>
              <w:top w:val="nil"/>
              <w:left w:val="nil"/>
              <w:bottom w:val="nil"/>
              <w:right w:val="nil"/>
            </w:tcBorders>
            <w:tcMar>
              <w:top w:w="40" w:type="dxa"/>
              <w:left w:w="40" w:type="dxa"/>
              <w:bottom w:w="40" w:type="dxa"/>
              <w:right w:w="40" w:type="dxa"/>
            </w:tcMar>
          </w:tcPr>
          <w:p w14:paraId="20002788">
            <w:pPr>
              <w:spacing w:line="220" w:lineRule="auto"/>
              <w:jc w:val="left"/>
            </w:pPr>
            <w:r>
              <w:rPr>
                <w:sz w:val="18"/>
                <w:szCs w:val="18"/>
              </w:rPr>
              <w:t>Left ventricular end-diastolic volume, three-dimensional</w:t>
            </w:r>
          </w:p>
        </w:tc>
        <w:tc>
          <w:tcPr>
            <w:tcW w:w="1560" w:type="dxa"/>
            <w:tcBorders>
              <w:top w:val="nil"/>
              <w:left w:val="nil"/>
              <w:bottom w:val="nil"/>
              <w:right w:val="nil"/>
            </w:tcBorders>
            <w:tcMar>
              <w:top w:w="40" w:type="dxa"/>
              <w:left w:w="40" w:type="dxa"/>
              <w:bottom w:w="40" w:type="dxa"/>
              <w:right w:w="40" w:type="dxa"/>
            </w:tcMar>
          </w:tcPr>
          <w:p w14:paraId="200027BF">
            <w:pPr>
              <w:spacing w:line="220" w:lineRule="auto"/>
              <w:jc w:val="center"/>
            </w:pPr>
            <w:r>
              <w:rPr>
                <w:sz w:val="18"/>
                <w:szCs w:val="18"/>
              </w:rPr>
              <w:t>1527</w:t>
            </w:r>
          </w:p>
        </w:tc>
        <w:tc>
          <w:tcPr>
            <w:tcW w:w="1180" w:type="dxa"/>
            <w:tcBorders>
              <w:top w:val="nil"/>
              <w:left w:val="nil"/>
              <w:bottom w:val="nil"/>
              <w:right w:val="nil"/>
            </w:tcBorders>
            <w:tcMar>
              <w:top w:w="40" w:type="dxa"/>
              <w:left w:w="40" w:type="dxa"/>
              <w:bottom w:w="40" w:type="dxa"/>
              <w:right w:w="40" w:type="dxa"/>
            </w:tcMar>
          </w:tcPr>
          <w:p w14:paraId="200027F6">
            <w:pPr>
              <w:spacing w:line="220" w:lineRule="auto"/>
              <w:jc w:val="center"/>
            </w:pPr>
            <w:r>
              <w:rPr>
                <w:sz w:val="18"/>
                <w:szCs w:val="18"/>
              </w:rPr>
              <w:t>89</w:t>
            </w:r>
          </w:p>
        </w:tc>
        <w:tc>
          <w:tcPr>
            <w:tcW w:w="1560" w:type="dxa"/>
            <w:tcBorders>
              <w:top w:val="nil"/>
              <w:left w:val="nil"/>
              <w:bottom w:val="nil"/>
              <w:right w:val="nil"/>
            </w:tcBorders>
            <w:tcMar>
              <w:top w:w="40" w:type="dxa"/>
              <w:left w:w="40" w:type="dxa"/>
              <w:bottom w:w="40" w:type="dxa"/>
              <w:right w:w="40" w:type="dxa"/>
            </w:tcMar>
          </w:tcPr>
          <w:p w14:paraId="2000282D">
            <w:pPr>
              <w:spacing w:line="220" w:lineRule="auto"/>
              <w:jc w:val="center"/>
            </w:pPr>
            <w:r>
              <w:rPr>
                <w:sz w:val="18"/>
                <w:szCs w:val="18"/>
              </w:rPr>
              <w:t>0.9</w:t>
            </w:r>
          </w:p>
        </w:tc>
        <w:tc>
          <w:tcPr>
            <w:tcW w:w="1800" w:type="dxa"/>
            <w:tcBorders>
              <w:top w:val="nil"/>
              <w:left w:val="nil"/>
              <w:bottom w:val="nil"/>
              <w:right w:val="nil"/>
            </w:tcBorders>
            <w:tcMar>
              <w:top w:w="40" w:type="dxa"/>
              <w:left w:w="40" w:type="dxa"/>
              <w:bottom w:w="40" w:type="dxa"/>
              <w:right w:w="40" w:type="dxa"/>
            </w:tcMar>
          </w:tcPr>
          <w:p w14:paraId="20002864">
            <w:pPr>
              <w:spacing w:line="220" w:lineRule="auto"/>
              <w:jc w:val="center"/>
            </w:pPr>
            <w:r>
              <w:rPr>
                <w:sz w:val="18"/>
                <w:szCs w:val="18"/>
              </w:rPr>
              <w:t>0.0</w:t>
            </w:r>
          </w:p>
        </w:tc>
      </w:tr>
      <w:tr w14:paraId="200029E5">
        <w:tc>
          <w:tcPr>
            <w:tcW w:w="3260" w:type="dxa"/>
            <w:tcBorders>
              <w:top w:val="nil"/>
              <w:left w:val="nil"/>
              <w:bottom w:val="single" w:color="000000" w:sz="8" w:space="0"/>
              <w:right w:val="nil"/>
            </w:tcBorders>
            <w:tcMar>
              <w:top w:w="40" w:type="dxa"/>
              <w:left w:w="40" w:type="dxa"/>
              <w:bottom w:w="40" w:type="dxa"/>
              <w:right w:w="40" w:type="dxa"/>
            </w:tcMar>
          </w:tcPr>
          <w:p w14:paraId="200028D2">
            <w:pPr>
              <w:spacing w:line="220" w:lineRule="auto"/>
              <w:jc w:val="left"/>
            </w:pPr>
            <w:r>
              <w:rPr>
                <w:sz w:val="18"/>
                <w:szCs w:val="18"/>
              </w:rPr>
              <w:t>Left ventricular end-systolic volume, three-dimensional</w:t>
            </w:r>
          </w:p>
        </w:tc>
        <w:tc>
          <w:tcPr>
            <w:tcW w:w="1560" w:type="dxa"/>
            <w:tcBorders>
              <w:top w:val="nil"/>
              <w:left w:val="nil"/>
              <w:bottom w:val="single" w:color="000000" w:sz="8" w:space="0"/>
              <w:right w:val="nil"/>
            </w:tcBorders>
            <w:tcMar>
              <w:top w:w="40" w:type="dxa"/>
              <w:left w:w="40" w:type="dxa"/>
              <w:bottom w:w="40" w:type="dxa"/>
              <w:right w:w="40" w:type="dxa"/>
            </w:tcMar>
          </w:tcPr>
          <w:p w14:paraId="20002909">
            <w:pPr>
              <w:spacing w:line="220" w:lineRule="auto"/>
              <w:jc w:val="center"/>
            </w:pPr>
            <w:r>
              <w:rPr>
                <w:sz w:val="18"/>
                <w:szCs w:val="18"/>
              </w:rPr>
              <w:t>1527</w:t>
            </w:r>
          </w:p>
        </w:tc>
        <w:tc>
          <w:tcPr>
            <w:tcW w:w="1180" w:type="dxa"/>
            <w:tcBorders>
              <w:top w:val="nil"/>
              <w:left w:val="nil"/>
              <w:bottom w:val="single" w:color="000000" w:sz="8" w:space="0"/>
              <w:right w:val="nil"/>
            </w:tcBorders>
            <w:tcMar>
              <w:top w:w="40" w:type="dxa"/>
              <w:left w:w="40" w:type="dxa"/>
              <w:bottom w:w="40" w:type="dxa"/>
              <w:right w:w="40" w:type="dxa"/>
            </w:tcMar>
          </w:tcPr>
          <w:p w14:paraId="20002940">
            <w:pPr>
              <w:spacing w:line="220" w:lineRule="auto"/>
              <w:jc w:val="center"/>
            </w:pPr>
            <w:r>
              <w:rPr>
                <w:sz w:val="18"/>
                <w:szCs w:val="18"/>
              </w:rPr>
              <w:t>88</w:t>
            </w:r>
          </w:p>
        </w:tc>
        <w:tc>
          <w:tcPr>
            <w:tcW w:w="1560" w:type="dxa"/>
            <w:tcBorders>
              <w:top w:val="nil"/>
              <w:left w:val="nil"/>
              <w:bottom w:val="single" w:color="000000" w:sz="8" w:space="0"/>
              <w:right w:val="nil"/>
            </w:tcBorders>
            <w:tcMar>
              <w:top w:w="40" w:type="dxa"/>
              <w:left w:w="40" w:type="dxa"/>
              <w:bottom w:w="40" w:type="dxa"/>
              <w:right w:w="40" w:type="dxa"/>
            </w:tcMar>
          </w:tcPr>
          <w:p w14:paraId="20002977">
            <w:pPr>
              <w:spacing w:line="220" w:lineRule="auto"/>
              <w:jc w:val="center"/>
            </w:pPr>
            <w:r>
              <w:rPr>
                <w:sz w:val="18"/>
                <w:szCs w:val="18"/>
              </w:rPr>
              <w:t>0.9</w:t>
            </w:r>
          </w:p>
        </w:tc>
        <w:tc>
          <w:tcPr>
            <w:tcW w:w="1800" w:type="dxa"/>
            <w:tcBorders>
              <w:top w:val="nil"/>
              <w:left w:val="nil"/>
              <w:bottom w:val="single" w:color="000000" w:sz="8" w:space="0"/>
              <w:right w:val="nil"/>
            </w:tcBorders>
            <w:tcMar>
              <w:top w:w="40" w:type="dxa"/>
              <w:left w:w="40" w:type="dxa"/>
              <w:bottom w:w="40" w:type="dxa"/>
              <w:right w:w="40" w:type="dxa"/>
            </w:tcMar>
          </w:tcPr>
          <w:p w14:paraId="200029AE">
            <w:pPr>
              <w:spacing w:line="220" w:lineRule="auto"/>
              <w:jc w:val="center"/>
            </w:pPr>
            <w:r>
              <w:rPr>
                <w:sz w:val="18"/>
                <w:szCs w:val="18"/>
              </w:rPr>
              <w:t>0.0</w:t>
            </w:r>
          </w:p>
        </w:tc>
      </w:tr>
    </w:tbl>
    <w:p w14:paraId="20002A1C">
      <w:pPr>
        <w:spacing w:before="40" w:after="160" w:line="240" w:lineRule="auto"/>
        <w:jc w:val="left"/>
      </w:pPr>
      <w:r>
        <w:rPr>
          <w:i/>
          <w:iCs/>
          <w:sz w:val="20"/>
          <w:szCs w:val="20"/>
        </w:rPr>
        <w:t>Availability among the 9744 first resting transthoracic echocardiograms performed within 72 hours of ICU admission, and, in the final column, among the 8792 admissions that constituted the analytic cohort. Structured measurements in MIMIC-IV-ECHO are stored against report templates that differ between studies, so a parameter may be absent because the field does not appear in the report at all or because the field appears but was left blank; the second column gives the number of studies in which the field is present, which is the more informative denominator for the sparser parameters. Left ventricular ejection fraction was the most consistently reported quantitative parameter and was therefore used as the primary exposure. Left ventricular dimensions and outflow tract measurements, which support the chamber-geometry and stroke-volume analyses in Table 4, are recorded in 54–87% of studies, and stroke volume, which requires both outflow tract measurements, is available in fewer studies than either alone; left ventricular volumes by the biplane or three-dimensional methods, fractional shortening, inferior vena cava dimensions and tricuspid annular plane systolic excursion appear only in a minority of report templates and are recorded for too few admissions in this cohort to be analysed. Parameters marked n/a are recorded as free text rather than as a number and were tabulated only across all 9744 studies; the chamber-size and systolic-function descriptors are also expressed as percentages of the analytic cohort because they are reported by stratum in the main Results. The 952 studies excluded because no ejection fraction was reported in these interval fields come predominantly from a different report template, which instead populates fractional shortening, biplane volumes, inferior vena cava dimensions and tricuspid annular plane systolic excursion; this is why those parameters are commoner among the excluded studies than among the analytic cohort. E/e′ and E/A denote mitral tissue-Doppler and inflow indices.</w:t>
      </w:r>
    </w:p>
    <w:p w14:paraId="5FE9C92C">
      <w:pPr>
        <w:spacing w:before="160" w:after="80"/>
        <w:rPr>
          <w:b/>
          <w:bCs/>
          <w:sz w:val="20"/>
          <w:szCs w:val="20"/>
        </w:rPr>
      </w:pPr>
    </w:p>
    <w:p w14:paraId="5392F4EE">
      <w:pPr>
        <w:spacing w:before="160" w:after="80"/>
        <w:rPr>
          <w:b/>
          <w:bCs/>
          <w:sz w:val="20"/>
          <w:szCs w:val="20"/>
        </w:rPr>
      </w:pPr>
    </w:p>
    <w:p w14:paraId="1DA1E49C">
      <w:pPr>
        <w:spacing w:before="160" w:after="80"/>
      </w:pPr>
      <w:r>
        <w:rPr>
          <w:b/>
          <w:bCs/>
          <w:sz w:val="20"/>
          <w:szCs w:val="20"/>
        </w:rPr>
        <w:t xml:space="preserve">Table S2. </w:t>
      </w:r>
      <w:r>
        <w:rPr>
          <w:sz w:val="20"/>
          <w:szCs w:val="20"/>
        </w:rPr>
        <w:t>Full multivariable logistic-regression model for 28-day mortality.</w:t>
      </w: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4000"/>
        <w:gridCol w:w="3360"/>
        <w:gridCol w:w="2000"/>
      </w:tblGrid>
      <w:tr w14:paraId="1BD5EF12">
        <w:trPr>
          <w:tblHeader/>
        </w:trPr>
        <w:tc>
          <w:tcPr>
            <w:tcW w:w="4000" w:type="dxa"/>
            <w:tcBorders>
              <w:top w:val="single" w:color="000000" w:sz="8" w:space="0"/>
              <w:left w:val="nil"/>
              <w:bottom w:val="single" w:color="000000" w:sz="4" w:space="0"/>
              <w:right w:val="nil"/>
            </w:tcBorders>
            <w:tcMar>
              <w:top w:w="40" w:type="dxa"/>
              <w:left w:w="70" w:type="dxa"/>
              <w:bottom w:w="40" w:type="dxa"/>
              <w:right w:w="70" w:type="dxa"/>
            </w:tcMar>
          </w:tcPr>
          <w:p w14:paraId="2A2040F9">
            <w:pPr>
              <w:spacing w:line="220" w:lineRule="auto"/>
              <w:jc w:val="left"/>
            </w:pPr>
            <w:r>
              <w:rPr>
                <w:b/>
                <w:bCs/>
                <w:sz w:val="20"/>
                <w:szCs w:val="20"/>
              </w:rPr>
              <w:t>Variable</w:t>
            </w:r>
          </w:p>
        </w:tc>
        <w:tc>
          <w:tcPr>
            <w:tcW w:w="3360" w:type="dxa"/>
            <w:tcBorders>
              <w:top w:val="single" w:color="000000" w:sz="8" w:space="0"/>
              <w:left w:val="nil"/>
              <w:bottom w:val="single" w:color="000000" w:sz="4" w:space="0"/>
              <w:right w:val="nil"/>
            </w:tcBorders>
            <w:tcMar>
              <w:top w:w="40" w:type="dxa"/>
              <w:left w:w="70" w:type="dxa"/>
              <w:bottom w:w="40" w:type="dxa"/>
              <w:right w:w="70" w:type="dxa"/>
            </w:tcMar>
          </w:tcPr>
          <w:p w14:paraId="4D3F40F3">
            <w:pPr>
              <w:spacing w:line="220" w:lineRule="auto"/>
              <w:jc w:val="center"/>
            </w:pPr>
            <w:r>
              <w:rPr>
                <w:b/>
                <w:bCs/>
                <w:sz w:val="20"/>
                <w:szCs w:val="20"/>
              </w:rPr>
              <w:t>OR (95% CI)</w:t>
            </w:r>
          </w:p>
        </w:tc>
        <w:tc>
          <w:tcPr>
            <w:tcW w:w="2000" w:type="dxa"/>
            <w:tcBorders>
              <w:top w:val="single" w:color="000000" w:sz="8" w:space="0"/>
              <w:left w:val="nil"/>
              <w:bottom w:val="single" w:color="000000" w:sz="4" w:space="0"/>
              <w:right w:val="nil"/>
            </w:tcBorders>
            <w:tcMar>
              <w:top w:w="40" w:type="dxa"/>
              <w:left w:w="70" w:type="dxa"/>
              <w:bottom w:w="40" w:type="dxa"/>
              <w:right w:w="70" w:type="dxa"/>
            </w:tcMar>
          </w:tcPr>
          <w:p w14:paraId="3EB21E37">
            <w:pPr>
              <w:spacing w:line="220" w:lineRule="auto"/>
              <w:jc w:val="center"/>
            </w:pPr>
            <w:r>
              <w:rPr>
                <w:b/>
                <w:bCs/>
                <w:sz w:val="20"/>
                <w:szCs w:val="20"/>
              </w:rPr>
              <w:t>P</w:t>
            </w:r>
          </w:p>
        </w:tc>
      </w:tr>
      <w:tr w14:paraId="0D9C0868">
        <w:tc>
          <w:tcPr>
            <w:tcW w:w="4000" w:type="dxa"/>
            <w:tcBorders>
              <w:top w:val="nil"/>
              <w:left w:val="nil"/>
              <w:bottom w:val="nil"/>
              <w:right w:val="nil"/>
            </w:tcBorders>
            <w:tcMar>
              <w:top w:w="40" w:type="dxa"/>
              <w:left w:w="70" w:type="dxa"/>
              <w:bottom w:w="40" w:type="dxa"/>
              <w:right w:w="70" w:type="dxa"/>
            </w:tcMar>
          </w:tcPr>
          <w:p w14:paraId="5E9AAB07">
            <w:pPr>
              <w:spacing w:line="220" w:lineRule="auto"/>
              <w:jc w:val="left"/>
            </w:pPr>
            <w:r>
              <w:rPr>
                <w:b w:val="0"/>
                <w:bCs w:val="0"/>
                <w:sz w:val="20"/>
                <w:szCs w:val="20"/>
              </w:rPr>
              <w:t>LVEF &lt;30%</w:t>
            </w:r>
          </w:p>
        </w:tc>
        <w:tc>
          <w:tcPr>
            <w:tcW w:w="3360" w:type="dxa"/>
            <w:tcBorders>
              <w:top w:val="nil"/>
              <w:left w:val="nil"/>
              <w:bottom w:val="nil"/>
              <w:right w:val="nil"/>
            </w:tcBorders>
            <w:tcMar>
              <w:top w:w="40" w:type="dxa"/>
              <w:left w:w="70" w:type="dxa"/>
              <w:bottom w:w="40" w:type="dxa"/>
              <w:right w:w="70" w:type="dxa"/>
            </w:tcMar>
          </w:tcPr>
          <w:p w14:paraId="630D7364">
            <w:pPr>
              <w:spacing w:line="220" w:lineRule="auto"/>
              <w:jc w:val="center"/>
            </w:pPr>
            <w:r>
              <w:rPr>
                <w:b w:val="0"/>
                <w:bCs w:val="0"/>
                <w:sz w:val="20"/>
                <w:szCs w:val="20"/>
              </w:rPr>
              <w:t>1.41 (1.18–1.68)</w:t>
            </w:r>
          </w:p>
        </w:tc>
        <w:tc>
          <w:tcPr>
            <w:tcW w:w="2000" w:type="dxa"/>
            <w:tcBorders>
              <w:top w:val="nil"/>
              <w:left w:val="nil"/>
              <w:bottom w:val="nil"/>
              <w:right w:val="nil"/>
            </w:tcBorders>
            <w:tcMar>
              <w:top w:w="40" w:type="dxa"/>
              <w:left w:w="70" w:type="dxa"/>
              <w:bottom w:w="40" w:type="dxa"/>
              <w:right w:w="70" w:type="dxa"/>
            </w:tcMar>
          </w:tcPr>
          <w:p w14:paraId="7CB018E8">
            <w:pPr>
              <w:spacing w:line="220" w:lineRule="auto"/>
              <w:jc w:val="center"/>
            </w:pPr>
            <w:r>
              <w:rPr>
                <w:b w:val="0"/>
                <w:bCs w:val="0"/>
                <w:sz w:val="20"/>
                <w:szCs w:val="20"/>
              </w:rPr>
              <w:t>&lt;0.001</w:t>
            </w:r>
          </w:p>
        </w:tc>
      </w:tr>
      <w:tr w14:paraId="68822E5B">
        <w:tc>
          <w:tcPr>
            <w:tcW w:w="4000" w:type="dxa"/>
            <w:tcBorders>
              <w:top w:val="nil"/>
              <w:left w:val="nil"/>
              <w:bottom w:val="nil"/>
              <w:right w:val="nil"/>
            </w:tcBorders>
            <w:tcMar>
              <w:top w:w="40" w:type="dxa"/>
              <w:left w:w="70" w:type="dxa"/>
              <w:bottom w:w="40" w:type="dxa"/>
              <w:right w:w="70" w:type="dxa"/>
            </w:tcMar>
          </w:tcPr>
          <w:p w14:paraId="6DDC3ECF">
            <w:pPr>
              <w:spacing w:line="220" w:lineRule="auto"/>
              <w:jc w:val="left"/>
            </w:pPr>
            <w:r>
              <w:rPr>
                <w:b w:val="0"/>
                <w:bCs w:val="0"/>
                <w:sz w:val="20"/>
                <w:szCs w:val="20"/>
              </w:rPr>
              <w:t>LVEF 30–39%</w:t>
            </w:r>
          </w:p>
        </w:tc>
        <w:tc>
          <w:tcPr>
            <w:tcW w:w="3360" w:type="dxa"/>
            <w:tcBorders>
              <w:top w:val="nil"/>
              <w:left w:val="nil"/>
              <w:bottom w:val="nil"/>
              <w:right w:val="nil"/>
            </w:tcBorders>
            <w:tcMar>
              <w:top w:w="40" w:type="dxa"/>
              <w:left w:w="70" w:type="dxa"/>
              <w:bottom w:w="40" w:type="dxa"/>
              <w:right w:w="70" w:type="dxa"/>
            </w:tcMar>
          </w:tcPr>
          <w:p w14:paraId="797AC4DF">
            <w:pPr>
              <w:spacing w:line="220" w:lineRule="auto"/>
              <w:jc w:val="center"/>
            </w:pPr>
            <w:r>
              <w:rPr>
                <w:b w:val="0"/>
                <w:bCs w:val="0"/>
                <w:sz w:val="20"/>
                <w:szCs w:val="20"/>
              </w:rPr>
              <w:t>1.07 (0.88–1.28)</w:t>
            </w:r>
          </w:p>
        </w:tc>
        <w:tc>
          <w:tcPr>
            <w:tcW w:w="2000" w:type="dxa"/>
            <w:tcBorders>
              <w:top w:val="nil"/>
              <w:left w:val="nil"/>
              <w:bottom w:val="nil"/>
              <w:right w:val="nil"/>
            </w:tcBorders>
            <w:tcMar>
              <w:top w:w="40" w:type="dxa"/>
              <w:left w:w="70" w:type="dxa"/>
              <w:bottom w:w="40" w:type="dxa"/>
              <w:right w:w="70" w:type="dxa"/>
            </w:tcMar>
          </w:tcPr>
          <w:p w14:paraId="01555364">
            <w:pPr>
              <w:spacing w:line="220" w:lineRule="auto"/>
              <w:jc w:val="center"/>
            </w:pPr>
            <w:r>
              <w:rPr>
                <w:b w:val="0"/>
                <w:bCs w:val="0"/>
                <w:sz w:val="20"/>
                <w:szCs w:val="20"/>
              </w:rPr>
              <w:t>0.51</w:t>
            </w:r>
          </w:p>
        </w:tc>
      </w:tr>
      <w:tr w14:paraId="5291ECC7">
        <w:tc>
          <w:tcPr>
            <w:tcW w:w="4000" w:type="dxa"/>
            <w:tcBorders>
              <w:top w:val="nil"/>
              <w:left w:val="nil"/>
              <w:bottom w:val="nil"/>
              <w:right w:val="nil"/>
            </w:tcBorders>
            <w:tcMar>
              <w:top w:w="40" w:type="dxa"/>
              <w:left w:w="70" w:type="dxa"/>
              <w:bottom w:w="40" w:type="dxa"/>
              <w:right w:w="70" w:type="dxa"/>
            </w:tcMar>
          </w:tcPr>
          <w:p w14:paraId="16E67AC5">
            <w:pPr>
              <w:spacing w:line="220" w:lineRule="auto"/>
              <w:jc w:val="left"/>
            </w:pPr>
            <w:r>
              <w:rPr>
                <w:b w:val="0"/>
                <w:bCs w:val="0"/>
                <w:sz w:val="20"/>
                <w:szCs w:val="20"/>
              </w:rPr>
              <w:t>LVEF 40–49%</w:t>
            </w:r>
          </w:p>
        </w:tc>
        <w:tc>
          <w:tcPr>
            <w:tcW w:w="3360" w:type="dxa"/>
            <w:tcBorders>
              <w:top w:val="nil"/>
              <w:left w:val="nil"/>
              <w:bottom w:val="nil"/>
              <w:right w:val="nil"/>
            </w:tcBorders>
            <w:tcMar>
              <w:top w:w="40" w:type="dxa"/>
              <w:left w:w="70" w:type="dxa"/>
              <w:bottom w:w="40" w:type="dxa"/>
              <w:right w:w="70" w:type="dxa"/>
            </w:tcMar>
          </w:tcPr>
          <w:p w14:paraId="4B7947D1">
            <w:pPr>
              <w:spacing w:line="220" w:lineRule="auto"/>
              <w:jc w:val="center"/>
            </w:pPr>
            <w:r>
              <w:rPr>
                <w:b w:val="0"/>
                <w:bCs w:val="0"/>
                <w:sz w:val="20"/>
                <w:szCs w:val="20"/>
              </w:rPr>
              <w:t>1.08 (0.90–1.31)</w:t>
            </w:r>
          </w:p>
        </w:tc>
        <w:tc>
          <w:tcPr>
            <w:tcW w:w="2000" w:type="dxa"/>
            <w:tcBorders>
              <w:top w:val="nil"/>
              <w:left w:val="nil"/>
              <w:bottom w:val="nil"/>
              <w:right w:val="nil"/>
            </w:tcBorders>
            <w:tcMar>
              <w:top w:w="40" w:type="dxa"/>
              <w:left w:w="70" w:type="dxa"/>
              <w:bottom w:w="40" w:type="dxa"/>
              <w:right w:w="70" w:type="dxa"/>
            </w:tcMar>
          </w:tcPr>
          <w:p w14:paraId="18D09822">
            <w:pPr>
              <w:spacing w:line="220" w:lineRule="auto"/>
              <w:jc w:val="center"/>
            </w:pPr>
            <w:r>
              <w:rPr>
                <w:b w:val="0"/>
                <w:bCs w:val="0"/>
                <w:sz w:val="20"/>
                <w:szCs w:val="20"/>
              </w:rPr>
              <w:t>0.41</w:t>
            </w:r>
          </w:p>
        </w:tc>
      </w:tr>
      <w:tr w14:paraId="34D11493">
        <w:tc>
          <w:tcPr>
            <w:tcW w:w="4000" w:type="dxa"/>
            <w:tcBorders>
              <w:top w:val="nil"/>
              <w:left w:val="nil"/>
              <w:bottom w:val="nil"/>
              <w:right w:val="nil"/>
            </w:tcBorders>
            <w:tcMar>
              <w:top w:w="40" w:type="dxa"/>
              <w:left w:w="70" w:type="dxa"/>
              <w:bottom w:w="40" w:type="dxa"/>
              <w:right w:w="70" w:type="dxa"/>
            </w:tcMar>
          </w:tcPr>
          <w:p w14:paraId="10658259">
            <w:pPr>
              <w:spacing w:line="220" w:lineRule="auto"/>
              <w:jc w:val="left"/>
            </w:pPr>
            <w:r>
              <w:rPr>
                <w:b w:val="0"/>
                <w:bCs w:val="0"/>
                <w:sz w:val="20"/>
                <w:szCs w:val="20"/>
              </w:rPr>
              <w:t>LVEF 50–59% (reference)</w:t>
            </w:r>
          </w:p>
        </w:tc>
        <w:tc>
          <w:tcPr>
            <w:tcW w:w="3360" w:type="dxa"/>
            <w:tcBorders>
              <w:top w:val="nil"/>
              <w:left w:val="nil"/>
              <w:bottom w:val="nil"/>
              <w:right w:val="nil"/>
            </w:tcBorders>
            <w:tcMar>
              <w:top w:w="40" w:type="dxa"/>
              <w:left w:w="70" w:type="dxa"/>
              <w:bottom w:w="40" w:type="dxa"/>
              <w:right w:w="70" w:type="dxa"/>
            </w:tcMar>
          </w:tcPr>
          <w:p w14:paraId="5CEBF9AF">
            <w:pPr>
              <w:spacing w:line="220" w:lineRule="auto"/>
              <w:jc w:val="center"/>
            </w:pPr>
            <w:r>
              <w:rPr>
                <w:b w:val="0"/>
                <w:bCs w:val="0"/>
                <w:sz w:val="20"/>
                <w:szCs w:val="20"/>
              </w:rPr>
              <w:t>1.00 (reference)</w:t>
            </w:r>
          </w:p>
        </w:tc>
        <w:tc>
          <w:tcPr>
            <w:tcW w:w="2000" w:type="dxa"/>
            <w:tcBorders>
              <w:top w:val="nil"/>
              <w:left w:val="nil"/>
              <w:bottom w:val="nil"/>
              <w:right w:val="nil"/>
            </w:tcBorders>
            <w:tcMar>
              <w:top w:w="40" w:type="dxa"/>
              <w:left w:w="70" w:type="dxa"/>
              <w:bottom w:w="40" w:type="dxa"/>
              <w:right w:w="70" w:type="dxa"/>
            </w:tcMar>
          </w:tcPr>
          <w:p w14:paraId="69AAB8FC">
            <w:pPr>
              <w:spacing w:line="220" w:lineRule="auto"/>
              <w:jc w:val="center"/>
            </w:pPr>
            <w:r>
              <w:rPr>
                <w:b w:val="0"/>
                <w:bCs w:val="0"/>
                <w:sz w:val="20"/>
                <w:szCs w:val="20"/>
              </w:rPr>
              <w:t>—</w:t>
            </w:r>
          </w:p>
        </w:tc>
      </w:tr>
      <w:tr w14:paraId="57522242">
        <w:tc>
          <w:tcPr>
            <w:tcW w:w="4000" w:type="dxa"/>
            <w:tcBorders>
              <w:top w:val="nil"/>
              <w:left w:val="nil"/>
              <w:bottom w:val="nil"/>
              <w:right w:val="nil"/>
            </w:tcBorders>
            <w:tcMar>
              <w:top w:w="40" w:type="dxa"/>
              <w:left w:w="70" w:type="dxa"/>
              <w:bottom w:w="40" w:type="dxa"/>
              <w:right w:w="70" w:type="dxa"/>
            </w:tcMar>
          </w:tcPr>
          <w:p w14:paraId="44531BA4">
            <w:pPr>
              <w:spacing w:line="220" w:lineRule="auto"/>
              <w:jc w:val="left"/>
            </w:pPr>
            <w:r>
              <w:rPr>
                <w:b w:val="0"/>
                <w:bCs w:val="0"/>
                <w:sz w:val="20"/>
                <w:szCs w:val="20"/>
              </w:rPr>
              <w:t>LVEF 60–69%</w:t>
            </w:r>
          </w:p>
        </w:tc>
        <w:tc>
          <w:tcPr>
            <w:tcW w:w="3360" w:type="dxa"/>
            <w:tcBorders>
              <w:top w:val="nil"/>
              <w:left w:val="nil"/>
              <w:bottom w:val="nil"/>
              <w:right w:val="nil"/>
            </w:tcBorders>
            <w:tcMar>
              <w:top w:w="40" w:type="dxa"/>
              <w:left w:w="70" w:type="dxa"/>
              <w:bottom w:w="40" w:type="dxa"/>
              <w:right w:w="70" w:type="dxa"/>
            </w:tcMar>
          </w:tcPr>
          <w:p w14:paraId="21A78E3F">
            <w:pPr>
              <w:spacing w:line="220" w:lineRule="auto"/>
              <w:jc w:val="center"/>
            </w:pPr>
            <w:r>
              <w:rPr>
                <w:b w:val="0"/>
                <w:bCs w:val="0"/>
                <w:sz w:val="20"/>
                <w:szCs w:val="20"/>
              </w:rPr>
              <w:t>1.03 (0.89–1.20)</w:t>
            </w:r>
          </w:p>
        </w:tc>
        <w:tc>
          <w:tcPr>
            <w:tcW w:w="2000" w:type="dxa"/>
            <w:tcBorders>
              <w:top w:val="nil"/>
              <w:left w:val="nil"/>
              <w:bottom w:val="nil"/>
              <w:right w:val="nil"/>
            </w:tcBorders>
            <w:tcMar>
              <w:top w:w="40" w:type="dxa"/>
              <w:left w:w="70" w:type="dxa"/>
              <w:bottom w:w="40" w:type="dxa"/>
              <w:right w:w="70" w:type="dxa"/>
            </w:tcMar>
          </w:tcPr>
          <w:p w14:paraId="02E125CA">
            <w:pPr>
              <w:spacing w:line="220" w:lineRule="auto"/>
              <w:jc w:val="center"/>
            </w:pPr>
            <w:r>
              <w:rPr>
                <w:b w:val="0"/>
                <w:bCs w:val="0"/>
                <w:sz w:val="20"/>
                <w:szCs w:val="20"/>
              </w:rPr>
              <w:t>0.66</w:t>
            </w:r>
          </w:p>
        </w:tc>
      </w:tr>
      <w:tr w14:paraId="45491E16">
        <w:tc>
          <w:tcPr>
            <w:tcW w:w="4000" w:type="dxa"/>
            <w:tcBorders>
              <w:top w:val="nil"/>
              <w:left w:val="nil"/>
              <w:bottom w:val="nil"/>
              <w:right w:val="nil"/>
            </w:tcBorders>
            <w:tcMar>
              <w:top w:w="40" w:type="dxa"/>
              <w:left w:w="70" w:type="dxa"/>
              <w:bottom w:w="40" w:type="dxa"/>
              <w:right w:w="70" w:type="dxa"/>
            </w:tcMar>
          </w:tcPr>
          <w:p w14:paraId="1B19F5BC">
            <w:pPr>
              <w:spacing w:line="220" w:lineRule="auto"/>
              <w:jc w:val="left"/>
            </w:pPr>
            <w:r>
              <w:rPr>
                <w:b w:val="0"/>
                <w:bCs w:val="0"/>
                <w:sz w:val="20"/>
                <w:szCs w:val="20"/>
              </w:rPr>
              <w:t>LVEF ≥70%</w:t>
            </w:r>
          </w:p>
        </w:tc>
        <w:tc>
          <w:tcPr>
            <w:tcW w:w="3360" w:type="dxa"/>
            <w:tcBorders>
              <w:top w:val="nil"/>
              <w:left w:val="nil"/>
              <w:bottom w:val="nil"/>
              <w:right w:val="nil"/>
            </w:tcBorders>
            <w:tcMar>
              <w:top w:w="40" w:type="dxa"/>
              <w:left w:w="70" w:type="dxa"/>
              <w:bottom w:w="40" w:type="dxa"/>
              <w:right w:w="70" w:type="dxa"/>
            </w:tcMar>
          </w:tcPr>
          <w:p w14:paraId="1855D99E">
            <w:pPr>
              <w:spacing w:line="220" w:lineRule="auto"/>
              <w:jc w:val="center"/>
            </w:pPr>
            <w:r>
              <w:rPr>
                <w:b w:val="0"/>
                <w:bCs w:val="0"/>
                <w:sz w:val="20"/>
                <w:szCs w:val="20"/>
              </w:rPr>
              <w:t>1.41 (1.20–1.66)</w:t>
            </w:r>
          </w:p>
        </w:tc>
        <w:tc>
          <w:tcPr>
            <w:tcW w:w="2000" w:type="dxa"/>
            <w:tcBorders>
              <w:top w:val="nil"/>
              <w:left w:val="nil"/>
              <w:bottom w:val="nil"/>
              <w:right w:val="nil"/>
            </w:tcBorders>
            <w:tcMar>
              <w:top w:w="40" w:type="dxa"/>
              <w:left w:w="70" w:type="dxa"/>
              <w:bottom w:w="40" w:type="dxa"/>
              <w:right w:w="70" w:type="dxa"/>
            </w:tcMar>
          </w:tcPr>
          <w:p w14:paraId="63FDE0AB">
            <w:pPr>
              <w:spacing w:line="220" w:lineRule="auto"/>
              <w:jc w:val="center"/>
            </w:pPr>
            <w:r>
              <w:rPr>
                <w:b w:val="0"/>
                <w:bCs w:val="0"/>
                <w:sz w:val="20"/>
                <w:szCs w:val="20"/>
              </w:rPr>
              <w:t>&lt;0.001</w:t>
            </w:r>
          </w:p>
        </w:tc>
      </w:tr>
      <w:tr w14:paraId="0D6CA3FB">
        <w:tc>
          <w:tcPr>
            <w:tcW w:w="4000" w:type="dxa"/>
            <w:tcBorders>
              <w:top w:val="nil"/>
              <w:left w:val="nil"/>
              <w:bottom w:val="nil"/>
              <w:right w:val="nil"/>
            </w:tcBorders>
            <w:tcMar>
              <w:top w:w="40" w:type="dxa"/>
              <w:left w:w="70" w:type="dxa"/>
              <w:bottom w:w="40" w:type="dxa"/>
              <w:right w:w="70" w:type="dxa"/>
            </w:tcMar>
          </w:tcPr>
          <w:p w14:paraId="1BD4526D">
            <w:pPr>
              <w:spacing w:line="220" w:lineRule="auto"/>
              <w:jc w:val="left"/>
            </w:pPr>
            <w:r>
              <w:rPr>
                <w:b w:val="0"/>
                <w:bCs w:val="0"/>
                <w:sz w:val="20"/>
                <w:szCs w:val="20"/>
              </w:rPr>
              <w:t>Age (per year)</w:t>
            </w:r>
          </w:p>
        </w:tc>
        <w:tc>
          <w:tcPr>
            <w:tcW w:w="3360" w:type="dxa"/>
            <w:tcBorders>
              <w:top w:val="nil"/>
              <w:left w:val="nil"/>
              <w:bottom w:val="nil"/>
              <w:right w:val="nil"/>
            </w:tcBorders>
            <w:tcMar>
              <w:top w:w="40" w:type="dxa"/>
              <w:left w:w="70" w:type="dxa"/>
              <w:bottom w:w="40" w:type="dxa"/>
              <w:right w:w="70" w:type="dxa"/>
            </w:tcMar>
          </w:tcPr>
          <w:p w14:paraId="6D67FA5B">
            <w:pPr>
              <w:spacing w:line="220" w:lineRule="auto"/>
              <w:jc w:val="center"/>
            </w:pPr>
            <w:r>
              <w:rPr>
                <w:b w:val="0"/>
                <w:bCs w:val="0"/>
                <w:sz w:val="20"/>
                <w:szCs w:val="20"/>
              </w:rPr>
              <w:t>1.01 (1.01–1.02)</w:t>
            </w:r>
          </w:p>
        </w:tc>
        <w:tc>
          <w:tcPr>
            <w:tcW w:w="2000" w:type="dxa"/>
            <w:tcBorders>
              <w:top w:val="nil"/>
              <w:left w:val="nil"/>
              <w:bottom w:val="nil"/>
              <w:right w:val="nil"/>
            </w:tcBorders>
            <w:tcMar>
              <w:top w:w="40" w:type="dxa"/>
              <w:left w:w="70" w:type="dxa"/>
              <w:bottom w:w="40" w:type="dxa"/>
              <w:right w:w="70" w:type="dxa"/>
            </w:tcMar>
          </w:tcPr>
          <w:p w14:paraId="4D759E7E">
            <w:pPr>
              <w:spacing w:line="220" w:lineRule="auto"/>
              <w:jc w:val="center"/>
            </w:pPr>
            <w:r>
              <w:rPr>
                <w:b w:val="0"/>
                <w:bCs w:val="0"/>
                <w:sz w:val="20"/>
                <w:szCs w:val="20"/>
              </w:rPr>
              <w:t>&lt;0.001</w:t>
            </w:r>
          </w:p>
        </w:tc>
      </w:tr>
      <w:tr w14:paraId="5FB533F7">
        <w:tc>
          <w:tcPr>
            <w:tcW w:w="4000" w:type="dxa"/>
            <w:tcBorders>
              <w:top w:val="nil"/>
              <w:left w:val="nil"/>
              <w:bottom w:val="nil"/>
              <w:right w:val="nil"/>
            </w:tcBorders>
            <w:tcMar>
              <w:top w:w="40" w:type="dxa"/>
              <w:left w:w="70" w:type="dxa"/>
              <w:bottom w:w="40" w:type="dxa"/>
              <w:right w:w="70" w:type="dxa"/>
            </w:tcMar>
          </w:tcPr>
          <w:p w14:paraId="36CC4E05">
            <w:pPr>
              <w:spacing w:line="220" w:lineRule="auto"/>
              <w:jc w:val="left"/>
            </w:pPr>
            <w:r>
              <w:rPr>
                <w:b w:val="0"/>
                <w:bCs w:val="0"/>
                <w:sz w:val="20"/>
                <w:szCs w:val="20"/>
              </w:rPr>
              <w:t>Male sex</w:t>
            </w:r>
          </w:p>
        </w:tc>
        <w:tc>
          <w:tcPr>
            <w:tcW w:w="3360" w:type="dxa"/>
            <w:tcBorders>
              <w:top w:val="nil"/>
              <w:left w:val="nil"/>
              <w:bottom w:val="nil"/>
              <w:right w:val="nil"/>
            </w:tcBorders>
            <w:tcMar>
              <w:top w:w="40" w:type="dxa"/>
              <w:left w:w="70" w:type="dxa"/>
              <w:bottom w:w="40" w:type="dxa"/>
              <w:right w:w="70" w:type="dxa"/>
            </w:tcMar>
          </w:tcPr>
          <w:p w14:paraId="55AA86A9">
            <w:pPr>
              <w:spacing w:line="220" w:lineRule="auto"/>
              <w:jc w:val="center"/>
            </w:pPr>
            <w:r>
              <w:rPr>
                <w:b w:val="0"/>
                <w:bCs w:val="0"/>
                <w:sz w:val="20"/>
                <w:szCs w:val="20"/>
              </w:rPr>
              <w:t>0.96 (0.86–1.07)</w:t>
            </w:r>
          </w:p>
        </w:tc>
        <w:tc>
          <w:tcPr>
            <w:tcW w:w="2000" w:type="dxa"/>
            <w:tcBorders>
              <w:top w:val="nil"/>
              <w:left w:val="nil"/>
              <w:bottom w:val="nil"/>
              <w:right w:val="nil"/>
            </w:tcBorders>
            <w:tcMar>
              <w:top w:w="40" w:type="dxa"/>
              <w:left w:w="70" w:type="dxa"/>
              <w:bottom w:w="40" w:type="dxa"/>
              <w:right w:w="70" w:type="dxa"/>
            </w:tcMar>
          </w:tcPr>
          <w:p w14:paraId="0B0E33E4">
            <w:pPr>
              <w:spacing w:line="220" w:lineRule="auto"/>
              <w:jc w:val="center"/>
            </w:pPr>
            <w:r>
              <w:rPr>
                <w:b w:val="0"/>
                <w:bCs w:val="0"/>
                <w:sz w:val="20"/>
                <w:szCs w:val="20"/>
              </w:rPr>
              <w:t>0.45</w:t>
            </w:r>
          </w:p>
        </w:tc>
      </w:tr>
      <w:tr w14:paraId="7B71F881">
        <w:tc>
          <w:tcPr>
            <w:tcW w:w="4000" w:type="dxa"/>
            <w:tcBorders>
              <w:top w:val="nil"/>
              <w:left w:val="nil"/>
              <w:bottom w:val="nil"/>
              <w:right w:val="nil"/>
            </w:tcBorders>
            <w:tcMar>
              <w:top w:w="40" w:type="dxa"/>
              <w:left w:w="70" w:type="dxa"/>
              <w:bottom w:w="40" w:type="dxa"/>
              <w:right w:w="70" w:type="dxa"/>
            </w:tcMar>
          </w:tcPr>
          <w:p w14:paraId="74195F36">
            <w:pPr>
              <w:spacing w:line="220" w:lineRule="auto"/>
              <w:jc w:val="left"/>
            </w:pPr>
            <w:r>
              <w:rPr>
                <w:b w:val="0"/>
                <w:bCs w:val="0"/>
                <w:sz w:val="20"/>
                <w:szCs w:val="20"/>
              </w:rPr>
              <w:t>SOFA score (per point)</w:t>
            </w:r>
          </w:p>
        </w:tc>
        <w:tc>
          <w:tcPr>
            <w:tcW w:w="3360" w:type="dxa"/>
            <w:tcBorders>
              <w:top w:val="nil"/>
              <w:left w:val="nil"/>
              <w:bottom w:val="nil"/>
              <w:right w:val="nil"/>
            </w:tcBorders>
            <w:tcMar>
              <w:top w:w="40" w:type="dxa"/>
              <w:left w:w="70" w:type="dxa"/>
              <w:bottom w:w="40" w:type="dxa"/>
              <w:right w:w="70" w:type="dxa"/>
            </w:tcMar>
          </w:tcPr>
          <w:p w14:paraId="132EAC2A">
            <w:pPr>
              <w:spacing w:line="220" w:lineRule="auto"/>
              <w:jc w:val="center"/>
            </w:pPr>
            <w:r>
              <w:rPr>
                <w:b w:val="0"/>
                <w:bCs w:val="0"/>
                <w:sz w:val="20"/>
                <w:szCs w:val="20"/>
              </w:rPr>
              <w:t>1.07 (1.04–1.10)</w:t>
            </w:r>
          </w:p>
        </w:tc>
        <w:tc>
          <w:tcPr>
            <w:tcW w:w="2000" w:type="dxa"/>
            <w:tcBorders>
              <w:top w:val="nil"/>
              <w:left w:val="nil"/>
              <w:bottom w:val="nil"/>
              <w:right w:val="nil"/>
            </w:tcBorders>
            <w:tcMar>
              <w:top w:w="40" w:type="dxa"/>
              <w:left w:w="70" w:type="dxa"/>
              <w:bottom w:w="40" w:type="dxa"/>
              <w:right w:w="70" w:type="dxa"/>
            </w:tcMar>
          </w:tcPr>
          <w:p w14:paraId="0059E3DF">
            <w:pPr>
              <w:spacing w:line="220" w:lineRule="auto"/>
              <w:jc w:val="center"/>
            </w:pPr>
            <w:r>
              <w:rPr>
                <w:b w:val="0"/>
                <w:bCs w:val="0"/>
                <w:sz w:val="20"/>
                <w:szCs w:val="20"/>
              </w:rPr>
              <w:t>&lt;0.001</w:t>
            </w:r>
          </w:p>
        </w:tc>
      </w:tr>
      <w:tr w14:paraId="5F980D22">
        <w:tc>
          <w:tcPr>
            <w:tcW w:w="4000" w:type="dxa"/>
            <w:tcBorders>
              <w:top w:val="nil"/>
              <w:left w:val="nil"/>
              <w:bottom w:val="nil"/>
              <w:right w:val="nil"/>
            </w:tcBorders>
            <w:tcMar>
              <w:top w:w="40" w:type="dxa"/>
              <w:left w:w="70" w:type="dxa"/>
              <w:bottom w:w="40" w:type="dxa"/>
              <w:right w:w="70" w:type="dxa"/>
            </w:tcMar>
          </w:tcPr>
          <w:p w14:paraId="09BEDE65">
            <w:pPr>
              <w:spacing w:line="220" w:lineRule="auto"/>
              <w:jc w:val="left"/>
            </w:pPr>
            <w:r>
              <w:rPr>
                <w:b w:val="0"/>
                <w:bCs w:val="0"/>
                <w:sz w:val="20"/>
                <w:szCs w:val="20"/>
              </w:rPr>
              <w:t>Charlson index (per point)</w:t>
            </w:r>
          </w:p>
        </w:tc>
        <w:tc>
          <w:tcPr>
            <w:tcW w:w="3360" w:type="dxa"/>
            <w:tcBorders>
              <w:top w:val="nil"/>
              <w:left w:val="nil"/>
              <w:bottom w:val="nil"/>
              <w:right w:val="nil"/>
            </w:tcBorders>
            <w:tcMar>
              <w:top w:w="40" w:type="dxa"/>
              <w:left w:w="70" w:type="dxa"/>
              <w:bottom w:w="40" w:type="dxa"/>
              <w:right w:w="70" w:type="dxa"/>
            </w:tcMar>
          </w:tcPr>
          <w:p w14:paraId="0A3BC8D0">
            <w:pPr>
              <w:spacing w:line="220" w:lineRule="auto"/>
              <w:jc w:val="center"/>
            </w:pPr>
            <w:r>
              <w:rPr>
                <w:b w:val="0"/>
                <w:bCs w:val="0"/>
                <w:sz w:val="20"/>
                <w:szCs w:val="20"/>
              </w:rPr>
              <w:t>1.13 (1.10–1.15)</w:t>
            </w:r>
          </w:p>
        </w:tc>
        <w:tc>
          <w:tcPr>
            <w:tcW w:w="2000" w:type="dxa"/>
            <w:tcBorders>
              <w:top w:val="nil"/>
              <w:left w:val="nil"/>
              <w:bottom w:val="nil"/>
              <w:right w:val="nil"/>
            </w:tcBorders>
            <w:tcMar>
              <w:top w:w="40" w:type="dxa"/>
              <w:left w:w="70" w:type="dxa"/>
              <w:bottom w:w="40" w:type="dxa"/>
              <w:right w:w="70" w:type="dxa"/>
            </w:tcMar>
          </w:tcPr>
          <w:p w14:paraId="13ACC76F">
            <w:pPr>
              <w:spacing w:line="220" w:lineRule="auto"/>
              <w:jc w:val="center"/>
            </w:pPr>
            <w:r>
              <w:rPr>
                <w:b w:val="0"/>
                <w:bCs w:val="0"/>
                <w:sz w:val="20"/>
                <w:szCs w:val="20"/>
              </w:rPr>
              <w:t>&lt;0.001</w:t>
            </w:r>
          </w:p>
        </w:tc>
      </w:tr>
      <w:tr w14:paraId="371F50E5">
        <w:tc>
          <w:tcPr>
            <w:tcW w:w="4000" w:type="dxa"/>
            <w:tcBorders>
              <w:top w:val="nil"/>
              <w:left w:val="nil"/>
              <w:bottom w:val="nil"/>
              <w:right w:val="nil"/>
            </w:tcBorders>
            <w:tcMar>
              <w:top w:w="40" w:type="dxa"/>
              <w:left w:w="70" w:type="dxa"/>
              <w:bottom w:w="40" w:type="dxa"/>
              <w:right w:w="70" w:type="dxa"/>
            </w:tcMar>
          </w:tcPr>
          <w:p w14:paraId="7835C506">
            <w:pPr>
              <w:spacing w:line="220" w:lineRule="auto"/>
              <w:jc w:val="left"/>
            </w:pPr>
            <w:r>
              <w:rPr>
                <w:b w:val="0"/>
                <w:bCs w:val="0"/>
                <w:sz w:val="20"/>
                <w:szCs w:val="20"/>
              </w:rPr>
              <w:t>Atrial fibrillation</w:t>
            </w:r>
          </w:p>
        </w:tc>
        <w:tc>
          <w:tcPr>
            <w:tcW w:w="3360" w:type="dxa"/>
            <w:tcBorders>
              <w:top w:val="nil"/>
              <w:left w:val="nil"/>
              <w:bottom w:val="nil"/>
              <w:right w:val="nil"/>
            </w:tcBorders>
            <w:tcMar>
              <w:top w:w="40" w:type="dxa"/>
              <w:left w:w="70" w:type="dxa"/>
              <w:bottom w:w="40" w:type="dxa"/>
              <w:right w:w="70" w:type="dxa"/>
            </w:tcMar>
          </w:tcPr>
          <w:p w14:paraId="60C90B19">
            <w:pPr>
              <w:spacing w:line="220" w:lineRule="auto"/>
              <w:jc w:val="center"/>
            </w:pPr>
            <w:r>
              <w:rPr>
                <w:b w:val="0"/>
                <w:bCs w:val="0"/>
                <w:sz w:val="20"/>
                <w:szCs w:val="20"/>
              </w:rPr>
              <w:t>0.95 (0.85–1.06)</w:t>
            </w:r>
          </w:p>
        </w:tc>
        <w:tc>
          <w:tcPr>
            <w:tcW w:w="2000" w:type="dxa"/>
            <w:tcBorders>
              <w:top w:val="nil"/>
              <w:left w:val="nil"/>
              <w:bottom w:val="nil"/>
              <w:right w:val="nil"/>
            </w:tcBorders>
            <w:tcMar>
              <w:top w:w="40" w:type="dxa"/>
              <w:left w:w="70" w:type="dxa"/>
              <w:bottom w:w="40" w:type="dxa"/>
              <w:right w:w="70" w:type="dxa"/>
            </w:tcMar>
          </w:tcPr>
          <w:p w14:paraId="2A8D960F">
            <w:pPr>
              <w:spacing w:line="220" w:lineRule="auto"/>
              <w:jc w:val="center"/>
            </w:pPr>
            <w:r>
              <w:rPr>
                <w:b w:val="0"/>
                <w:bCs w:val="0"/>
                <w:sz w:val="20"/>
                <w:szCs w:val="20"/>
              </w:rPr>
              <w:t>0.33</w:t>
            </w:r>
          </w:p>
        </w:tc>
      </w:tr>
      <w:tr w14:paraId="01EB39F8">
        <w:tc>
          <w:tcPr>
            <w:tcW w:w="4000" w:type="dxa"/>
            <w:tcBorders>
              <w:top w:val="nil"/>
              <w:left w:val="nil"/>
              <w:bottom w:val="nil"/>
              <w:right w:val="nil"/>
            </w:tcBorders>
            <w:tcMar>
              <w:top w:w="40" w:type="dxa"/>
              <w:left w:w="70" w:type="dxa"/>
              <w:bottom w:w="40" w:type="dxa"/>
              <w:right w:w="70" w:type="dxa"/>
            </w:tcMar>
          </w:tcPr>
          <w:p w14:paraId="5BDF95CA">
            <w:pPr>
              <w:spacing w:line="220" w:lineRule="auto"/>
              <w:jc w:val="left"/>
            </w:pPr>
            <w:r>
              <w:rPr>
                <w:b w:val="0"/>
                <w:bCs w:val="0"/>
                <w:sz w:val="20"/>
                <w:szCs w:val="20"/>
              </w:rPr>
              <w:t>Log serum lactate (per unit)</w:t>
            </w:r>
          </w:p>
        </w:tc>
        <w:tc>
          <w:tcPr>
            <w:tcW w:w="3360" w:type="dxa"/>
            <w:tcBorders>
              <w:top w:val="nil"/>
              <w:left w:val="nil"/>
              <w:bottom w:val="nil"/>
              <w:right w:val="nil"/>
            </w:tcBorders>
            <w:tcMar>
              <w:top w:w="40" w:type="dxa"/>
              <w:left w:w="70" w:type="dxa"/>
              <w:bottom w:w="40" w:type="dxa"/>
              <w:right w:w="70" w:type="dxa"/>
            </w:tcMar>
          </w:tcPr>
          <w:p w14:paraId="11270BD4">
            <w:pPr>
              <w:spacing w:line="220" w:lineRule="auto"/>
              <w:jc w:val="center"/>
            </w:pPr>
            <w:r>
              <w:rPr>
                <w:b w:val="0"/>
                <w:bCs w:val="0"/>
                <w:sz w:val="20"/>
                <w:szCs w:val="20"/>
              </w:rPr>
              <w:t>1.85 (1.69–2.01)</w:t>
            </w:r>
          </w:p>
        </w:tc>
        <w:tc>
          <w:tcPr>
            <w:tcW w:w="2000" w:type="dxa"/>
            <w:tcBorders>
              <w:top w:val="nil"/>
              <w:left w:val="nil"/>
              <w:bottom w:val="nil"/>
              <w:right w:val="nil"/>
            </w:tcBorders>
            <w:tcMar>
              <w:top w:w="40" w:type="dxa"/>
              <w:left w:w="70" w:type="dxa"/>
              <w:bottom w:w="40" w:type="dxa"/>
              <w:right w:w="70" w:type="dxa"/>
            </w:tcMar>
          </w:tcPr>
          <w:p w14:paraId="10BCF59B">
            <w:pPr>
              <w:spacing w:line="220" w:lineRule="auto"/>
              <w:jc w:val="center"/>
            </w:pPr>
            <w:r>
              <w:rPr>
                <w:b w:val="0"/>
                <w:bCs w:val="0"/>
                <w:sz w:val="20"/>
                <w:szCs w:val="20"/>
              </w:rPr>
              <w:t>&lt;0.001</w:t>
            </w:r>
          </w:p>
        </w:tc>
      </w:tr>
      <w:tr w14:paraId="353856B0">
        <w:tc>
          <w:tcPr>
            <w:tcW w:w="4000" w:type="dxa"/>
            <w:tcBorders>
              <w:top w:val="nil"/>
              <w:left w:val="nil"/>
              <w:bottom w:val="nil"/>
              <w:right w:val="nil"/>
            </w:tcBorders>
            <w:tcMar>
              <w:top w:w="40" w:type="dxa"/>
              <w:left w:w="70" w:type="dxa"/>
              <w:bottom w:w="40" w:type="dxa"/>
              <w:right w:w="70" w:type="dxa"/>
            </w:tcMar>
          </w:tcPr>
          <w:p w14:paraId="3B7A2DBF">
            <w:pPr>
              <w:spacing w:line="220" w:lineRule="auto"/>
              <w:jc w:val="left"/>
            </w:pPr>
            <w:r>
              <w:rPr>
                <w:b w:val="0"/>
                <w:bCs w:val="0"/>
                <w:sz w:val="20"/>
                <w:szCs w:val="20"/>
              </w:rPr>
              <w:t>Invasive ventilation</w:t>
            </w:r>
          </w:p>
        </w:tc>
        <w:tc>
          <w:tcPr>
            <w:tcW w:w="3360" w:type="dxa"/>
            <w:tcBorders>
              <w:top w:val="nil"/>
              <w:left w:val="nil"/>
              <w:bottom w:val="nil"/>
              <w:right w:val="nil"/>
            </w:tcBorders>
            <w:tcMar>
              <w:top w:w="40" w:type="dxa"/>
              <w:left w:w="70" w:type="dxa"/>
              <w:bottom w:w="40" w:type="dxa"/>
              <w:right w:w="70" w:type="dxa"/>
            </w:tcMar>
          </w:tcPr>
          <w:p w14:paraId="29412911">
            <w:pPr>
              <w:spacing w:line="220" w:lineRule="auto"/>
              <w:jc w:val="center"/>
            </w:pPr>
            <w:r>
              <w:rPr>
                <w:b w:val="0"/>
                <w:bCs w:val="0"/>
                <w:sz w:val="20"/>
                <w:szCs w:val="20"/>
              </w:rPr>
              <w:t>1.52 (1.35–1.70)</w:t>
            </w:r>
          </w:p>
        </w:tc>
        <w:tc>
          <w:tcPr>
            <w:tcW w:w="2000" w:type="dxa"/>
            <w:tcBorders>
              <w:top w:val="nil"/>
              <w:left w:val="nil"/>
              <w:bottom w:val="nil"/>
              <w:right w:val="nil"/>
            </w:tcBorders>
            <w:tcMar>
              <w:top w:w="40" w:type="dxa"/>
              <w:left w:w="70" w:type="dxa"/>
              <w:bottom w:w="40" w:type="dxa"/>
              <w:right w:w="70" w:type="dxa"/>
            </w:tcMar>
          </w:tcPr>
          <w:p w14:paraId="7E35C893">
            <w:pPr>
              <w:spacing w:line="220" w:lineRule="auto"/>
              <w:jc w:val="center"/>
            </w:pPr>
            <w:r>
              <w:rPr>
                <w:b w:val="0"/>
                <w:bCs w:val="0"/>
                <w:sz w:val="20"/>
                <w:szCs w:val="20"/>
              </w:rPr>
              <w:t>&lt;0.001</w:t>
            </w:r>
          </w:p>
        </w:tc>
      </w:tr>
      <w:tr w14:paraId="5BCB9FCC">
        <w:tc>
          <w:tcPr>
            <w:tcW w:w="4000" w:type="dxa"/>
            <w:tcBorders>
              <w:top w:val="nil"/>
              <w:left w:val="nil"/>
              <w:bottom w:val="nil"/>
              <w:right w:val="nil"/>
            </w:tcBorders>
            <w:tcMar>
              <w:top w:w="40" w:type="dxa"/>
              <w:left w:w="70" w:type="dxa"/>
              <w:bottom w:w="40" w:type="dxa"/>
              <w:right w:w="70" w:type="dxa"/>
            </w:tcMar>
          </w:tcPr>
          <w:p w14:paraId="14C0FA03">
            <w:pPr>
              <w:spacing w:line="220" w:lineRule="auto"/>
              <w:jc w:val="left"/>
            </w:pPr>
            <w:r>
              <w:rPr>
                <w:b w:val="0"/>
                <w:bCs w:val="0"/>
                <w:sz w:val="20"/>
                <w:szCs w:val="20"/>
              </w:rPr>
              <w:t>Any vasopressor</w:t>
            </w:r>
          </w:p>
        </w:tc>
        <w:tc>
          <w:tcPr>
            <w:tcW w:w="3360" w:type="dxa"/>
            <w:tcBorders>
              <w:top w:val="nil"/>
              <w:left w:val="nil"/>
              <w:bottom w:val="nil"/>
              <w:right w:val="nil"/>
            </w:tcBorders>
            <w:tcMar>
              <w:top w:w="40" w:type="dxa"/>
              <w:left w:w="70" w:type="dxa"/>
              <w:bottom w:w="40" w:type="dxa"/>
              <w:right w:w="70" w:type="dxa"/>
            </w:tcMar>
          </w:tcPr>
          <w:p w14:paraId="2020D3B3">
            <w:pPr>
              <w:spacing w:line="220" w:lineRule="auto"/>
              <w:jc w:val="center"/>
            </w:pPr>
            <w:r>
              <w:rPr>
                <w:b w:val="0"/>
                <w:bCs w:val="0"/>
                <w:sz w:val="20"/>
                <w:szCs w:val="20"/>
              </w:rPr>
              <w:t>1.15 (1.02–1.29)</w:t>
            </w:r>
          </w:p>
        </w:tc>
        <w:tc>
          <w:tcPr>
            <w:tcW w:w="2000" w:type="dxa"/>
            <w:tcBorders>
              <w:top w:val="nil"/>
              <w:left w:val="nil"/>
              <w:bottom w:val="nil"/>
              <w:right w:val="nil"/>
            </w:tcBorders>
            <w:tcMar>
              <w:top w:w="40" w:type="dxa"/>
              <w:left w:w="70" w:type="dxa"/>
              <w:bottom w:w="40" w:type="dxa"/>
              <w:right w:w="70" w:type="dxa"/>
            </w:tcMar>
          </w:tcPr>
          <w:p w14:paraId="42FCCD3B">
            <w:pPr>
              <w:spacing w:line="220" w:lineRule="auto"/>
              <w:jc w:val="center"/>
            </w:pPr>
            <w:r>
              <w:rPr>
                <w:b w:val="0"/>
                <w:bCs w:val="0"/>
                <w:sz w:val="20"/>
                <w:szCs w:val="20"/>
              </w:rPr>
              <w:t>0.025</w:t>
            </w:r>
          </w:p>
        </w:tc>
      </w:tr>
      <w:tr w14:paraId="5BA1373C">
        <w:tc>
          <w:tcPr>
            <w:tcW w:w="4000" w:type="dxa"/>
            <w:tcBorders>
              <w:top w:val="nil"/>
              <w:left w:val="nil"/>
              <w:bottom w:val="single" w:color="000000" w:sz="8" w:space="0"/>
              <w:right w:val="nil"/>
            </w:tcBorders>
            <w:tcMar>
              <w:top w:w="40" w:type="dxa"/>
              <w:left w:w="70" w:type="dxa"/>
              <w:bottom w:w="40" w:type="dxa"/>
              <w:right w:w="70" w:type="dxa"/>
            </w:tcMar>
          </w:tcPr>
          <w:p w14:paraId="18D85844">
            <w:pPr>
              <w:spacing w:line="220" w:lineRule="auto"/>
              <w:jc w:val="left"/>
            </w:pPr>
            <w:r>
              <w:rPr>
                <w:b w:val="0"/>
                <w:bCs w:val="0"/>
                <w:sz w:val="20"/>
                <w:szCs w:val="20"/>
              </w:rPr>
              <w:t>KDIGO AKI stage (per stage)</w:t>
            </w:r>
          </w:p>
        </w:tc>
        <w:tc>
          <w:tcPr>
            <w:tcW w:w="3360" w:type="dxa"/>
            <w:tcBorders>
              <w:top w:val="nil"/>
              <w:left w:val="nil"/>
              <w:bottom w:val="single" w:color="000000" w:sz="8" w:space="0"/>
              <w:right w:val="nil"/>
            </w:tcBorders>
            <w:tcMar>
              <w:top w:w="40" w:type="dxa"/>
              <w:left w:w="70" w:type="dxa"/>
              <w:bottom w:w="40" w:type="dxa"/>
              <w:right w:w="70" w:type="dxa"/>
            </w:tcMar>
          </w:tcPr>
          <w:p w14:paraId="580C106F">
            <w:pPr>
              <w:spacing w:line="220" w:lineRule="auto"/>
              <w:jc w:val="center"/>
            </w:pPr>
            <w:r>
              <w:rPr>
                <w:b w:val="0"/>
                <w:bCs w:val="0"/>
                <w:sz w:val="20"/>
                <w:szCs w:val="20"/>
              </w:rPr>
              <w:t>1.31 (1.24–1.38)</w:t>
            </w:r>
          </w:p>
        </w:tc>
        <w:tc>
          <w:tcPr>
            <w:tcW w:w="2000" w:type="dxa"/>
            <w:tcBorders>
              <w:top w:val="nil"/>
              <w:left w:val="nil"/>
              <w:bottom w:val="single" w:color="000000" w:sz="8" w:space="0"/>
              <w:right w:val="nil"/>
            </w:tcBorders>
            <w:tcMar>
              <w:top w:w="40" w:type="dxa"/>
              <w:left w:w="70" w:type="dxa"/>
              <w:bottom w:w="40" w:type="dxa"/>
              <w:right w:w="70" w:type="dxa"/>
            </w:tcMar>
          </w:tcPr>
          <w:p w14:paraId="26E887D3">
            <w:pPr>
              <w:spacing w:line="220" w:lineRule="auto"/>
              <w:jc w:val="center"/>
            </w:pPr>
            <w:r>
              <w:rPr>
                <w:b w:val="0"/>
                <w:bCs w:val="0"/>
                <w:sz w:val="20"/>
                <w:szCs w:val="20"/>
              </w:rPr>
              <w:t>&lt;0.001</w:t>
            </w:r>
          </w:p>
        </w:tc>
      </w:tr>
    </w:tbl>
    <w:p w14:paraId="20002A53">
      <w:pPr>
        <w:spacing w:before="40" w:after="160" w:line="240" w:lineRule="auto"/>
        <w:jc w:val="left"/>
      </w:pPr>
      <w:r>
        <w:rPr>
          <w:i/>
          <w:iCs/>
          <w:sz w:val="20"/>
          <w:szCs w:val="20"/>
        </w:rPr>
        <w:t>Odds ratios (OR) with 95% confidence intervals (CI) from a single logistic-regression model containing all listed terms; LVEF was entered as categories (reference, 50–59%). Twenty-eight-day mortality was counted from the qualifying echocardiogram. P values below 0.001 are shown as &lt;0.001. The LVEF category estimates are identical to those in Table 2 (same model) and are shown here together with the covariate estimates; the corresponding crude and partially adjusted estimates are given in Table 3. LVEF, left ventricular ejection fraction; SOFA, Sequential Organ Failure Assessment; KDIGO, Kidney Disease: Improving Global Outcomes; AKI, acute kidney injury.</w:t>
      </w:r>
    </w:p>
    <w:p w14:paraId="1A448711">
      <w:pPr>
        <w:spacing w:before="160" w:after="80"/>
        <w:rPr>
          <w:b/>
          <w:bCs/>
          <w:sz w:val="20"/>
          <w:szCs w:val="20"/>
        </w:rPr>
      </w:pPr>
    </w:p>
    <w:p w14:paraId="240252F7">
      <w:pPr>
        <w:spacing w:before="160" w:after="80"/>
        <w:rPr>
          <w:b/>
          <w:bCs/>
          <w:sz w:val="20"/>
          <w:szCs w:val="20"/>
        </w:rPr>
      </w:pPr>
    </w:p>
    <w:p w14:paraId="20002A8A">
      <w:pPr>
        <w:spacing w:before="160" w:after="80"/>
      </w:pPr>
      <w:r>
        <w:rPr>
          <w:b/>
          <w:bCs/>
          <w:sz w:val="20"/>
          <w:szCs w:val="20"/>
        </w:rPr>
        <w:t xml:space="preserve">Table S3. </w:t>
      </w:r>
      <w:r>
        <w:rPr>
          <w:sz w:val="20"/>
          <w:szCs w:val="20"/>
        </w:rPr>
        <w:t>Sensitivity analyses for the non-linear association between LVEF and 28-day mortality. The odds ratios for the depressed (&lt;30%) and hyperdynamic (≥70%) strata in this table are shown graphically in Fig. 3.</w:t>
      </w: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3160"/>
        <w:gridCol w:w="1200"/>
        <w:gridCol w:w="1300"/>
        <w:gridCol w:w="1850"/>
        <w:gridCol w:w="1850"/>
      </w:tblGrid>
      <w:tr w14:paraId="20002BD4">
        <w:trPr>
          <w:tblHeader/>
        </w:trPr>
        <w:tc>
          <w:tcPr>
            <w:tcW w:w="3160" w:type="dxa"/>
            <w:tcBorders>
              <w:top w:val="single" w:color="000000" w:sz="8" w:space="0"/>
              <w:left w:val="nil"/>
              <w:bottom w:val="single" w:color="000000" w:sz="4" w:space="0"/>
              <w:right w:val="nil"/>
            </w:tcBorders>
            <w:tcMar>
              <w:top w:w="40" w:type="dxa"/>
              <w:left w:w="40" w:type="dxa"/>
              <w:bottom w:w="40" w:type="dxa"/>
              <w:right w:w="40" w:type="dxa"/>
            </w:tcMar>
          </w:tcPr>
          <w:p w14:paraId="20002AC1">
            <w:pPr>
              <w:spacing w:line="220" w:lineRule="auto"/>
              <w:jc w:val="left"/>
            </w:pPr>
            <w:r>
              <w:rPr>
                <w:b/>
                <w:bCs/>
                <w:sz w:val="18"/>
                <w:szCs w:val="18"/>
              </w:rPr>
              <w:t>Analysis</w:t>
            </w:r>
          </w:p>
        </w:tc>
        <w:tc>
          <w:tcPr>
            <w:tcW w:w="1200" w:type="dxa"/>
            <w:tcBorders>
              <w:top w:val="single" w:color="000000" w:sz="8" w:space="0"/>
              <w:left w:val="nil"/>
              <w:bottom w:val="single" w:color="000000" w:sz="4" w:space="0"/>
              <w:right w:val="nil"/>
            </w:tcBorders>
            <w:tcMar>
              <w:top w:w="40" w:type="dxa"/>
              <w:left w:w="40" w:type="dxa"/>
              <w:bottom w:w="40" w:type="dxa"/>
              <w:right w:w="40" w:type="dxa"/>
            </w:tcMar>
          </w:tcPr>
          <w:p w14:paraId="20002AF8">
            <w:pPr>
              <w:spacing w:line="220" w:lineRule="auto"/>
              <w:jc w:val="center"/>
            </w:pPr>
            <w:r>
              <w:rPr>
                <w:b/>
                <w:bCs/>
                <w:sz w:val="18"/>
                <w:szCs w:val="18"/>
              </w:rPr>
              <w:t>Admissions, n</w:t>
            </w:r>
          </w:p>
        </w:tc>
        <w:tc>
          <w:tcPr>
            <w:tcW w:w="1300" w:type="dxa"/>
            <w:tcBorders>
              <w:top w:val="single" w:color="000000" w:sz="8" w:space="0"/>
              <w:left w:val="nil"/>
              <w:bottom w:val="single" w:color="000000" w:sz="4" w:space="0"/>
              <w:right w:val="nil"/>
            </w:tcBorders>
            <w:tcMar>
              <w:top w:w="40" w:type="dxa"/>
              <w:left w:w="40" w:type="dxa"/>
              <w:bottom w:w="40" w:type="dxa"/>
              <w:right w:w="40" w:type="dxa"/>
            </w:tcMar>
          </w:tcPr>
          <w:p w14:paraId="20002B2F">
            <w:pPr>
              <w:spacing w:line="220" w:lineRule="auto"/>
              <w:jc w:val="center"/>
            </w:pPr>
            <w:r>
              <w:rPr>
                <w:b/>
                <w:bCs/>
                <w:sz w:val="18"/>
                <w:szCs w:val="18"/>
              </w:rPr>
              <w:t>P, non-linearity</w:t>
            </w:r>
          </w:p>
        </w:tc>
        <w:tc>
          <w:tcPr>
            <w:tcW w:w="1850" w:type="dxa"/>
            <w:tcBorders>
              <w:top w:val="single" w:color="000000" w:sz="8" w:space="0"/>
              <w:left w:val="nil"/>
              <w:bottom w:val="single" w:color="000000" w:sz="4" w:space="0"/>
              <w:right w:val="nil"/>
            </w:tcBorders>
            <w:tcMar>
              <w:top w:w="40" w:type="dxa"/>
              <w:left w:w="40" w:type="dxa"/>
              <w:bottom w:w="40" w:type="dxa"/>
              <w:right w:w="40" w:type="dxa"/>
            </w:tcMar>
          </w:tcPr>
          <w:p w14:paraId="20002B66">
            <w:pPr>
              <w:spacing w:line="220" w:lineRule="auto"/>
              <w:jc w:val="center"/>
            </w:pPr>
            <w:r>
              <w:rPr>
                <w:b/>
                <w:bCs/>
                <w:sz w:val="18"/>
                <w:szCs w:val="18"/>
              </w:rPr>
              <w:t>LVEF &lt;30%, OR (95% CI)</w:t>
            </w:r>
          </w:p>
        </w:tc>
        <w:tc>
          <w:tcPr>
            <w:tcW w:w="1850" w:type="dxa"/>
            <w:tcBorders>
              <w:top w:val="single" w:color="000000" w:sz="8" w:space="0"/>
              <w:left w:val="nil"/>
              <w:bottom w:val="single" w:color="000000" w:sz="4" w:space="0"/>
              <w:right w:val="nil"/>
            </w:tcBorders>
            <w:tcMar>
              <w:top w:w="40" w:type="dxa"/>
              <w:left w:w="40" w:type="dxa"/>
              <w:bottom w:w="40" w:type="dxa"/>
              <w:right w:w="40" w:type="dxa"/>
            </w:tcMar>
          </w:tcPr>
          <w:p w14:paraId="20002B9D">
            <w:pPr>
              <w:spacing w:line="220" w:lineRule="auto"/>
              <w:jc w:val="center"/>
            </w:pPr>
            <w:r>
              <w:rPr>
                <w:b/>
                <w:bCs/>
                <w:sz w:val="18"/>
                <w:szCs w:val="18"/>
              </w:rPr>
              <w:t>LVEF ≥70%, OR (95% CI)</w:t>
            </w:r>
          </w:p>
        </w:tc>
      </w:tr>
      <w:tr w14:paraId="20002D1E">
        <w:tc>
          <w:tcPr>
            <w:tcW w:w="3160" w:type="dxa"/>
            <w:tcBorders>
              <w:top w:val="nil"/>
              <w:left w:val="nil"/>
              <w:bottom w:val="nil"/>
              <w:right w:val="nil"/>
            </w:tcBorders>
            <w:tcMar>
              <w:top w:w="40" w:type="dxa"/>
              <w:left w:w="40" w:type="dxa"/>
              <w:bottom w:w="40" w:type="dxa"/>
              <w:right w:w="40" w:type="dxa"/>
            </w:tcMar>
          </w:tcPr>
          <w:p w14:paraId="20002C0B">
            <w:pPr>
              <w:spacing w:line="220" w:lineRule="auto"/>
              <w:jc w:val="left"/>
            </w:pPr>
            <w:r>
              <w:rPr>
                <w:sz w:val="18"/>
                <w:szCs w:val="18"/>
              </w:rPr>
              <w:t>Primary (full cohort)</w:t>
            </w:r>
          </w:p>
        </w:tc>
        <w:tc>
          <w:tcPr>
            <w:tcW w:w="1200" w:type="dxa"/>
            <w:tcBorders>
              <w:top w:val="nil"/>
              <w:left w:val="nil"/>
              <w:bottom w:val="nil"/>
              <w:right w:val="nil"/>
            </w:tcBorders>
            <w:tcMar>
              <w:top w:w="40" w:type="dxa"/>
              <w:left w:w="40" w:type="dxa"/>
              <w:bottom w:w="40" w:type="dxa"/>
              <w:right w:w="40" w:type="dxa"/>
            </w:tcMar>
          </w:tcPr>
          <w:p w14:paraId="20002C42">
            <w:pPr>
              <w:spacing w:line="220" w:lineRule="auto"/>
              <w:jc w:val="center"/>
            </w:pPr>
            <w:r>
              <w:rPr>
                <w:sz w:val="18"/>
                <w:szCs w:val="18"/>
              </w:rPr>
              <w:t>8792</w:t>
            </w:r>
          </w:p>
        </w:tc>
        <w:tc>
          <w:tcPr>
            <w:tcW w:w="1300" w:type="dxa"/>
            <w:tcBorders>
              <w:top w:val="nil"/>
              <w:left w:val="nil"/>
              <w:bottom w:val="nil"/>
              <w:right w:val="nil"/>
            </w:tcBorders>
            <w:tcMar>
              <w:top w:w="40" w:type="dxa"/>
              <w:left w:w="40" w:type="dxa"/>
              <w:bottom w:w="40" w:type="dxa"/>
              <w:right w:w="40" w:type="dxa"/>
            </w:tcMar>
          </w:tcPr>
          <w:p w14:paraId="20002C79">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2CB0">
            <w:pPr>
              <w:spacing w:line="220" w:lineRule="auto"/>
              <w:jc w:val="center"/>
            </w:pPr>
            <w:r>
              <w:rPr>
                <w:sz w:val="18"/>
                <w:szCs w:val="18"/>
              </w:rPr>
              <w:t>1.41 (1.18–1.68)</w:t>
            </w:r>
          </w:p>
        </w:tc>
        <w:tc>
          <w:tcPr>
            <w:tcW w:w="1850" w:type="dxa"/>
            <w:tcBorders>
              <w:top w:val="nil"/>
              <w:left w:val="nil"/>
              <w:bottom w:val="nil"/>
              <w:right w:val="nil"/>
            </w:tcBorders>
            <w:tcMar>
              <w:top w:w="40" w:type="dxa"/>
              <w:left w:w="40" w:type="dxa"/>
              <w:bottom w:w="40" w:type="dxa"/>
              <w:right w:w="40" w:type="dxa"/>
            </w:tcMar>
          </w:tcPr>
          <w:p w14:paraId="20002CE7">
            <w:pPr>
              <w:spacing w:line="220" w:lineRule="auto"/>
              <w:jc w:val="center"/>
            </w:pPr>
            <w:r>
              <w:rPr>
                <w:sz w:val="18"/>
                <w:szCs w:val="18"/>
              </w:rPr>
              <w:t>1.41 (1.20–1.66)</w:t>
            </w:r>
          </w:p>
        </w:tc>
      </w:tr>
      <w:tr w14:paraId="20002E68">
        <w:tc>
          <w:tcPr>
            <w:tcW w:w="3160" w:type="dxa"/>
            <w:tcBorders>
              <w:top w:val="nil"/>
              <w:left w:val="nil"/>
              <w:bottom w:val="nil"/>
              <w:right w:val="nil"/>
            </w:tcBorders>
            <w:tcMar>
              <w:top w:w="40" w:type="dxa"/>
              <w:left w:w="40" w:type="dxa"/>
              <w:bottom w:w="40" w:type="dxa"/>
              <w:right w:w="40" w:type="dxa"/>
            </w:tcMar>
          </w:tcPr>
          <w:p w14:paraId="20002D55">
            <w:pPr>
              <w:spacing w:line="220" w:lineRule="auto"/>
              <w:jc w:val="left"/>
            </w:pPr>
            <w:r>
              <w:rPr>
                <w:sz w:val="18"/>
                <w:szCs w:val="18"/>
              </w:rPr>
              <w:t>Excluding documented cardiac disease</w:t>
            </w:r>
          </w:p>
        </w:tc>
        <w:tc>
          <w:tcPr>
            <w:tcW w:w="1200" w:type="dxa"/>
            <w:tcBorders>
              <w:top w:val="nil"/>
              <w:left w:val="nil"/>
              <w:bottom w:val="nil"/>
              <w:right w:val="nil"/>
            </w:tcBorders>
            <w:tcMar>
              <w:top w:w="40" w:type="dxa"/>
              <w:left w:w="40" w:type="dxa"/>
              <w:bottom w:w="40" w:type="dxa"/>
              <w:right w:w="40" w:type="dxa"/>
            </w:tcMar>
          </w:tcPr>
          <w:p w14:paraId="20002D8C">
            <w:pPr>
              <w:spacing w:line="220" w:lineRule="auto"/>
              <w:jc w:val="center"/>
            </w:pPr>
            <w:r>
              <w:rPr>
                <w:sz w:val="18"/>
                <w:szCs w:val="18"/>
              </w:rPr>
              <w:t>2997</w:t>
            </w:r>
          </w:p>
        </w:tc>
        <w:tc>
          <w:tcPr>
            <w:tcW w:w="1300" w:type="dxa"/>
            <w:tcBorders>
              <w:top w:val="nil"/>
              <w:left w:val="nil"/>
              <w:bottom w:val="nil"/>
              <w:right w:val="nil"/>
            </w:tcBorders>
            <w:tcMar>
              <w:top w:w="40" w:type="dxa"/>
              <w:left w:w="40" w:type="dxa"/>
              <w:bottom w:w="40" w:type="dxa"/>
              <w:right w:w="40" w:type="dxa"/>
            </w:tcMar>
          </w:tcPr>
          <w:p w14:paraId="20002DC3">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2DFA">
            <w:pPr>
              <w:spacing w:line="220" w:lineRule="auto"/>
              <w:jc w:val="center"/>
            </w:pPr>
            <w:r>
              <w:rPr>
                <w:sz w:val="18"/>
                <w:szCs w:val="18"/>
              </w:rPr>
              <w:t>3.44 (1.77–6.69)</w:t>
            </w:r>
          </w:p>
        </w:tc>
        <w:tc>
          <w:tcPr>
            <w:tcW w:w="1850" w:type="dxa"/>
            <w:tcBorders>
              <w:top w:val="nil"/>
              <w:left w:val="nil"/>
              <w:bottom w:val="nil"/>
              <w:right w:val="nil"/>
            </w:tcBorders>
            <w:tcMar>
              <w:top w:w="40" w:type="dxa"/>
              <w:left w:w="40" w:type="dxa"/>
              <w:bottom w:w="40" w:type="dxa"/>
              <w:right w:w="40" w:type="dxa"/>
            </w:tcMar>
          </w:tcPr>
          <w:p w14:paraId="20002E31">
            <w:pPr>
              <w:spacing w:line="220" w:lineRule="auto"/>
              <w:jc w:val="center"/>
            </w:pPr>
            <w:r>
              <w:rPr>
                <w:sz w:val="18"/>
                <w:szCs w:val="18"/>
              </w:rPr>
              <w:t>1.36 (1.07–1.74)</w:t>
            </w:r>
          </w:p>
        </w:tc>
      </w:tr>
      <w:tr w14:paraId="20002FB2">
        <w:tc>
          <w:tcPr>
            <w:tcW w:w="3160" w:type="dxa"/>
            <w:tcBorders>
              <w:top w:val="nil"/>
              <w:left w:val="nil"/>
              <w:bottom w:val="nil"/>
              <w:right w:val="nil"/>
            </w:tcBorders>
            <w:tcMar>
              <w:top w:w="40" w:type="dxa"/>
              <w:left w:w="40" w:type="dxa"/>
              <w:bottom w:w="40" w:type="dxa"/>
              <w:right w:w="40" w:type="dxa"/>
            </w:tcMar>
          </w:tcPr>
          <w:p w14:paraId="20002E9F">
            <w:pPr>
              <w:spacing w:line="220" w:lineRule="auto"/>
              <w:jc w:val="left"/>
            </w:pPr>
            <w:r>
              <w:rPr>
                <w:sz w:val="18"/>
                <w:szCs w:val="18"/>
              </w:rPr>
              <w:t>Excluding antecedent cardiac disease</w:t>
            </w:r>
          </w:p>
        </w:tc>
        <w:tc>
          <w:tcPr>
            <w:tcW w:w="1200" w:type="dxa"/>
            <w:tcBorders>
              <w:top w:val="nil"/>
              <w:left w:val="nil"/>
              <w:bottom w:val="nil"/>
              <w:right w:val="nil"/>
            </w:tcBorders>
            <w:tcMar>
              <w:top w:w="40" w:type="dxa"/>
              <w:left w:w="40" w:type="dxa"/>
              <w:bottom w:w="40" w:type="dxa"/>
              <w:right w:w="40" w:type="dxa"/>
            </w:tcMar>
          </w:tcPr>
          <w:p w14:paraId="20002ED6">
            <w:pPr>
              <w:spacing w:line="220" w:lineRule="auto"/>
              <w:jc w:val="center"/>
            </w:pPr>
            <w:r>
              <w:rPr>
                <w:sz w:val="18"/>
                <w:szCs w:val="18"/>
              </w:rPr>
              <w:t>1639</w:t>
            </w:r>
          </w:p>
        </w:tc>
        <w:tc>
          <w:tcPr>
            <w:tcW w:w="1300" w:type="dxa"/>
            <w:tcBorders>
              <w:top w:val="nil"/>
              <w:left w:val="nil"/>
              <w:bottom w:val="nil"/>
              <w:right w:val="nil"/>
            </w:tcBorders>
            <w:tcMar>
              <w:top w:w="40" w:type="dxa"/>
              <w:left w:w="40" w:type="dxa"/>
              <w:bottom w:w="40" w:type="dxa"/>
              <w:right w:w="40" w:type="dxa"/>
            </w:tcMar>
          </w:tcPr>
          <w:p w14:paraId="20002F0D">
            <w:pPr>
              <w:spacing w:line="220" w:lineRule="auto"/>
              <w:jc w:val="center"/>
            </w:pPr>
            <w:r>
              <w:rPr>
                <w:sz w:val="18"/>
                <w:szCs w:val="18"/>
              </w:rPr>
              <w:t>0.005</w:t>
            </w:r>
          </w:p>
        </w:tc>
        <w:tc>
          <w:tcPr>
            <w:tcW w:w="1850" w:type="dxa"/>
            <w:tcBorders>
              <w:top w:val="nil"/>
              <w:left w:val="nil"/>
              <w:bottom w:val="nil"/>
              <w:right w:val="nil"/>
            </w:tcBorders>
            <w:tcMar>
              <w:top w:w="40" w:type="dxa"/>
              <w:left w:w="40" w:type="dxa"/>
              <w:bottom w:w="40" w:type="dxa"/>
              <w:right w:w="40" w:type="dxa"/>
            </w:tcMar>
          </w:tcPr>
          <w:p w14:paraId="20002F44">
            <w:pPr>
              <w:spacing w:line="220" w:lineRule="auto"/>
              <w:jc w:val="center"/>
            </w:pPr>
            <w:r>
              <w:rPr>
                <w:sz w:val="18"/>
                <w:szCs w:val="18"/>
              </w:rPr>
              <w:t>1.42 (0.84–2.39)</w:t>
            </w:r>
          </w:p>
        </w:tc>
        <w:tc>
          <w:tcPr>
            <w:tcW w:w="1850" w:type="dxa"/>
            <w:tcBorders>
              <w:top w:val="nil"/>
              <w:left w:val="nil"/>
              <w:bottom w:val="nil"/>
              <w:right w:val="nil"/>
            </w:tcBorders>
            <w:tcMar>
              <w:top w:w="40" w:type="dxa"/>
              <w:left w:w="40" w:type="dxa"/>
              <w:bottom w:w="40" w:type="dxa"/>
              <w:right w:w="40" w:type="dxa"/>
            </w:tcMar>
          </w:tcPr>
          <w:p w14:paraId="20002F7B">
            <w:pPr>
              <w:spacing w:line="220" w:lineRule="auto"/>
              <w:jc w:val="center"/>
            </w:pPr>
            <w:r>
              <w:rPr>
                <w:sz w:val="18"/>
                <w:szCs w:val="18"/>
              </w:rPr>
              <w:t>1.36 (0.98–1.90)</w:t>
            </w:r>
          </w:p>
        </w:tc>
      </w:tr>
      <w:tr w14:paraId="200030FC">
        <w:tc>
          <w:tcPr>
            <w:tcW w:w="3160" w:type="dxa"/>
            <w:tcBorders>
              <w:top w:val="nil"/>
              <w:left w:val="nil"/>
              <w:bottom w:val="nil"/>
              <w:right w:val="nil"/>
            </w:tcBorders>
            <w:tcMar>
              <w:top w:w="40" w:type="dxa"/>
              <w:left w:w="40" w:type="dxa"/>
              <w:bottom w:w="40" w:type="dxa"/>
              <w:right w:w="40" w:type="dxa"/>
            </w:tcMar>
          </w:tcPr>
          <w:p w14:paraId="20002FE9">
            <w:pPr>
              <w:spacing w:line="220" w:lineRule="auto"/>
              <w:jc w:val="left"/>
            </w:pPr>
            <w:r>
              <w:rPr>
                <w:sz w:val="18"/>
                <w:szCs w:val="18"/>
              </w:rPr>
              <w:t>Echocardiogram within 24 h</w:t>
            </w:r>
          </w:p>
        </w:tc>
        <w:tc>
          <w:tcPr>
            <w:tcW w:w="1200" w:type="dxa"/>
            <w:tcBorders>
              <w:top w:val="nil"/>
              <w:left w:val="nil"/>
              <w:bottom w:val="nil"/>
              <w:right w:val="nil"/>
            </w:tcBorders>
            <w:tcMar>
              <w:top w:w="40" w:type="dxa"/>
              <w:left w:w="40" w:type="dxa"/>
              <w:bottom w:w="40" w:type="dxa"/>
              <w:right w:w="40" w:type="dxa"/>
            </w:tcMar>
          </w:tcPr>
          <w:p w14:paraId="20003020">
            <w:pPr>
              <w:spacing w:line="220" w:lineRule="auto"/>
              <w:jc w:val="center"/>
            </w:pPr>
            <w:r>
              <w:rPr>
                <w:sz w:val="18"/>
                <w:szCs w:val="18"/>
              </w:rPr>
              <w:t>5656</w:t>
            </w:r>
          </w:p>
        </w:tc>
        <w:tc>
          <w:tcPr>
            <w:tcW w:w="1300" w:type="dxa"/>
            <w:tcBorders>
              <w:top w:val="nil"/>
              <w:left w:val="nil"/>
              <w:bottom w:val="nil"/>
              <w:right w:val="nil"/>
            </w:tcBorders>
            <w:tcMar>
              <w:top w:w="40" w:type="dxa"/>
              <w:left w:w="40" w:type="dxa"/>
              <w:bottom w:w="40" w:type="dxa"/>
              <w:right w:w="40" w:type="dxa"/>
            </w:tcMar>
          </w:tcPr>
          <w:p w14:paraId="20003057">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08E">
            <w:pPr>
              <w:spacing w:line="220" w:lineRule="auto"/>
              <w:jc w:val="center"/>
            </w:pPr>
            <w:r>
              <w:rPr>
                <w:sz w:val="18"/>
                <w:szCs w:val="18"/>
              </w:rPr>
              <w:t>1.35 (1.09–1.66)</w:t>
            </w:r>
          </w:p>
        </w:tc>
        <w:tc>
          <w:tcPr>
            <w:tcW w:w="1850" w:type="dxa"/>
            <w:tcBorders>
              <w:top w:val="nil"/>
              <w:left w:val="nil"/>
              <w:bottom w:val="nil"/>
              <w:right w:val="nil"/>
            </w:tcBorders>
            <w:tcMar>
              <w:top w:w="40" w:type="dxa"/>
              <w:left w:w="40" w:type="dxa"/>
              <w:bottom w:w="40" w:type="dxa"/>
              <w:right w:w="40" w:type="dxa"/>
            </w:tcMar>
          </w:tcPr>
          <w:p w14:paraId="200030C5">
            <w:pPr>
              <w:spacing w:line="220" w:lineRule="auto"/>
              <w:jc w:val="center"/>
            </w:pPr>
            <w:r>
              <w:rPr>
                <w:sz w:val="18"/>
                <w:szCs w:val="18"/>
              </w:rPr>
              <w:t>1.50 (1.23–1.84)</w:t>
            </w:r>
          </w:p>
        </w:tc>
      </w:tr>
      <w:tr w14:paraId="20003246">
        <w:tc>
          <w:tcPr>
            <w:tcW w:w="3160" w:type="dxa"/>
            <w:tcBorders>
              <w:top w:val="nil"/>
              <w:left w:val="nil"/>
              <w:bottom w:val="nil"/>
              <w:right w:val="nil"/>
            </w:tcBorders>
            <w:tcMar>
              <w:top w:w="40" w:type="dxa"/>
              <w:left w:w="40" w:type="dxa"/>
              <w:bottom w:w="40" w:type="dxa"/>
              <w:right w:w="40" w:type="dxa"/>
            </w:tcMar>
          </w:tcPr>
          <w:p w14:paraId="20003133">
            <w:pPr>
              <w:spacing w:line="220" w:lineRule="auto"/>
              <w:jc w:val="left"/>
            </w:pPr>
            <w:r>
              <w:rPr>
                <w:sz w:val="18"/>
                <w:szCs w:val="18"/>
              </w:rPr>
              <w:t>Excluding open-ended LVEF coding</w:t>
            </w:r>
          </w:p>
        </w:tc>
        <w:tc>
          <w:tcPr>
            <w:tcW w:w="1200" w:type="dxa"/>
            <w:tcBorders>
              <w:top w:val="nil"/>
              <w:left w:val="nil"/>
              <w:bottom w:val="nil"/>
              <w:right w:val="nil"/>
            </w:tcBorders>
            <w:tcMar>
              <w:top w:w="40" w:type="dxa"/>
              <w:left w:w="40" w:type="dxa"/>
              <w:bottom w:w="40" w:type="dxa"/>
              <w:right w:w="40" w:type="dxa"/>
            </w:tcMar>
          </w:tcPr>
          <w:p w14:paraId="2000316A">
            <w:pPr>
              <w:spacing w:line="220" w:lineRule="auto"/>
              <w:jc w:val="center"/>
            </w:pPr>
            <w:r>
              <w:rPr>
                <w:sz w:val="18"/>
                <w:szCs w:val="18"/>
              </w:rPr>
              <w:t>6488</w:t>
            </w:r>
          </w:p>
        </w:tc>
        <w:tc>
          <w:tcPr>
            <w:tcW w:w="1300" w:type="dxa"/>
            <w:tcBorders>
              <w:top w:val="nil"/>
              <w:left w:val="nil"/>
              <w:bottom w:val="nil"/>
              <w:right w:val="nil"/>
            </w:tcBorders>
            <w:tcMar>
              <w:top w:w="40" w:type="dxa"/>
              <w:left w:w="40" w:type="dxa"/>
              <w:bottom w:w="40" w:type="dxa"/>
              <w:right w:w="40" w:type="dxa"/>
            </w:tcMar>
          </w:tcPr>
          <w:p w14:paraId="200031A1">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1D8">
            <w:pPr>
              <w:spacing w:line="220" w:lineRule="auto"/>
              <w:jc w:val="center"/>
            </w:pPr>
            <w:r>
              <w:rPr>
                <w:sz w:val="18"/>
                <w:szCs w:val="18"/>
              </w:rPr>
              <w:t>1.51 (1.25–1.84)</w:t>
            </w:r>
          </w:p>
        </w:tc>
        <w:tc>
          <w:tcPr>
            <w:tcW w:w="1850" w:type="dxa"/>
            <w:tcBorders>
              <w:top w:val="nil"/>
              <w:left w:val="nil"/>
              <w:bottom w:val="nil"/>
              <w:right w:val="nil"/>
            </w:tcBorders>
            <w:tcMar>
              <w:top w:w="40" w:type="dxa"/>
              <w:left w:w="40" w:type="dxa"/>
              <w:bottom w:w="40" w:type="dxa"/>
              <w:right w:w="40" w:type="dxa"/>
            </w:tcMar>
          </w:tcPr>
          <w:p w14:paraId="2000320F">
            <w:pPr>
              <w:spacing w:line="220" w:lineRule="auto"/>
              <w:jc w:val="center"/>
            </w:pPr>
            <w:r>
              <w:rPr>
                <w:sz w:val="18"/>
                <w:szCs w:val="18"/>
              </w:rPr>
              <w:t>1.44 (1.17–1.76)</w:t>
            </w:r>
          </w:p>
        </w:tc>
      </w:tr>
      <w:tr w14:paraId="20003390">
        <w:tc>
          <w:tcPr>
            <w:tcW w:w="3160" w:type="dxa"/>
            <w:tcBorders>
              <w:top w:val="nil"/>
              <w:left w:val="nil"/>
              <w:bottom w:val="nil"/>
              <w:right w:val="nil"/>
            </w:tcBorders>
            <w:tcMar>
              <w:top w:w="40" w:type="dxa"/>
              <w:left w:w="40" w:type="dxa"/>
              <w:bottom w:w="40" w:type="dxa"/>
              <w:right w:w="40" w:type="dxa"/>
            </w:tcMar>
          </w:tcPr>
          <w:p w14:paraId="2000327D">
            <w:pPr>
              <w:spacing w:line="220" w:lineRule="auto"/>
              <w:jc w:val="left"/>
            </w:pPr>
            <w:r>
              <w:rPr>
                <w:sz w:val="18"/>
                <w:szCs w:val="18"/>
              </w:rPr>
              <w:t>One admission per patient</w:t>
            </w:r>
          </w:p>
        </w:tc>
        <w:tc>
          <w:tcPr>
            <w:tcW w:w="1200" w:type="dxa"/>
            <w:tcBorders>
              <w:top w:val="nil"/>
              <w:left w:val="nil"/>
              <w:bottom w:val="nil"/>
              <w:right w:val="nil"/>
            </w:tcBorders>
            <w:tcMar>
              <w:top w:w="40" w:type="dxa"/>
              <w:left w:w="40" w:type="dxa"/>
              <w:bottom w:w="40" w:type="dxa"/>
              <w:right w:w="40" w:type="dxa"/>
            </w:tcMar>
          </w:tcPr>
          <w:p w14:paraId="200032B4">
            <w:pPr>
              <w:spacing w:line="220" w:lineRule="auto"/>
              <w:jc w:val="center"/>
            </w:pPr>
            <w:r>
              <w:rPr>
                <w:sz w:val="18"/>
                <w:szCs w:val="18"/>
              </w:rPr>
              <w:t>8079</w:t>
            </w:r>
          </w:p>
        </w:tc>
        <w:tc>
          <w:tcPr>
            <w:tcW w:w="1300" w:type="dxa"/>
            <w:tcBorders>
              <w:top w:val="nil"/>
              <w:left w:val="nil"/>
              <w:bottom w:val="nil"/>
              <w:right w:val="nil"/>
            </w:tcBorders>
            <w:tcMar>
              <w:top w:w="40" w:type="dxa"/>
              <w:left w:w="40" w:type="dxa"/>
              <w:bottom w:w="40" w:type="dxa"/>
              <w:right w:w="40" w:type="dxa"/>
            </w:tcMar>
          </w:tcPr>
          <w:p w14:paraId="200032EB">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322">
            <w:pPr>
              <w:spacing w:line="220" w:lineRule="auto"/>
              <w:jc w:val="center"/>
            </w:pPr>
            <w:r>
              <w:rPr>
                <w:sz w:val="18"/>
                <w:szCs w:val="18"/>
              </w:rPr>
              <w:t>1.39 (1.16–1.66)</w:t>
            </w:r>
          </w:p>
        </w:tc>
        <w:tc>
          <w:tcPr>
            <w:tcW w:w="1850" w:type="dxa"/>
            <w:tcBorders>
              <w:top w:val="nil"/>
              <w:left w:val="nil"/>
              <w:bottom w:val="nil"/>
              <w:right w:val="nil"/>
            </w:tcBorders>
            <w:tcMar>
              <w:top w:w="40" w:type="dxa"/>
              <w:left w:w="40" w:type="dxa"/>
              <w:bottom w:w="40" w:type="dxa"/>
              <w:right w:w="40" w:type="dxa"/>
            </w:tcMar>
          </w:tcPr>
          <w:p w14:paraId="20003359">
            <w:pPr>
              <w:spacing w:line="220" w:lineRule="auto"/>
              <w:jc w:val="center"/>
            </w:pPr>
            <w:r>
              <w:rPr>
                <w:sz w:val="18"/>
                <w:szCs w:val="18"/>
              </w:rPr>
              <w:t>1.39 (1.18–1.65)</w:t>
            </w:r>
          </w:p>
        </w:tc>
      </w:tr>
      <w:tr w14:paraId="200034DA">
        <w:tc>
          <w:tcPr>
            <w:tcW w:w="3160" w:type="dxa"/>
            <w:tcBorders>
              <w:top w:val="nil"/>
              <w:left w:val="nil"/>
              <w:bottom w:val="nil"/>
              <w:right w:val="nil"/>
            </w:tcBorders>
            <w:tcMar>
              <w:top w:w="40" w:type="dxa"/>
              <w:left w:w="40" w:type="dxa"/>
              <w:bottom w:w="40" w:type="dxa"/>
              <w:right w:w="40" w:type="dxa"/>
            </w:tcMar>
          </w:tcPr>
          <w:p w14:paraId="200033C7">
            <w:pPr>
              <w:spacing w:line="220" w:lineRule="auto"/>
              <w:jc w:val="left"/>
            </w:pPr>
            <w:r>
              <w:rPr>
                <w:sz w:val="18"/>
                <w:szCs w:val="18"/>
              </w:rPr>
              <w:t>Adjusted for norepinephrine-equivalent dose</w:t>
            </w:r>
          </w:p>
        </w:tc>
        <w:tc>
          <w:tcPr>
            <w:tcW w:w="1200" w:type="dxa"/>
            <w:tcBorders>
              <w:top w:val="nil"/>
              <w:left w:val="nil"/>
              <w:bottom w:val="nil"/>
              <w:right w:val="nil"/>
            </w:tcBorders>
            <w:tcMar>
              <w:top w:w="40" w:type="dxa"/>
              <w:left w:w="40" w:type="dxa"/>
              <w:bottom w:w="40" w:type="dxa"/>
              <w:right w:w="40" w:type="dxa"/>
            </w:tcMar>
          </w:tcPr>
          <w:p w14:paraId="200033FE">
            <w:pPr>
              <w:spacing w:line="220" w:lineRule="auto"/>
              <w:jc w:val="center"/>
            </w:pPr>
            <w:r>
              <w:rPr>
                <w:sz w:val="18"/>
                <w:szCs w:val="18"/>
              </w:rPr>
              <w:t>8792</w:t>
            </w:r>
          </w:p>
        </w:tc>
        <w:tc>
          <w:tcPr>
            <w:tcW w:w="1300" w:type="dxa"/>
            <w:tcBorders>
              <w:top w:val="nil"/>
              <w:left w:val="nil"/>
              <w:bottom w:val="nil"/>
              <w:right w:val="nil"/>
            </w:tcBorders>
            <w:tcMar>
              <w:top w:w="40" w:type="dxa"/>
              <w:left w:w="40" w:type="dxa"/>
              <w:bottom w:w="40" w:type="dxa"/>
              <w:right w:w="40" w:type="dxa"/>
            </w:tcMar>
          </w:tcPr>
          <w:p w14:paraId="20003435">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46C">
            <w:pPr>
              <w:spacing w:line="220" w:lineRule="auto"/>
              <w:jc w:val="center"/>
            </w:pPr>
            <w:r>
              <w:rPr>
                <w:sz w:val="18"/>
                <w:szCs w:val="18"/>
              </w:rPr>
              <w:t>1.41 (1.18–1.68)</w:t>
            </w:r>
          </w:p>
        </w:tc>
        <w:tc>
          <w:tcPr>
            <w:tcW w:w="1850" w:type="dxa"/>
            <w:tcBorders>
              <w:top w:val="nil"/>
              <w:left w:val="nil"/>
              <w:bottom w:val="nil"/>
              <w:right w:val="nil"/>
            </w:tcBorders>
            <w:tcMar>
              <w:top w:w="40" w:type="dxa"/>
              <w:left w:w="40" w:type="dxa"/>
              <w:bottom w:w="40" w:type="dxa"/>
              <w:right w:w="40" w:type="dxa"/>
            </w:tcMar>
          </w:tcPr>
          <w:p w14:paraId="200034A3">
            <w:pPr>
              <w:spacing w:line="220" w:lineRule="auto"/>
              <w:jc w:val="center"/>
            </w:pPr>
            <w:r>
              <w:rPr>
                <w:sz w:val="18"/>
                <w:szCs w:val="18"/>
              </w:rPr>
              <w:t>1.41 (1.20–1.66)</w:t>
            </w:r>
          </w:p>
        </w:tc>
      </w:tr>
      <w:tr w14:paraId="20003624">
        <w:tc>
          <w:tcPr>
            <w:tcW w:w="3160" w:type="dxa"/>
            <w:tcBorders>
              <w:top w:val="nil"/>
              <w:left w:val="nil"/>
              <w:bottom w:val="nil"/>
              <w:right w:val="nil"/>
            </w:tcBorders>
            <w:tcMar>
              <w:top w:w="40" w:type="dxa"/>
              <w:left w:w="40" w:type="dxa"/>
              <w:bottom w:w="40" w:type="dxa"/>
              <w:right w:w="40" w:type="dxa"/>
            </w:tcMar>
          </w:tcPr>
          <w:p w14:paraId="20003511">
            <w:pPr>
              <w:spacing w:line="220" w:lineRule="auto"/>
              <w:jc w:val="left"/>
            </w:pPr>
            <w:r>
              <w:rPr>
                <w:sz w:val="18"/>
                <w:szCs w:val="18"/>
              </w:rPr>
              <w:t>Complete-case lactate (no imputation)</w:t>
            </w:r>
          </w:p>
        </w:tc>
        <w:tc>
          <w:tcPr>
            <w:tcW w:w="1200" w:type="dxa"/>
            <w:tcBorders>
              <w:top w:val="nil"/>
              <w:left w:val="nil"/>
              <w:bottom w:val="nil"/>
              <w:right w:val="nil"/>
            </w:tcBorders>
            <w:tcMar>
              <w:top w:w="40" w:type="dxa"/>
              <w:left w:w="40" w:type="dxa"/>
              <w:bottom w:w="40" w:type="dxa"/>
              <w:right w:w="40" w:type="dxa"/>
            </w:tcMar>
          </w:tcPr>
          <w:p w14:paraId="20003548">
            <w:pPr>
              <w:spacing w:line="220" w:lineRule="auto"/>
              <w:jc w:val="center"/>
            </w:pPr>
            <w:r>
              <w:rPr>
                <w:sz w:val="18"/>
                <w:szCs w:val="18"/>
              </w:rPr>
              <w:t>6683</w:t>
            </w:r>
          </w:p>
        </w:tc>
        <w:tc>
          <w:tcPr>
            <w:tcW w:w="1300" w:type="dxa"/>
            <w:tcBorders>
              <w:top w:val="nil"/>
              <w:left w:val="nil"/>
              <w:bottom w:val="nil"/>
              <w:right w:val="nil"/>
            </w:tcBorders>
            <w:tcMar>
              <w:top w:w="40" w:type="dxa"/>
              <w:left w:w="40" w:type="dxa"/>
              <w:bottom w:w="40" w:type="dxa"/>
              <w:right w:w="40" w:type="dxa"/>
            </w:tcMar>
          </w:tcPr>
          <w:p w14:paraId="2000357F">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5B6">
            <w:pPr>
              <w:spacing w:line="220" w:lineRule="auto"/>
              <w:jc w:val="center"/>
            </w:pPr>
            <w:r>
              <w:rPr>
                <w:sz w:val="18"/>
                <w:szCs w:val="18"/>
              </w:rPr>
              <w:t>1.50 (1.24–1.81)</w:t>
            </w:r>
          </w:p>
        </w:tc>
        <w:tc>
          <w:tcPr>
            <w:tcW w:w="1850" w:type="dxa"/>
            <w:tcBorders>
              <w:top w:val="nil"/>
              <w:left w:val="nil"/>
              <w:bottom w:val="nil"/>
              <w:right w:val="nil"/>
            </w:tcBorders>
            <w:tcMar>
              <w:top w:w="40" w:type="dxa"/>
              <w:left w:w="40" w:type="dxa"/>
              <w:bottom w:w="40" w:type="dxa"/>
              <w:right w:w="40" w:type="dxa"/>
            </w:tcMar>
          </w:tcPr>
          <w:p w14:paraId="200035ED">
            <w:pPr>
              <w:spacing w:line="220" w:lineRule="auto"/>
              <w:jc w:val="center"/>
            </w:pPr>
            <w:r>
              <w:rPr>
                <w:sz w:val="18"/>
                <w:szCs w:val="18"/>
              </w:rPr>
              <w:t>1.43 (1.20–1.71)</w:t>
            </w:r>
          </w:p>
        </w:tc>
      </w:tr>
      <w:tr w14:paraId="2000376E">
        <w:tc>
          <w:tcPr>
            <w:tcW w:w="3160" w:type="dxa"/>
            <w:tcBorders>
              <w:top w:val="nil"/>
              <w:left w:val="nil"/>
              <w:bottom w:val="nil"/>
              <w:right w:val="nil"/>
            </w:tcBorders>
            <w:tcMar>
              <w:top w:w="40" w:type="dxa"/>
              <w:left w:w="40" w:type="dxa"/>
              <w:bottom w:w="40" w:type="dxa"/>
              <w:right w:w="40" w:type="dxa"/>
            </w:tcMar>
          </w:tcPr>
          <w:p w14:paraId="2000365B">
            <w:pPr>
              <w:spacing w:line="220" w:lineRule="auto"/>
              <w:jc w:val="left"/>
            </w:pPr>
            <w:r>
              <w:rPr>
                <w:sz w:val="18"/>
                <w:szCs w:val="18"/>
              </w:rPr>
              <w:t>Multiple imputation for lactate</w:t>
            </w:r>
          </w:p>
        </w:tc>
        <w:tc>
          <w:tcPr>
            <w:tcW w:w="1200" w:type="dxa"/>
            <w:tcBorders>
              <w:top w:val="nil"/>
              <w:left w:val="nil"/>
              <w:bottom w:val="nil"/>
              <w:right w:val="nil"/>
            </w:tcBorders>
            <w:tcMar>
              <w:top w:w="40" w:type="dxa"/>
              <w:left w:w="40" w:type="dxa"/>
              <w:bottom w:w="40" w:type="dxa"/>
              <w:right w:w="40" w:type="dxa"/>
            </w:tcMar>
          </w:tcPr>
          <w:p w14:paraId="20003692">
            <w:pPr>
              <w:spacing w:line="220" w:lineRule="auto"/>
              <w:jc w:val="center"/>
            </w:pPr>
            <w:r>
              <w:rPr>
                <w:sz w:val="18"/>
                <w:szCs w:val="18"/>
              </w:rPr>
              <w:t>8792</w:t>
            </w:r>
          </w:p>
        </w:tc>
        <w:tc>
          <w:tcPr>
            <w:tcW w:w="1300" w:type="dxa"/>
            <w:tcBorders>
              <w:top w:val="nil"/>
              <w:left w:val="nil"/>
              <w:bottom w:val="nil"/>
              <w:right w:val="nil"/>
            </w:tcBorders>
            <w:tcMar>
              <w:top w:w="40" w:type="dxa"/>
              <w:left w:w="40" w:type="dxa"/>
              <w:bottom w:w="40" w:type="dxa"/>
              <w:right w:w="40" w:type="dxa"/>
            </w:tcMar>
          </w:tcPr>
          <w:p w14:paraId="200036C9">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700">
            <w:pPr>
              <w:spacing w:line="220" w:lineRule="auto"/>
              <w:jc w:val="center"/>
            </w:pPr>
            <w:r>
              <w:rPr>
                <w:sz w:val="18"/>
                <w:szCs w:val="18"/>
              </w:rPr>
              <w:t>1.38 (1.16–1.65)</w:t>
            </w:r>
          </w:p>
        </w:tc>
        <w:tc>
          <w:tcPr>
            <w:tcW w:w="1850" w:type="dxa"/>
            <w:tcBorders>
              <w:top w:val="nil"/>
              <w:left w:val="nil"/>
              <w:bottom w:val="nil"/>
              <w:right w:val="nil"/>
            </w:tcBorders>
            <w:tcMar>
              <w:top w:w="40" w:type="dxa"/>
              <w:left w:w="40" w:type="dxa"/>
              <w:bottom w:w="40" w:type="dxa"/>
              <w:right w:w="40" w:type="dxa"/>
            </w:tcMar>
          </w:tcPr>
          <w:p w14:paraId="20003737">
            <w:pPr>
              <w:spacing w:line="220" w:lineRule="auto"/>
              <w:jc w:val="center"/>
            </w:pPr>
            <w:r>
              <w:rPr>
                <w:sz w:val="18"/>
                <w:szCs w:val="18"/>
              </w:rPr>
              <w:t>1.40 (1.19–1.64)</w:t>
            </w:r>
          </w:p>
        </w:tc>
      </w:tr>
      <w:tr w14:paraId="200038B8">
        <w:tc>
          <w:tcPr>
            <w:tcW w:w="3160" w:type="dxa"/>
            <w:tcBorders>
              <w:top w:val="nil"/>
              <w:left w:val="nil"/>
              <w:bottom w:val="nil"/>
              <w:right w:val="nil"/>
            </w:tcBorders>
            <w:tcMar>
              <w:top w:w="40" w:type="dxa"/>
              <w:left w:w="40" w:type="dxa"/>
              <w:bottom w:w="40" w:type="dxa"/>
              <w:right w:w="40" w:type="dxa"/>
            </w:tcMar>
          </w:tcPr>
          <w:p w14:paraId="200037A5">
            <w:pPr>
              <w:spacing w:line="220" w:lineRule="auto"/>
              <w:jc w:val="left"/>
            </w:pPr>
            <w:r>
              <w:rPr>
                <w:sz w:val="18"/>
                <w:szCs w:val="18"/>
              </w:rPr>
              <w:t>28-day window from ICU admission</w:t>
            </w:r>
          </w:p>
        </w:tc>
        <w:tc>
          <w:tcPr>
            <w:tcW w:w="1200" w:type="dxa"/>
            <w:tcBorders>
              <w:top w:val="nil"/>
              <w:left w:val="nil"/>
              <w:bottom w:val="nil"/>
              <w:right w:val="nil"/>
            </w:tcBorders>
            <w:tcMar>
              <w:top w:w="40" w:type="dxa"/>
              <w:left w:w="40" w:type="dxa"/>
              <w:bottom w:w="40" w:type="dxa"/>
              <w:right w:w="40" w:type="dxa"/>
            </w:tcMar>
          </w:tcPr>
          <w:p w14:paraId="200037DC">
            <w:pPr>
              <w:spacing w:line="220" w:lineRule="auto"/>
              <w:jc w:val="center"/>
            </w:pPr>
            <w:r>
              <w:rPr>
                <w:sz w:val="18"/>
                <w:szCs w:val="18"/>
              </w:rPr>
              <w:t>8792</w:t>
            </w:r>
          </w:p>
        </w:tc>
        <w:tc>
          <w:tcPr>
            <w:tcW w:w="1300" w:type="dxa"/>
            <w:tcBorders>
              <w:top w:val="nil"/>
              <w:left w:val="nil"/>
              <w:bottom w:val="nil"/>
              <w:right w:val="nil"/>
            </w:tcBorders>
            <w:tcMar>
              <w:top w:w="40" w:type="dxa"/>
              <w:left w:w="40" w:type="dxa"/>
              <w:bottom w:w="40" w:type="dxa"/>
              <w:right w:w="40" w:type="dxa"/>
            </w:tcMar>
          </w:tcPr>
          <w:p w14:paraId="20003813">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84A">
            <w:pPr>
              <w:spacing w:line="220" w:lineRule="auto"/>
              <w:jc w:val="center"/>
            </w:pPr>
            <w:r>
              <w:rPr>
                <w:sz w:val="18"/>
                <w:szCs w:val="18"/>
              </w:rPr>
              <w:t>1.40 (1.17–1.67)</w:t>
            </w:r>
          </w:p>
        </w:tc>
        <w:tc>
          <w:tcPr>
            <w:tcW w:w="1850" w:type="dxa"/>
            <w:tcBorders>
              <w:top w:val="nil"/>
              <w:left w:val="nil"/>
              <w:bottom w:val="nil"/>
              <w:right w:val="nil"/>
            </w:tcBorders>
            <w:tcMar>
              <w:top w:w="40" w:type="dxa"/>
              <w:left w:w="40" w:type="dxa"/>
              <w:bottom w:w="40" w:type="dxa"/>
              <w:right w:w="40" w:type="dxa"/>
            </w:tcMar>
          </w:tcPr>
          <w:p w14:paraId="20003881">
            <w:pPr>
              <w:spacing w:line="220" w:lineRule="auto"/>
              <w:jc w:val="center"/>
            </w:pPr>
            <w:r>
              <w:rPr>
                <w:sz w:val="18"/>
                <w:szCs w:val="18"/>
              </w:rPr>
              <w:t>1.41 (1.20–1.66)</w:t>
            </w:r>
          </w:p>
        </w:tc>
      </w:tr>
      <w:tr w14:paraId="20003A02">
        <w:tc>
          <w:tcPr>
            <w:tcW w:w="3160" w:type="dxa"/>
            <w:tcBorders>
              <w:top w:val="nil"/>
              <w:left w:val="nil"/>
              <w:bottom w:val="nil"/>
              <w:right w:val="nil"/>
            </w:tcBorders>
            <w:tcMar>
              <w:top w:w="40" w:type="dxa"/>
              <w:left w:w="40" w:type="dxa"/>
              <w:bottom w:w="40" w:type="dxa"/>
              <w:right w:w="40" w:type="dxa"/>
            </w:tcMar>
          </w:tcPr>
          <w:p w14:paraId="200038EF">
            <w:pPr>
              <w:spacing w:line="220" w:lineRule="auto"/>
              <w:jc w:val="left"/>
            </w:pPr>
            <w:r>
              <w:rPr>
                <w:sz w:val="18"/>
                <w:szCs w:val="18"/>
              </w:rPr>
              <w:t>Adjusted for MAP and heart rate</w:t>
            </w:r>
          </w:p>
        </w:tc>
        <w:tc>
          <w:tcPr>
            <w:tcW w:w="1200" w:type="dxa"/>
            <w:tcBorders>
              <w:top w:val="nil"/>
              <w:left w:val="nil"/>
              <w:bottom w:val="nil"/>
              <w:right w:val="nil"/>
            </w:tcBorders>
            <w:tcMar>
              <w:top w:w="40" w:type="dxa"/>
              <w:left w:w="40" w:type="dxa"/>
              <w:bottom w:w="40" w:type="dxa"/>
              <w:right w:w="40" w:type="dxa"/>
            </w:tcMar>
          </w:tcPr>
          <w:p w14:paraId="20003926">
            <w:pPr>
              <w:spacing w:line="220" w:lineRule="auto"/>
              <w:jc w:val="center"/>
            </w:pPr>
            <w:r>
              <w:rPr>
                <w:sz w:val="18"/>
                <w:szCs w:val="18"/>
              </w:rPr>
              <w:t>8310</w:t>
            </w:r>
          </w:p>
        </w:tc>
        <w:tc>
          <w:tcPr>
            <w:tcW w:w="1300" w:type="dxa"/>
            <w:tcBorders>
              <w:top w:val="nil"/>
              <w:left w:val="nil"/>
              <w:bottom w:val="nil"/>
              <w:right w:val="nil"/>
            </w:tcBorders>
            <w:tcMar>
              <w:top w:w="40" w:type="dxa"/>
              <w:left w:w="40" w:type="dxa"/>
              <w:bottom w:w="40" w:type="dxa"/>
              <w:right w:w="40" w:type="dxa"/>
            </w:tcMar>
          </w:tcPr>
          <w:p w14:paraId="2000395D">
            <w:pPr>
              <w:spacing w:line="220" w:lineRule="auto"/>
              <w:jc w:val="center"/>
            </w:pPr>
            <w:r>
              <w:rPr>
                <w:sz w:val="18"/>
                <w:szCs w:val="18"/>
              </w:rPr>
              <w:t>&lt;0.001</w:t>
            </w:r>
          </w:p>
        </w:tc>
        <w:tc>
          <w:tcPr>
            <w:tcW w:w="1850" w:type="dxa"/>
            <w:tcBorders>
              <w:top w:val="nil"/>
              <w:left w:val="nil"/>
              <w:bottom w:val="nil"/>
              <w:right w:val="nil"/>
            </w:tcBorders>
            <w:tcMar>
              <w:top w:w="40" w:type="dxa"/>
              <w:left w:w="40" w:type="dxa"/>
              <w:bottom w:w="40" w:type="dxa"/>
              <w:right w:w="40" w:type="dxa"/>
            </w:tcMar>
          </w:tcPr>
          <w:p w14:paraId="20003994">
            <w:pPr>
              <w:spacing w:line="220" w:lineRule="auto"/>
              <w:jc w:val="center"/>
            </w:pPr>
            <w:r>
              <w:rPr>
                <w:sz w:val="18"/>
                <w:szCs w:val="18"/>
              </w:rPr>
              <w:t>1.34 (1.12–1.60)</w:t>
            </w:r>
          </w:p>
        </w:tc>
        <w:tc>
          <w:tcPr>
            <w:tcW w:w="1850" w:type="dxa"/>
            <w:tcBorders>
              <w:top w:val="nil"/>
              <w:left w:val="nil"/>
              <w:bottom w:val="nil"/>
              <w:right w:val="nil"/>
            </w:tcBorders>
            <w:tcMar>
              <w:top w:w="40" w:type="dxa"/>
              <w:left w:w="40" w:type="dxa"/>
              <w:bottom w:w="40" w:type="dxa"/>
              <w:right w:w="40" w:type="dxa"/>
            </w:tcMar>
          </w:tcPr>
          <w:p w14:paraId="200039CB">
            <w:pPr>
              <w:spacing w:line="220" w:lineRule="auto"/>
              <w:jc w:val="center"/>
            </w:pPr>
            <w:r>
              <w:rPr>
                <w:sz w:val="18"/>
                <w:szCs w:val="18"/>
              </w:rPr>
              <w:t>1.30 (1.11–1.54)</w:t>
            </w:r>
          </w:p>
        </w:tc>
      </w:tr>
      <w:tr w14:paraId="20003B4C">
        <w:tc>
          <w:tcPr>
            <w:tcW w:w="3160" w:type="dxa"/>
            <w:tcBorders>
              <w:top w:val="nil"/>
              <w:left w:val="nil"/>
              <w:bottom w:val="single" w:color="000000" w:sz="8" w:space="0"/>
              <w:right w:val="nil"/>
            </w:tcBorders>
            <w:tcMar>
              <w:top w:w="40" w:type="dxa"/>
              <w:left w:w="40" w:type="dxa"/>
              <w:bottom w:w="40" w:type="dxa"/>
              <w:right w:w="40" w:type="dxa"/>
            </w:tcMar>
          </w:tcPr>
          <w:p w14:paraId="20003A39">
            <w:pPr>
              <w:spacing w:line="220" w:lineRule="auto"/>
              <w:jc w:val="left"/>
            </w:pPr>
            <w:r>
              <w:rPr>
                <w:sz w:val="18"/>
                <w:szCs w:val="18"/>
              </w:rPr>
              <w:t>Adjusted for MAP, heart rate and 24-h fluid balance</w:t>
            </w:r>
          </w:p>
        </w:tc>
        <w:tc>
          <w:tcPr>
            <w:tcW w:w="1200" w:type="dxa"/>
            <w:tcBorders>
              <w:top w:val="nil"/>
              <w:left w:val="nil"/>
              <w:bottom w:val="single" w:color="000000" w:sz="8" w:space="0"/>
              <w:right w:val="nil"/>
            </w:tcBorders>
            <w:tcMar>
              <w:top w:w="40" w:type="dxa"/>
              <w:left w:w="40" w:type="dxa"/>
              <w:bottom w:w="40" w:type="dxa"/>
              <w:right w:w="40" w:type="dxa"/>
            </w:tcMar>
          </w:tcPr>
          <w:p w14:paraId="20003A70">
            <w:pPr>
              <w:spacing w:line="220" w:lineRule="auto"/>
              <w:jc w:val="center"/>
            </w:pPr>
            <w:r>
              <w:rPr>
                <w:sz w:val="18"/>
                <w:szCs w:val="18"/>
              </w:rPr>
              <w:t>8304</w:t>
            </w:r>
          </w:p>
        </w:tc>
        <w:tc>
          <w:tcPr>
            <w:tcW w:w="1300" w:type="dxa"/>
            <w:tcBorders>
              <w:top w:val="nil"/>
              <w:left w:val="nil"/>
              <w:bottom w:val="single" w:color="000000" w:sz="8" w:space="0"/>
              <w:right w:val="nil"/>
            </w:tcBorders>
            <w:tcMar>
              <w:top w:w="40" w:type="dxa"/>
              <w:left w:w="40" w:type="dxa"/>
              <w:bottom w:w="40" w:type="dxa"/>
              <w:right w:w="40" w:type="dxa"/>
            </w:tcMar>
          </w:tcPr>
          <w:p w14:paraId="20003AA7">
            <w:pPr>
              <w:spacing w:line="220" w:lineRule="auto"/>
              <w:jc w:val="center"/>
            </w:pPr>
            <w:r>
              <w:rPr>
                <w:sz w:val="18"/>
                <w:szCs w:val="18"/>
              </w:rPr>
              <w:t>&lt;0.001</w:t>
            </w:r>
          </w:p>
        </w:tc>
        <w:tc>
          <w:tcPr>
            <w:tcW w:w="1850" w:type="dxa"/>
            <w:tcBorders>
              <w:top w:val="nil"/>
              <w:left w:val="nil"/>
              <w:bottom w:val="single" w:color="000000" w:sz="8" w:space="0"/>
              <w:right w:val="nil"/>
            </w:tcBorders>
            <w:tcMar>
              <w:top w:w="40" w:type="dxa"/>
              <w:left w:w="40" w:type="dxa"/>
              <w:bottom w:w="40" w:type="dxa"/>
              <w:right w:w="40" w:type="dxa"/>
            </w:tcMar>
          </w:tcPr>
          <w:p w14:paraId="20003ADE">
            <w:pPr>
              <w:spacing w:line="220" w:lineRule="auto"/>
              <w:jc w:val="center"/>
            </w:pPr>
            <w:r>
              <w:rPr>
                <w:sz w:val="18"/>
                <w:szCs w:val="18"/>
              </w:rPr>
              <w:t>1.32 (1.10–1.58)</w:t>
            </w:r>
          </w:p>
        </w:tc>
        <w:tc>
          <w:tcPr>
            <w:tcW w:w="1850" w:type="dxa"/>
            <w:tcBorders>
              <w:top w:val="nil"/>
              <w:left w:val="nil"/>
              <w:bottom w:val="single" w:color="000000" w:sz="8" w:space="0"/>
              <w:right w:val="nil"/>
            </w:tcBorders>
            <w:tcMar>
              <w:top w:w="40" w:type="dxa"/>
              <w:left w:w="40" w:type="dxa"/>
              <w:bottom w:w="40" w:type="dxa"/>
              <w:right w:w="40" w:type="dxa"/>
            </w:tcMar>
          </w:tcPr>
          <w:p w14:paraId="20003B15">
            <w:pPr>
              <w:spacing w:line="220" w:lineRule="auto"/>
              <w:jc w:val="center"/>
            </w:pPr>
            <w:r>
              <w:rPr>
                <w:sz w:val="18"/>
                <w:szCs w:val="18"/>
              </w:rPr>
              <w:t>1.31 (1.11–1.54)</w:t>
            </w:r>
          </w:p>
        </w:tc>
      </w:tr>
    </w:tbl>
    <w:p w14:paraId="20003B83">
      <w:pPr>
        <w:spacing w:before="40" w:after="160" w:line="240" w:lineRule="auto"/>
        <w:jc w:val="left"/>
      </w:pPr>
      <w:r>
        <w:rPr>
          <w:i/>
          <w:iCs/>
          <w:sz w:val="20"/>
          <w:szCs w:val="20"/>
        </w:rPr>
        <w:t>P for non-linearity is from a likelihood-ratio test comparing a restricted-cubic-spline model with a linear model. Odds ratios (OR) for the depressed (&lt;30%) and hyperdynamic (≥70%) strata are relative to the 50–59% reference, from the fully adjusted categorical model. Documented cardiac disease denotes heart failure, ischaemic heart disease, valvular disease or cardiomyopathy coded during the index hospitalisation; because these codes may be assigned because of the index echocardiogram itself, only 47 admissions with an LVEF below 30% (29 deaths) remain after that exclusion and the corresponding estimate is uninformative rather than supportive. The analysis excluding open-ended coding removes the 2304 studies stored with an upper bound of 100%; the 484 studies with no recorded upper bound were assigned their lower bound under the same rule and are retained. In the prior-admission analysis, cardiac diagnoses were taken only from hospitalisations discharged before the index admission and the analysis was confined to the 4395 admissions with at least one such hospitalisation, of which 1639 had no antecedent cardiac diagnosis (82 with an LVEF below 30%; Table S8). The norepinephrine-equivalent-dose analysis replaced the binary vasopressor covariate with the maximum 24-hour norepinephrine-equivalent dose; its odds ratios differ from the primary model in the third decimal place (LVEF &lt;30%, 1.408, 95% CI 1.181–1.679 versus 1.406, 1.179–1.676; LVEF ≥70%, 1.408, 1.199–1.655 versus 1.412, 1.201–1.659) and coincide only after rounding to two decimals, and both models were fitted independently. Multiple imputation used 100 imputed datasets combined by Rubin’s rules and gave slightly attenuated estimates; the pooled standard errors were 0.4–0.7% larger than those of the median-imputed primary model, a difference too small to be visible at two decimal places; the complete-case analysis was restricted to the 6683 admissions with a measured serum lactate. The last two analyses added the mean arterial pressure and mean heart rate over the 12 hours centred on the echocardiogram, and then the net fluid balance over the first 24 hours of ICU admission. Multiple imputation, the ICU-admission window, the antecedent-cardiac-disease subgroup and the two haemodynamically adjusted analyses were post hoc; the remaining six were prespecified. CI, confidence interval; LVEF, left ventricular ejection fraction; MAP, mean arterial pressure.</w:t>
      </w:r>
    </w:p>
    <w:p w14:paraId="4FF38F9A">
      <w:pPr>
        <w:spacing w:before="160" w:after="80"/>
        <w:rPr>
          <w:rFonts w:ascii="Times New Roman" w:hAnsi="Times New Roman"/>
          <w:b/>
          <w:sz w:val="20"/>
        </w:rPr>
      </w:pPr>
    </w:p>
    <w:p w14:paraId="0699DCB1">
      <w:pPr>
        <w:spacing w:before="160" w:after="80"/>
        <w:rPr>
          <w:rFonts w:ascii="Times New Roman" w:hAnsi="Times New Roman"/>
          <w:b/>
          <w:sz w:val="20"/>
        </w:rPr>
      </w:pPr>
    </w:p>
    <w:p w14:paraId="20003BBA">
      <w:pPr>
        <w:spacing w:before="160" w:after="80"/>
      </w:pPr>
      <w:r>
        <w:rPr>
          <w:b/>
          <w:bCs/>
          <w:sz w:val="20"/>
          <w:szCs w:val="20"/>
        </w:rPr>
        <w:t xml:space="preserve">Table S4. </w:t>
      </w:r>
      <w:r>
        <w:rPr>
          <w:sz w:val="20"/>
          <w:szCs w:val="20"/>
        </w:rPr>
        <w:t>Diastolic and pulmonary echocardiographic indices by left ventricular ejection fraction stratum, with exact denominators.</w:t>
      </w: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1360"/>
        <w:gridCol w:w="1400"/>
        <w:gridCol w:w="1400"/>
        <w:gridCol w:w="1400"/>
        <w:gridCol w:w="1300"/>
        <w:gridCol w:w="1400"/>
        <w:gridCol w:w="1100"/>
      </w:tblGrid>
      <w:tr w14:paraId="20003D72">
        <w:trPr>
          <w:tblHeader/>
        </w:trPr>
        <w:tc>
          <w:tcPr>
            <w:tcW w:w="1360" w:type="dxa"/>
            <w:tcBorders>
              <w:top w:val="single" w:color="000000" w:sz="8" w:space="0"/>
              <w:left w:val="nil"/>
              <w:bottom w:val="single" w:color="000000" w:sz="4" w:space="0"/>
              <w:right w:val="nil"/>
            </w:tcBorders>
            <w:tcMar>
              <w:top w:w="40" w:type="dxa"/>
              <w:left w:w="30" w:type="dxa"/>
              <w:bottom w:w="40" w:type="dxa"/>
              <w:right w:w="30" w:type="dxa"/>
            </w:tcMar>
          </w:tcPr>
          <w:p w14:paraId="20003BF1">
            <w:pPr>
              <w:spacing w:line="220" w:lineRule="auto"/>
              <w:jc w:val="left"/>
            </w:pPr>
            <w:r>
              <w:rPr>
                <w:b/>
                <w:bCs/>
                <w:sz w:val="18"/>
                <w:szCs w:val="18"/>
              </w:rPr>
              <w:t>LVEF stratum</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3C28">
            <w:pPr>
              <w:spacing w:line="220" w:lineRule="auto"/>
              <w:jc w:val="center"/>
            </w:pPr>
            <w:r>
              <w:rPr>
                <w:b/>
                <w:bCs/>
                <w:sz w:val="18"/>
                <w:szCs w:val="18"/>
              </w:rPr>
              <w:t>E/e′ recorded, n (%)</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3C5F">
            <w:pPr>
              <w:spacing w:line="220" w:lineRule="auto"/>
              <w:jc w:val="center"/>
            </w:pPr>
            <w:r>
              <w:rPr>
                <w:b/>
                <w:bCs/>
                <w:sz w:val="18"/>
                <w:szCs w:val="18"/>
              </w:rPr>
              <w:t>E/e′, median (IQR)</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3C96">
            <w:pPr>
              <w:spacing w:line="220" w:lineRule="auto"/>
              <w:jc w:val="center"/>
            </w:pPr>
            <w:r>
              <w:rPr>
                <w:b/>
                <w:bCs/>
                <w:sz w:val="18"/>
                <w:szCs w:val="18"/>
              </w:rPr>
              <w:t>E/A recorded, n (%)</w:t>
            </w:r>
          </w:p>
        </w:tc>
        <w:tc>
          <w:tcPr>
            <w:tcW w:w="1300" w:type="dxa"/>
            <w:tcBorders>
              <w:top w:val="single" w:color="000000" w:sz="8" w:space="0"/>
              <w:left w:val="nil"/>
              <w:bottom w:val="single" w:color="000000" w:sz="4" w:space="0"/>
              <w:right w:val="nil"/>
            </w:tcBorders>
            <w:tcMar>
              <w:top w:w="40" w:type="dxa"/>
              <w:left w:w="30" w:type="dxa"/>
              <w:bottom w:w="40" w:type="dxa"/>
              <w:right w:w="30" w:type="dxa"/>
            </w:tcMar>
          </w:tcPr>
          <w:p w14:paraId="20003CCD">
            <w:pPr>
              <w:spacing w:line="220" w:lineRule="auto"/>
              <w:jc w:val="center"/>
            </w:pPr>
            <w:r>
              <w:rPr>
                <w:b/>
                <w:bCs/>
                <w:sz w:val="18"/>
                <w:szCs w:val="18"/>
              </w:rPr>
              <w:t>E/A, median (IQR)</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3D04">
            <w:pPr>
              <w:spacing w:line="220" w:lineRule="auto"/>
              <w:jc w:val="center"/>
            </w:pPr>
            <w:r>
              <w:rPr>
                <w:b/>
                <w:bCs/>
                <w:sz w:val="18"/>
                <w:szCs w:val="18"/>
              </w:rPr>
              <w:t>TR velocity recorded, n (%)</w:t>
            </w:r>
          </w:p>
        </w:tc>
        <w:tc>
          <w:tcPr>
            <w:tcW w:w="1100" w:type="dxa"/>
            <w:tcBorders>
              <w:top w:val="single" w:color="000000" w:sz="8" w:space="0"/>
              <w:left w:val="nil"/>
              <w:bottom w:val="single" w:color="000000" w:sz="4" w:space="0"/>
              <w:right w:val="nil"/>
            </w:tcBorders>
            <w:tcMar>
              <w:top w:w="40" w:type="dxa"/>
              <w:left w:w="30" w:type="dxa"/>
              <w:bottom w:w="40" w:type="dxa"/>
              <w:right w:w="30" w:type="dxa"/>
            </w:tcMar>
          </w:tcPr>
          <w:p w14:paraId="20003D3B">
            <w:pPr>
              <w:spacing w:line="220" w:lineRule="auto"/>
              <w:jc w:val="center"/>
            </w:pPr>
            <w:r>
              <w:rPr>
                <w:b/>
                <w:bCs/>
                <w:sz w:val="18"/>
                <w:szCs w:val="18"/>
              </w:rPr>
              <w:t>TR velocity (m/s), median (IQR)</w:t>
            </w:r>
          </w:p>
        </w:tc>
      </w:tr>
      <w:tr w14:paraId="20003F2A">
        <w:tc>
          <w:tcPr>
            <w:tcW w:w="1360" w:type="dxa"/>
            <w:tcBorders>
              <w:top w:val="nil"/>
              <w:left w:val="nil"/>
              <w:bottom w:val="nil"/>
              <w:right w:val="nil"/>
            </w:tcBorders>
            <w:tcMar>
              <w:top w:w="40" w:type="dxa"/>
              <w:left w:w="30" w:type="dxa"/>
              <w:bottom w:w="40" w:type="dxa"/>
              <w:right w:w="30" w:type="dxa"/>
            </w:tcMar>
          </w:tcPr>
          <w:p w14:paraId="20003DA9">
            <w:pPr>
              <w:spacing w:line="220" w:lineRule="auto"/>
              <w:jc w:val="left"/>
            </w:pPr>
            <w:r>
              <w:rPr>
                <w:sz w:val="18"/>
                <w:szCs w:val="18"/>
              </w:rPr>
              <w:t>&lt;30% (n=971)</w:t>
            </w:r>
          </w:p>
        </w:tc>
        <w:tc>
          <w:tcPr>
            <w:tcW w:w="1400" w:type="dxa"/>
            <w:tcBorders>
              <w:top w:val="nil"/>
              <w:left w:val="nil"/>
              <w:bottom w:val="nil"/>
              <w:right w:val="nil"/>
            </w:tcBorders>
            <w:tcMar>
              <w:top w:w="40" w:type="dxa"/>
              <w:left w:w="30" w:type="dxa"/>
              <w:bottom w:w="40" w:type="dxa"/>
              <w:right w:w="30" w:type="dxa"/>
            </w:tcMar>
          </w:tcPr>
          <w:p w14:paraId="20003DE0">
            <w:pPr>
              <w:spacing w:line="220" w:lineRule="auto"/>
              <w:jc w:val="center"/>
            </w:pPr>
            <w:r>
              <w:rPr>
                <w:sz w:val="18"/>
                <w:szCs w:val="18"/>
              </w:rPr>
              <w:t>376 (38.7)</w:t>
            </w:r>
          </w:p>
        </w:tc>
        <w:tc>
          <w:tcPr>
            <w:tcW w:w="1400" w:type="dxa"/>
            <w:tcBorders>
              <w:top w:val="nil"/>
              <w:left w:val="nil"/>
              <w:bottom w:val="nil"/>
              <w:right w:val="nil"/>
            </w:tcBorders>
            <w:tcMar>
              <w:top w:w="40" w:type="dxa"/>
              <w:left w:w="30" w:type="dxa"/>
              <w:bottom w:w="40" w:type="dxa"/>
              <w:right w:w="30" w:type="dxa"/>
            </w:tcMar>
          </w:tcPr>
          <w:p w14:paraId="20003E17">
            <w:pPr>
              <w:spacing w:line="220" w:lineRule="auto"/>
              <w:jc w:val="center"/>
            </w:pPr>
            <w:r>
              <w:rPr>
                <w:sz w:val="18"/>
                <w:szCs w:val="18"/>
              </w:rPr>
              <w:t>14.5 (10.9–20.0)</w:t>
            </w:r>
          </w:p>
        </w:tc>
        <w:tc>
          <w:tcPr>
            <w:tcW w:w="1400" w:type="dxa"/>
            <w:tcBorders>
              <w:top w:val="nil"/>
              <w:left w:val="nil"/>
              <w:bottom w:val="nil"/>
              <w:right w:val="nil"/>
            </w:tcBorders>
            <w:tcMar>
              <w:top w:w="40" w:type="dxa"/>
              <w:left w:w="30" w:type="dxa"/>
              <w:bottom w:w="40" w:type="dxa"/>
              <w:right w:w="30" w:type="dxa"/>
            </w:tcMar>
          </w:tcPr>
          <w:p w14:paraId="20003E4E">
            <w:pPr>
              <w:spacing w:line="220" w:lineRule="auto"/>
              <w:jc w:val="center"/>
            </w:pPr>
            <w:r>
              <w:rPr>
                <w:sz w:val="18"/>
                <w:szCs w:val="18"/>
              </w:rPr>
              <w:t>494 (50.9)</w:t>
            </w:r>
          </w:p>
        </w:tc>
        <w:tc>
          <w:tcPr>
            <w:tcW w:w="1300" w:type="dxa"/>
            <w:tcBorders>
              <w:top w:val="nil"/>
              <w:left w:val="nil"/>
              <w:bottom w:val="nil"/>
              <w:right w:val="nil"/>
            </w:tcBorders>
            <w:tcMar>
              <w:top w:w="40" w:type="dxa"/>
              <w:left w:w="30" w:type="dxa"/>
              <w:bottom w:w="40" w:type="dxa"/>
              <w:right w:w="30" w:type="dxa"/>
            </w:tcMar>
          </w:tcPr>
          <w:p w14:paraId="20003E85">
            <w:pPr>
              <w:spacing w:line="220" w:lineRule="auto"/>
              <w:jc w:val="center"/>
            </w:pPr>
            <w:r>
              <w:rPr>
                <w:sz w:val="18"/>
                <w:szCs w:val="18"/>
              </w:rPr>
              <w:t>1.3 (0.9–2.0)</w:t>
            </w:r>
          </w:p>
        </w:tc>
        <w:tc>
          <w:tcPr>
            <w:tcW w:w="1400" w:type="dxa"/>
            <w:tcBorders>
              <w:top w:val="nil"/>
              <w:left w:val="nil"/>
              <w:bottom w:val="nil"/>
              <w:right w:val="nil"/>
            </w:tcBorders>
            <w:tcMar>
              <w:top w:w="40" w:type="dxa"/>
              <w:left w:w="30" w:type="dxa"/>
              <w:bottom w:w="40" w:type="dxa"/>
              <w:right w:w="30" w:type="dxa"/>
            </w:tcMar>
          </w:tcPr>
          <w:p w14:paraId="20003EBC">
            <w:pPr>
              <w:spacing w:line="220" w:lineRule="auto"/>
              <w:jc w:val="center"/>
            </w:pPr>
            <w:r>
              <w:rPr>
                <w:sz w:val="18"/>
                <w:szCs w:val="18"/>
              </w:rPr>
              <w:t>692 (71.3)</w:t>
            </w:r>
          </w:p>
        </w:tc>
        <w:tc>
          <w:tcPr>
            <w:tcW w:w="1100" w:type="dxa"/>
            <w:tcBorders>
              <w:top w:val="nil"/>
              <w:left w:val="nil"/>
              <w:bottom w:val="nil"/>
              <w:right w:val="nil"/>
            </w:tcBorders>
            <w:tcMar>
              <w:top w:w="40" w:type="dxa"/>
              <w:left w:w="30" w:type="dxa"/>
              <w:bottom w:w="40" w:type="dxa"/>
              <w:right w:w="30" w:type="dxa"/>
            </w:tcMar>
          </w:tcPr>
          <w:p w14:paraId="20003EF3">
            <w:pPr>
              <w:spacing w:line="220" w:lineRule="auto"/>
              <w:jc w:val="center"/>
            </w:pPr>
            <w:r>
              <w:rPr>
                <w:sz w:val="18"/>
                <w:szCs w:val="18"/>
              </w:rPr>
              <w:t>2.9 (2.5–3.2)</w:t>
            </w:r>
          </w:p>
        </w:tc>
      </w:tr>
      <w:tr w14:paraId="200040E2">
        <w:tc>
          <w:tcPr>
            <w:tcW w:w="1360" w:type="dxa"/>
            <w:tcBorders>
              <w:top w:val="nil"/>
              <w:left w:val="nil"/>
              <w:bottom w:val="nil"/>
              <w:right w:val="nil"/>
            </w:tcBorders>
            <w:tcMar>
              <w:top w:w="40" w:type="dxa"/>
              <w:left w:w="30" w:type="dxa"/>
              <w:bottom w:w="40" w:type="dxa"/>
              <w:right w:w="30" w:type="dxa"/>
            </w:tcMar>
          </w:tcPr>
          <w:p w14:paraId="20003F61">
            <w:pPr>
              <w:spacing w:line="220" w:lineRule="auto"/>
              <w:jc w:val="left"/>
            </w:pPr>
            <w:r>
              <w:rPr>
                <w:sz w:val="18"/>
                <w:szCs w:val="18"/>
              </w:rPr>
              <w:t>30–39% (n=890)</w:t>
            </w:r>
          </w:p>
        </w:tc>
        <w:tc>
          <w:tcPr>
            <w:tcW w:w="1400" w:type="dxa"/>
            <w:tcBorders>
              <w:top w:val="nil"/>
              <w:left w:val="nil"/>
              <w:bottom w:val="nil"/>
              <w:right w:val="nil"/>
            </w:tcBorders>
            <w:tcMar>
              <w:top w:w="40" w:type="dxa"/>
              <w:left w:w="30" w:type="dxa"/>
              <w:bottom w:w="40" w:type="dxa"/>
              <w:right w:w="30" w:type="dxa"/>
            </w:tcMar>
          </w:tcPr>
          <w:p w14:paraId="20003F98">
            <w:pPr>
              <w:spacing w:line="220" w:lineRule="auto"/>
              <w:jc w:val="center"/>
            </w:pPr>
            <w:r>
              <w:rPr>
                <w:sz w:val="18"/>
                <w:szCs w:val="18"/>
              </w:rPr>
              <w:t>381 (42.8)</w:t>
            </w:r>
          </w:p>
        </w:tc>
        <w:tc>
          <w:tcPr>
            <w:tcW w:w="1400" w:type="dxa"/>
            <w:tcBorders>
              <w:top w:val="nil"/>
              <w:left w:val="nil"/>
              <w:bottom w:val="nil"/>
              <w:right w:val="nil"/>
            </w:tcBorders>
            <w:tcMar>
              <w:top w:w="40" w:type="dxa"/>
              <w:left w:w="30" w:type="dxa"/>
              <w:bottom w:w="40" w:type="dxa"/>
              <w:right w:w="30" w:type="dxa"/>
            </w:tcMar>
          </w:tcPr>
          <w:p w14:paraId="20003FCF">
            <w:pPr>
              <w:spacing w:line="220" w:lineRule="auto"/>
              <w:jc w:val="center"/>
            </w:pPr>
            <w:r>
              <w:rPr>
                <w:sz w:val="18"/>
                <w:szCs w:val="18"/>
              </w:rPr>
              <w:t>13.3 (10.0–16.5)</w:t>
            </w:r>
          </w:p>
        </w:tc>
        <w:tc>
          <w:tcPr>
            <w:tcW w:w="1400" w:type="dxa"/>
            <w:tcBorders>
              <w:top w:val="nil"/>
              <w:left w:val="nil"/>
              <w:bottom w:val="nil"/>
              <w:right w:val="nil"/>
            </w:tcBorders>
            <w:tcMar>
              <w:top w:w="40" w:type="dxa"/>
              <w:left w:w="30" w:type="dxa"/>
              <w:bottom w:w="40" w:type="dxa"/>
              <w:right w:w="30" w:type="dxa"/>
            </w:tcMar>
          </w:tcPr>
          <w:p w14:paraId="20004006">
            <w:pPr>
              <w:spacing w:line="220" w:lineRule="auto"/>
              <w:jc w:val="center"/>
            </w:pPr>
            <w:r>
              <w:rPr>
                <w:sz w:val="18"/>
                <w:szCs w:val="18"/>
              </w:rPr>
              <w:t>530 (59.6)</w:t>
            </w:r>
          </w:p>
        </w:tc>
        <w:tc>
          <w:tcPr>
            <w:tcW w:w="1300" w:type="dxa"/>
            <w:tcBorders>
              <w:top w:val="nil"/>
              <w:left w:val="nil"/>
              <w:bottom w:val="nil"/>
              <w:right w:val="nil"/>
            </w:tcBorders>
            <w:tcMar>
              <w:top w:w="40" w:type="dxa"/>
              <w:left w:w="30" w:type="dxa"/>
              <w:bottom w:w="40" w:type="dxa"/>
              <w:right w:w="30" w:type="dxa"/>
            </w:tcMar>
          </w:tcPr>
          <w:p w14:paraId="2000403D">
            <w:pPr>
              <w:spacing w:line="220" w:lineRule="auto"/>
              <w:jc w:val="center"/>
            </w:pPr>
            <w:r>
              <w:rPr>
                <w:sz w:val="18"/>
                <w:szCs w:val="18"/>
              </w:rPr>
              <w:t>1.1 (0.8–1.6)</w:t>
            </w:r>
          </w:p>
        </w:tc>
        <w:tc>
          <w:tcPr>
            <w:tcW w:w="1400" w:type="dxa"/>
            <w:tcBorders>
              <w:top w:val="nil"/>
              <w:left w:val="nil"/>
              <w:bottom w:val="nil"/>
              <w:right w:val="nil"/>
            </w:tcBorders>
            <w:tcMar>
              <w:top w:w="40" w:type="dxa"/>
              <w:left w:w="30" w:type="dxa"/>
              <w:bottom w:w="40" w:type="dxa"/>
              <w:right w:w="30" w:type="dxa"/>
            </w:tcMar>
          </w:tcPr>
          <w:p w14:paraId="20004074">
            <w:pPr>
              <w:spacing w:line="220" w:lineRule="auto"/>
              <w:jc w:val="center"/>
            </w:pPr>
            <w:r>
              <w:rPr>
                <w:sz w:val="18"/>
                <w:szCs w:val="18"/>
              </w:rPr>
              <w:t>653 (73.4)</w:t>
            </w:r>
          </w:p>
        </w:tc>
        <w:tc>
          <w:tcPr>
            <w:tcW w:w="1100" w:type="dxa"/>
            <w:tcBorders>
              <w:top w:val="nil"/>
              <w:left w:val="nil"/>
              <w:bottom w:val="nil"/>
              <w:right w:val="nil"/>
            </w:tcBorders>
            <w:tcMar>
              <w:top w:w="40" w:type="dxa"/>
              <w:left w:w="30" w:type="dxa"/>
              <w:bottom w:w="40" w:type="dxa"/>
              <w:right w:w="30" w:type="dxa"/>
            </w:tcMar>
          </w:tcPr>
          <w:p w14:paraId="200040AB">
            <w:pPr>
              <w:spacing w:line="220" w:lineRule="auto"/>
              <w:jc w:val="center"/>
            </w:pPr>
            <w:r>
              <w:rPr>
                <w:sz w:val="18"/>
                <w:szCs w:val="18"/>
              </w:rPr>
              <w:t>2.9 (2.5–3.2)</w:t>
            </w:r>
          </w:p>
        </w:tc>
      </w:tr>
      <w:tr w14:paraId="2000429A">
        <w:tc>
          <w:tcPr>
            <w:tcW w:w="1360" w:type="dxa"/>
            <w:tcBorders>
              <w:top w:val="nil"/>
              <w:left w:val="nil"/>
              <w:bottom w:val="nil"/>
              <w:right w:val="nil"/>
            </w:tcBorders>
            <w:tcMar>
              <w:top w:w="40" w:type="dxa"/>
              <w:left w:w="30" w:type="dxa"/>
              <w:bottom w:w="40" w:type="dxa"/>
              <w:right w:w="30" w:type="dxa"/>
            </w:tcMar>
          </w:tcPr>
          <w:p w14:paraId="20004119">
            <w:pPr>
              <w:spacing w:line="220" w:lineRule="auto"/>
              <w:jc w:val="left"/>
            </w:pPr>
            <w:r>
              <w:rPr>
                <w:sz w:val="18"/>
                <w:szCs w:val="18"/>
              </w:rPr>
              <w:t>40–49% (n=913)</w:t>
            </w:r>
          </w:p>
        </w:tc>
        <w:tc>
          <w:tcPr>
            <w:tcW w:w="1400" w:type="dxa"/>
            <w:tcBorders>
              <w:top w:val="nil"/>
              <w:left w:val="nil"/>
              <w:bottom w:val="nil"/>
              <w:right w:val="nil"/>
            </w:tcBorders>
            <w:tcMar>
              <w:top w:w="40" w:type="dxa"/>
              <w:left w:w="30" w:type="dxa"/>
              <w:bottom w:w="40" w:type="dxa"/>
              <w:right w:w="30" w:type="dxa"/>
            </w:tcMar>
          </w:tcPr>
          <w:p w14:paraId="20004150">
            <w:pPr>
              <w:spacing w:line="220" w:lineRule="auto"/>
              <w:jc w:val="center"/>
            </w:pPr>
            <w:r>
              <w:rPr>
                <w:sz w:val="18"/>
                <w:szCs w:val="18"/>
              </w:rPr>
              <w:t>409 (44.8)</w:t>
            </w:r>
          </w:p>
        </w:tc>
        <w:tc>
          <w:tcPr>
            <w:tcW w:w="1400" w:type="dxa"/>
            <w:tcBorders>
              <w:top w:val="nil"/>
              <w:left w:val="nil"/>
              <w:bottom w:val="nil"/>
              <w:right w:val="nil"/>
            </w:tcBorders>
            <w:tcMar>
              <w:top w:w="40" w:type="dxa"/>
              <w:left w:w="30" w:type="dxa"/>
              <w:bottom w:w="40" w:type="dxa"/>
              <w:right w:w="30" w:type="dxa"/>
            </w:tcMar>
          </w:tcPr>
          <w:p w14:paraId="20004187">
            <w:pPr>
              <w:spacing w:line="220" w:lineRule="auto"/>
              <w:jc w:val="center"/>
            </w:pPr>
            <w:r>
              <w:rPr>
                <w:sz w:val="18"/>
                <w:szCs w:val="18"/>
              </w:rPr>
              <w:t>12.2 (9.2–16.4)</w:t>
            </w:r>
          </w:p>
        </w:tc>
        <w:tc>
          <w:tcPr>
            <w:tcW w:w="1400" w:type="dxa"/>
            <w:tcBorders>
              <w:top w:val="nil"/>
              <w:left w:val="nil"/>
              <w:bottom w:val="nil"/>
              <w:right w:val="nil"/>
            </w:tcBorders>
            <w:tcMar>
              <w:top w:w="40" w:type="dxa"/>
              <w:left w:w="30" w:type="dxa"/>
              <w:bottom w:w="40" w:type="dxa"/>
              <w:right w:w="30" w:type="dxa"/>
            </w:tcMar>
          </w:tcPr>
          <w:p w14:paraId="200041BE">
            <w:pPr>
              <w:spacing w:line="220" w:lineRule="auto"/>
              <w:jc w:val="center"/>
            </w:pPr>
            <w:r>
              <w:rPr>
                <w:sz w:val="18"/>
                <w:szCs w:val="18"/>
              </w:rPr>
              <w:t>598 (65.5)</w:t>
            </w:r>
          </w:p>
        </w:tc>
        <w:tc>
          <w:tcPr>
            <w:tcW w:w="1300" w:type="dxa"/>
            <w:tcBorders>
              <w:top w:val="nil"/>
              <w:left w:val="nil"/>
              <w:bottom w:val="nil"/>
              <w:right w:val="nil"/>
            </w:tcBorders>
            <w:tcMar>
              <w:top w:w="40" w:type="dxa"/>
              <w:left w:w="30" w:type="dxa"/>
              <w:bottom w:w="40" w:type="dxa"/>
              <w:right w:w="30" w:type="dxa"/>
            </w:tcMar>
          </w:tcPr>
          <w:p w14:paraId="200041F5">
            <w:pPr>
              <w:spacing w:line="220" w:lineRule="auto"/>
              <w:jc w:val="center"/>
            </w:pPr>
            <w:r>
              <w:rPr>
                <w:sz w:val="18"/>
                <w:szCs w:val="18"/>
              </w:rPr>
              <w:t>1.1 (0.8–1.5)</w:t>
            </w:r>
          </w:p>
        </w:tc>
        <w:tc>
          <w:tcPr>
            <w:tcW w:w="1400" w:type="dxa"/>
            <w:tcBorders>
              <w:top w:val="nil"/>
              <w:left w:val="nil"/>
              <w:bottom w:val="nil"/>
              <w:right w:val="nil"/>
            </w:tcBorders>
            <w:tcMar>
              <w:top w:w="40" w:type="dxa"/>
              <w:left w:w="30" w:type="dxa"/>
              <w:bottom w:w="40" w:type="dxa"/>
              <w:right w:w="30" w:type="dxa"/>
            </w:tcMar>
          </w:tcPr>
          <w:p w14:paraId="2000422C">
            <w:pPr>
              <w:spacing w:line="220" w:lineRule="auto"/>
              <w:jc w:val="center"/>
            </w:pPr>
            <w:r>
              <w:rPr>
                <w:sz w:val="18"/>
                <w:szCs w:val="18"/>
              </w:rPr>
              <w:t>640 (70.1)</w:t>
            </w:r>
          </w:p>
        </w:tc>
        <w:tc>
          <w:tcPr>
            <w:tcW w:w="1100" w:type="dxa"/>
            <w:tcBorders>
              <w:top w:val="nil"/>
              <w:left w:val="nil"/>
              <w:bottom w:val="nil"/>
              <w:right w:val="nil"/>
            </w:tcBorders>
            <w:tcMar>
              <w:top w:w="40" w:type="dxa"/>
              <w:left w:w="30" w:type="dxa"/>
              <w:bottom w:w="40" w:type="dxa"/>
              <w:right w:w="30" w:type="dxa"/>
            </w:tcMar>
          </w:tcPr>
          <w:p w14:paraId="20004263">
            <w:pPr>
              <w:spacing w:line="220" w:lineRule="auto"/>
              <w:jc w:val="center"/>
            </w:pPr>
            <w:r>
              <w:rPr>
                <w:sz w:val="18"/>
                <w:szCs w:val="18"/>
              </w:rPr>
              <w:t>2.9 (2.5–3.2)</w:t>
            </w:r>
          </w:p>
        </w:tc>
      </w:tr>
      <w:tr w14:paraId="20004452">
        <w:tc>
          <w:tcPr>
            <w:tcW w:w="1360" w:type="dxa"/>
            <w:tcBorders>
              <w:top w:val="nil"/>
              <w:left w:val="nil"/>
              <w:bottom w:val="nil"/>
              <w:right w:val="nil"/>
            </w:tcBorders>
            <w:tcMar>
              <w:top w:w="40" w:type="dxa"/>
              <w:left w:w="30" w:type="dxa"/>
              <w:bottom w:w="40" w:type="dxa"/>
              <w:right w:w="30" w:type="dxa"/>
            </w:tcMar>
          </w:tcPr>
          <w:p w14:paraId="200042D1">
            <w:pPr>
              <w:spacing w:line="220" w:lineRule="auto"/>
              <w:jc w:val="left"/>
            </w:pPr>
            <w:r>
              <w:rPr>
                <w:sz w:val="18"/>
                <w:szCs w:val="18"/>
              </w:rPr>
              <w:t>50–59% (n=2344)</w:t>
            </w:r>
          </w:p>
        </w:tc>
        <w:tc>
          <w:tcPr>
            <w:tcW w:w="1400" w:type="dxa"/>
            <w:tcBorders>
              <w:top w:val="nil"/>
              <w:left w:val="nil"/>
              <w:bottom w:val="nil"/>
              <w:right w:val="nil"/>
            </w:tcBorders>
            <w:tcMar>
              <w:top w:w="40" w:type="dxa"/>
              <w:left w:w="30" w:type="dxa"/>
              <w:bottom w:w="40" w:type="dxa"/>
              <w:right w:w="30" w:type="dxa"/>
            </w:tcMar>
          </w:tcPr>
          <w:p w14:paraId="20004308">
            <w:pPr>
              <w:spacing w:line="220" w:lineRule="auto"/>
              <w:jc w:val="center"/>
            </w:pPr>
            <w:r>
              <w:rPr>
                <w:sz w:val="18"/>
                <w:szCs w:val="18"/>
              </w:rPr>
              <w:t>1041 (44.4)</w:t>
            </w:r>
          </w:p>
        </w:tc>
        <w:tc>
          <w:tcPr>
            <w:tcW w:w="1400" w:type="dxa"/>
            <w:tcBorders>
              <w:top w:val="nil"/>
              <w:left w:val="nil"/>
              <w:bottom w:val="nil"/>
              <w:right w:val="nil"/>
            </w:tcBorders>
            <w:tcMar>
              <w:top w:w="40" w:type="dxa"/>
              <w:left w:w="30" w:type="dxa"/>
              <w:bottom w:w="40" w:type="dxa"/>
              <w:right w:w="30" w:type="dxa"/>
            </w:tcMar>
          </w:tcPr>
          <w:p w14:paraId="2000433F">
            <w:pPr>
              <w:spacing w:line="220" w:lineRule="auto"/>
              <w:jc w:val="center"/>
            </w:pPr>
            <w:r>
              <w:rPr>
                <w:sz w:val="18"/>
                <w:szCs w:val="18"/>
              </w:rPr>
              <w:t>10.0 (7.7–13.3)</w:t>
            </w:r>
          </w:p>
        </w:tc>
        <w:tc>
          <w:tcPr>
            <w:tcW w:w="1400" w:type="dxa"/>
            <w:tcBorders>
              <w:top w:val="nil"/>
              <w:left w:val="nil"/>
              <w:bottom w:val="nil"/>
              <w:right w:val="nil"/>
            </w:tcBorders>
            <w:tcMar>
              <w:top w:w="40" w:type="dxa"/>
              <w:left w:w="30" w:type="dxa"/>
              <w:bottom w:w="40" w:type="dxa"/>
              <w:right w:w="30" w:type="dxa"/>
            </w:tcMar>
          </w:tcPr>
          <w:p w14:paraId="20004376">
            <w:pPr>
              <w:spacing w:line="220" w:lineRule="auto"/>
              <w:jc w:val="center"/>
            </w:pPr>
            <w:r>
              <w:rPr>
                <w:sz w:val="18"/>
                <w:szCs w:val="18"/>
              </w:rPr>
              <w:t>1572 (67.1)</w:t>
            </w:r>
          </w:p>
        </w:tc>
        <w:tc>
          <w:tcPr>
            <w:tcW w:w="1300" w:type="dxa"/>
            <w:tcBorders>
              <w:top w:val="nil"/>
              <w:left w:val="nil"/>
              <w:bottom w:val="nil"/>
              <w:right w:val="nil"/>
            </w:tcBorders>
            <w:tcMar>
              <w:top w:w="40" w:type="dxa"/>
              <w:left w:w="30" w:type="dxa"/>
              <w:bottom w:w="40" w:type="dxa"/>
              <w:right w:w="30" w:type="dxa"/>
            </w:tcMar>
          </w:tcPr>
          <w:p w14:paraId="200043AD">
            <w:pPr>
              <w:spacing w:line="220" w:lineRule="auto"/>
              <w:jc w:val="center"/>
            </w:pPr>
            <w:r>
              <w:rPr>
                <w:sz w:val="18"/>
                <w:szCs w:val="18"/>
              </w:rPr>
              <w:t>1.1 (0.8–1.4)</w:t>
            </w:r>
          </w:p>
        </w:tc>
        <w:tc>
          <w:tcPr>
            <w:tcW w:w="1400" w:type="dxa"/>
            <w:tcBorders>
              <w:top w:val="nil"/>
              <w:left w:val="nil"/>
              <w:bottom w:val="nil"/>
              <w:right w:val="nil"/>
            </w:tcBorders>
            <w:tcMar>
              <w:top w:w="40" w:type="dxa"/>
              <w:left w:w="30" w:type="dxa"/>
              <w:bottom w:w="40" w:type="dxa"/>
              <w:right w:w="30" w:type="dxa"/>
            </w:tcMar>
          </w:tcPr>
          <w:p w14:paraId="200043E4">
            <w:pPr>
              <w:spacing w:line="220" w:lineRule="auto"/>
              <w:jc w:val="center"/>
            </w:pPr>
            <w:r>
              <w:rPr>
                <w:sz w:val="18"/>
                <w:szCs w:val="18"/>
              </w:rPr>
              <w:t>1655 (70.6)</w:t>
            </w:r>
          </w:p>
        </w:tc>
        <w:tc>
          <w:tcPr>
            <w:tcW w:w="1100" w:type="dxa"/>
            <w:tcBorders>
              <w:top w:val="nil"/>
              <w:left w:val="nil"/>
              <w:bottom w:val="nil"/>
              <w:right w:val="nil"/>
            </w:tcBorders>
            <w:tcMar>
              <w:top w:w="40" w:type="dxa"/>
              <w:left w:w="30" w:type="dxa"/>
              <w:bottom w:w="40" w:type="dxa"/>
              <w:right w:w="30" w:type="dxa"/>
            </w:tcMar>
          </w:tcPr>
          <w:p w14:paraId="2000441B">
            <w:pPr>
              <w:spacing w:line="220" w:lineRule="auto"/>
              <w:jc w:val="center"/>
            </w:pPr>
            <w:r>
              <w:rPr>
                <w:sz w:val="18"/>
                <w:szCs w:val="18"/>
              </w:rPr>
              <w:t>2.8 (2.5–3.1)</w:t>
            </w:r>
          </w:p>
        </w:tc>
      </w:tr>
      <w:tr w14:paraId="2000460A">
        <w:tc>
          <w:tcPr>
            <w:tcW w:w="1360" w:type="dxa"/>
            <w:tcBorders>
              <w:top w:val="nil"/>
              <w:left w:val="nil"/>
              <w:bottom w:val="nil"/>
              <w:right w:val="nil"/>
            </w:tcBorders>
            <w:tcMar>
              <w:top w:w="40" w:type="dxa"/>
              <w:left w:w="30" w:type="dxa"/>
              <w:bottom w:w="40" w:type="dxa"/>
              <w:right w:w="30" w:type="dxa"/>
            </w:tcMar>
          </w:tcPr>
          <w:p w14:paraId="20004489">
            <w:pPr>
              <w:spacing w:line="220" w:lineRule="auto"/>
              <w:jc w:val="left"/>
            </w:pPr>
            <w:r>
              <w:rPr>
                <w:sz w:val="18"/>
                <w:szCs w:val="18"/>
              </w:rPr>
              <w:t>60–69% (n=2312)</w:t>
            </w:r>
          </w:p>
        </w:tc>
        <w:tc>
          <w:tcPr>
            <w:tcW w:w="1400" w:type="dxa"/>
            <w:tcBorders>
              <w:top w:val="nil"/>
              <w:left w:val="nil"/>
              <w:bottom w:val="nil"/>
              <w:right w:val="nil"/>
            </w:tcBorders>
            <w:tcMar>
              <w:top w:w="40" w:type="dxa"/>
              <w:left w:w="30" w:type="dxa"/>
              <w:bottom w:w="40" w:type="dxa"/>
              <w:right w:w="30" w:type="dxa"/>
            </w:tcMar>
          </w:tcPr>
          <w:p w14:paraId="200044C0">
            <w:pPr>
              <w:spacing w:line="220" w:lineRule="auto"/>
              <w:jc w:val="center"/>
            </w:pPr>
            <w:r>
              <w:rPr>
                <w:sz w:val="18"/>
                <w:szCs w:val="18"/>
              </w:rPr>
              <w:t>1275 (55.1)</w:t>
            </w:r>
          </w:p>
        </w:tc>
        <w:tc>
          <w:tcPr>
            <w:tcW w:w="1400" w:type="dxa"/>
            <w:tcBorders>
              <w:top w:val="nil"/>
              <w:left w:val="nil"/>
              <w:bottom w:val="nil"/>
              <w:right w:val="nil"/>
            </w:tcBorders>
            <w:tcMar>
              <w:top w:w="40" w:type="dxa"/>
              <w:left w:w="30" w:type="dxa"/>
              <w:bottom w:w="40" w:type="dxa"/>
              <w:right w:w="30" w:type="dxa"/>
            </w:tcMar>
          </w:tcPr>
          <w:p w14:paraId="200044F7">
            <w:pPr>
              <w:spacing w:line="220" w:lineRule="auto"/>
              <w:jc w:val="center"/>
            </w:pPr>
            <w:r>
              <w:rPr>
                <w:sz w:val="18"/>
                <w:szCs w:val="18"/>
              </w:rPr>
              <w:t>10.0 (8.0–13.3)</w:t>
            </w:r>
          </w:p>
        </w:tc>
        <w:tc>
          <w:tcPr>
            <w:tcW w:w="1400" w:type="dxa"/>
            <w:tcBorders>
              <w:top w:val="nil"/>
              <w:left w:val="nil"/>
              <w:bottom w:val="nil"/>
              <w:right w:val="nil"/>
            </w:tcBorders>
            <w:tcMar>
              <w:top w:w="40" w:type="dxa"/>
              <w:left w:w="30" w:type="dxa"/>
              <w:bottom w:w="40" w:type="dxa"/>
              <w:right w:w="30" w:type="dxa"/>
            </w:tcMar>
          </w:tcPr>
          <w:p w14:paraId="2000452E">
            <w:pPr>
              <w:spacing w:line="220" w:lineRule="auto"/>
              <w:jc w:val="center"/>
            </w:pPr>
            <w:r>
              <w:rPr>
                <w:sz w:val="18"/>
                <w:szCs w:val="18"/>
              </w:rPr>
              <w:t>1749 (75.6)</w:t>
            </w:r>
          </w:p>
        </w:tc>
        <w:tc>
          <w:tcPr>
            <w:tcW w:w="1300" w:type="dxa"/>
            <w:tcBorders>
              <w:top w:val="nil"/>
              <w:left w:val="nil"/>
              <w:bottom w:val="nil"/>
              <w:right w:val="nil"/>
            </w:tcBorders>
            <w:tcMar>
              <w:top w:w="40" w:type="dxa"/>
              <w:left w:w="30" w:type="dxa"/>
              <w:bottom w:w="40" w:type="dxa"/>
              <w:right w:w="30" w:type="dxa"/>
            </w:tcMar>
          </w:tcPr>
          <w:p w14:paraId="20004565">
            <w:pPr>
              <w:spacing w:line="220" w:lineRule="auto"/>
              <w:jc w:val="center"/>
            </w:pPr>
            <w:r>
              <w:rPr>
                <w:sz w:val="18"/>
                <w:szCs w:val="18"/>
              </w:rPr>
              <w:t>1.0 (0.8–1.3)</w:t>
            </w:r>
          </w:p>
        </w:tc>
        <w:tc>
          <w:tcPr>
            <w:tcW w:w="1400" w:type="dxa"/>
            <w:tcBorders>
              <w:top w:val="nil"/>
              <w:left w:val="nil"/>
              <w:bottom w:val="nil"/>
              <w:right w:val="nil"/>
            </w:tcBorders>
            <w:tcMar>
              <w:top w:w="40" w:type="dxa"/>
              <w:left w:w="30" w:type="dxa"/>
              <w:bottom w:w="40" w:type="dxa"/>
              <w:right w:w="30" w:type="dxa"/>
            </w:tcMar>
          </w:tcPr>
          <w:p w14:paraId="2000459C">
            <w:pPr>
              <w:spacing w:line="220" w:lineRule="auto"/>
              <w:jc w:val="center"/>
            </w:pPr>
            <w:r>
              <w:rPr>
                <w:sz w:val="18"/>
                <w:szCs w:val="18"/>
              </w:rPr>
              <w:t>1709 (73.9)</w:t>
            </w:r>
          </w:p>
        </w:tc>
        <w:tc>
          <w:tcPr>
            <w:tcW w:w="1100" w:type="dxa"/>
            <w:tcBorders>
              <w:top w:val="nil"/>
              <w:left w:val="nil"/>
              <w:bottom w:val="nil"/>
              <w:right w:val="nil"/>
            </w:tcBorders>
            <w:tcMar>
              <w:top w:w="40" w:type="dxa"/>
              <w:left w:w="30" w:type="dxa"/>
              <w:bottom w:w="40" w:type="dxa"/>
              <w:right w:w="30" w:type="dxa"/>
            </w:tcMar>
          </w:tcPr>
          <w:p w14:paraId="200045D3">
            <w:pPr>
              <w:spacing w:line="220" w:lineRule="auto"/>
              <w:jc w:val="center"/>
            </w:pPr>
            <w:r>
              <w:rPr>
                <w:sz w:val="18"/>
                <w:szCs w:val="18"/>
              </w:rPr>
              <w:t>2.8 (2.5–3.2)</w:t>
            </w:r>
          </w:p>
        </w:tc>
      </w:tr>
      <w:tr w14:paraId="200047C2">
        <w:tc>
          <w:tcPr>
            <w:tcW w:w="1360" w:type="dxa"/>
            <w:tcBorders>
              <w:top w:val="nil"/>
              <w:left w:val="nil"/>
              <w:bottom w:val="single" w:color="000000" w:sz="8" w:space="0"/>
              <w:right w:val="nil"/>
            </w:tcBorders>
            <w:tcMar>
              <w:top w:w="40" w:type="dxa"/>
              <w:left w:w="30" w:type="dxa"/>
              <w:bottom w:w="40" w:type="dxa"/>
              <w:right w:w="30" w:type="dxa"/>
            </w:tcMar>
          </w:tcPr>
          <w:p w14:paraId="20004641">
            <w:pPr>
              <w:spacing w:line="220" w:lineRule="auto"/>
              <w:jc w:val="left"/>
            </w:pPr>
            <w:r>
              <w:rPr>
                <w:sz w:val="18"/>
                <w:szCs w:val="18"/>
              </w:rPr>
              <w:t>≥70% (n=1362)</w:t>
            </w:r>
          </w:p>
        </w:tc>
        <w:tc>
          <w:tcPr>
            <w:tcW w:w="1400" w:type="dxa"/>
            <w:tcBorders>
              <w:top w:val="nil"/>
              <w:left w:val="nil"/>
              <w:bottom w:val="single" w:color="000000" w:sz="8" w:space="0"/>
              <w:right w:val="nil"/>
            </w:tcBorders>
            <w:tcMar>
              <w:top w:w="40" w:type="dxa"/>
              <w:left w:w="30" w:type="dxa"/>
              <w:bottom w:w="40" w:type="dxa"/>
              <w:right w:w="30" w:type="dxa"/>
            </w:tcMar>
          </w:tcPr>
          <w:p w14:paraId="20004678">
            <w:pPr>
              <w:spacing w:line="220" w:lineRule="auto"/>
              <w:jc w:val="center"/>
            </w:pPr>
            <w:r>
              <w:rPr>
                <w:sz w:val="18"/>
                <w:szCs w:val="18"/>
              </w:rPr>
              <w:t>678 (49.8)</w:t>
            </w:r>
          </w:p>
        </w:tc>
        <w:tc>
          <w:tcPr>
            <w:tcW w:w="1400" w:type="dxa"/>
            <w:tcBorders>
              <w:top w:val="nil"/>
              <w:left w:val="nil"/>
              <w:bottom w:val="single" w:color="000000" w:sz="8" w:space="0"/>
              <w:right w:val="nil"/>
            </w:tcBorders>
            <w:tcMar>
              <w:top w:w="40" w:type="dxa"/>
              <w:left w:w="30" w:type="dxa"/>
              <w:bottom w:w="40" w:type="dxa"/>
              <w:right w:w="30" w:type="dxa"/>
            </w:tcMar>
          </w:tcPr>
          <w:p w14:paraId="200046AF">
            <w:pPr>
              <w:spacing w:line="220" w:lineRule="auto"/>
              <w:jc w:val="center"/>
            </w:pPr>
            <w:r>
              <w:rPr>
                <w:sz w:val="18"/>
                <w:szCs w:val="18"/>
              </w:rPr>
              <w:t>10.4 (8.0–13.8)</w:t>
            </w:r>
          </w:p>
        </w:tc>
        <w:tc>
          <w:tcPr>
            <w:tcW w:w="1400" w:type="dxa"/>
            <w:tcBorders>
              <w:top w:val="nil"/>
              <w:left w:val="nil"/>
              <w:bottom w:val="single" w:color="000000" w:sz="8" w:space="0"/>
              <w:right w:val="nil"/>
            </w:tcBorders>
            <w:tcMar>
              <w:top w:w="40" w:type="dxa"/>
              <w:left w:w="30" w:type="dxa"/>
              <w:bottom w:w="40" w:type="dxa"/>
              <w:right w:w="30" w:type="dxa"/>
            </w:tcMar>
          </w:tcPr>
          <w:p w14:paraId="200046E6">
            <w:pPr>
              <w:spacing w:line="220" w:lineRule="auto"/>
              <w:jc w:val="center"/>
            </w:pPr>
            <w:r>
              <w:rPr>
                <w:sz w:val="18"/>
                <w:szCs w:val="18"/>
              </w:rPr>
              <w:t>1008 (74.0)</w:t>
            </w:r>
          </w:p>
        </w:tc>
        <w:tc>
          <w:tcPr>
            <w:tcW w:w="1300" w:type="dxa"/>
            <w:tcBorders>
              <w:top w:val="nil"/>
              <w:left w:val="nil"/>
              <w:bottom w:val="single" w:color="000000" w:sz="8" w:space="0"/>
              <w:right w:val="nil"/>
            </w:tcBorders>
            <w:tcMar>
              <w:top w:w="40" w:type="dxa"/>
              <w:left w:w="30" w:type="dxa"/>
              <w:bottom w:w="40" w:type="dxa"/>
              <w:right w:w="30" w:type="dxa"/>
            </w:tcMar>
          </w:tcPr>
          <w:p w14:paraId="2000471D">
            <w:pPr>
              <w:spacing w:line="220" w:lineRule="auto"/>
              <w:jc w:val="center"/>
            </w:pPr>
            <w:r>
              <w:rPr>
                <w:sz w:val="18"/>
                <w:szCs w:val="18"/>
              </w:rPr>
              <w:t>1.0 (0.8–1.2)</w:t>
            </w:r>
          </w:p>
        </w:tc>
        <w:tc>
          <w:tcPr>
            <w:tcW w:w="1400" w:type="dxa"/>
            <w:tcBorders>
              <w:top w:val="nil"/>
              <w:left w:val="nil"/>
              <w:bottom w:val="single" w:color="000000" w:sz="8" w:space="0"/>
              <w:right w:val="nil"/>
            </w:tcBorders>
            <w:tcMar>
              <w:top w:w="40" w:type="dxa"/>
              <w:left w:w="30" w:type="dxa"/>
              <w:bottom w:w="40" w:type="dxa"/>
              <w:right w:w="30" w:type="dxa"/>
            </w:tcMar>
          </w:tcPr>
          <w:p w14:paraId="20004754">
            <w:pPr>
              <w:spacing w:line="220" w:lineRule="auto"/>
              <w:jc w:val="center"/>
            </w:pPr>
            <w:r>
              <w:rPr>
                <w:sz w:val="18"/>
                <w:szCs w:val="18"/>
              </w:rPr>
              <w:t>980 (72.0)</w:t>
            </w:r>
          </w:p>
        </w:tc>
        <w:tc>
          <w:tcPr>
            <w:tcW w:w="1100" w:type="dxa"/>
            <w:tcBorders>
              <w:top w:val="nil"/>
              <w:left w:val="nil"/>
              <w:bottom w:val="single" w:color="000000" w:sz="8" w:space="0"/>
              <w:right w:val="nil"/>
            </w:tcBorders>
            <w:tcMar>
              <w:top w:w="40" w:type="dxa"/>
              <w:left w:w="30" w:type="dxa"/>
              <w:bottom w:w="40" w:type="dxa"/>
              <w:right w:w="30" w:type="dxa"/>
            </w:tcMar>
          </w:tcPr>
          <w:p w14:paraId="2000478B">
            <w:pPr>
              <w:spacing w:line="220" w:lineRule="auto"/>
              <w:jc w:val="center"/>
            </w:pPr>
            <w:r>
              <w:rPr>
                <w:sz w:val="18"/>
                <w:szCs w:val="18"/>
              </w:rPr>
              <w:t>2.9 (2.5–3.3)</w:t>
            </w:r>
          </w:p>
        </w:tc>
      </w:tr>
    </w:tbl>
    <w:p w14:paraId="200047F9">
      <w:pPr>
        <w:spacing w:before="40" w:after="160" w:line="240" w:lineRule="auto"/>
        <w:jc w:val="left"/>
      </w:pPr>
      <w:r>
        <w:rPr>
          <w:i/>
          <w:iCs/>
          <w:sz w:val="20"/>
          <w:szCs w:val="20"/>
        </w:rPr>
        <w:t>Data are n (% of the stratum) for availability and median (interquartile range) for the value among admissions in which the index was recorded. Availability is not uniform: E/e′ was recorded in 38.7% of the stratum below 30% but 55.1% of the 60–69% stratum, and in 40.2% of admissions with atrial fibrillation against 51.6% of those without, because e′ is less often measurable in atrial fibrillation, tachycardia and poor acoustic windows. The comparison is therefore descriptive and exploratory, and the inference drawn from it in the Discussion is correspondingly qualified. Diastolic filling pressures (E/e′) were elevated in the depressed-LVEF strata but were not elevated in the hyperdynamic (≥70%) stratum, where they were similar to the 50–69% strata; tricuspid regurgitant velocity was similar across strata. Tricuspid regurgitant velocities of 2.8–2.9 m/s correspond to right ventricular systolic pressures above the usual normal range in every stratum, as would be expected in an intensive care population; it is their similarity across strata rather than their absolute value that supports the between-stratum comparison. E/e′, ratio of mitral inflow E velocity to the mean of the septal and lateral tissue-Doppler e′ velocities; E/A, ratio of mitral inflow E to A velocity; TR, tricuspid regurgitation; IQR, interquartile range; LVEF, left ventricular ejection fraction.</w:t>
      </w:r>
    </w:p>
    <w:p w14:paraId="70087519">
      <w:pPr>
        <w:spacing w:before="60" w:after="120"/>
        <w:rPr>
          <w:rFonts w:ascii="Times New Roman" w:hAnsi="Times New Roman"/>
          <w:i/>
          <w:sz w:val="20"/>
        </w:rPr>
      </w:pPr>
    </w:p>
    <w:p w14:paraId="59C56339">
      <w:pPr>
        <w:spacing w:before="60" w:after="120"/>
        <w:rPr>
          <w:rFonts w:ascii="Times New Roman" w:hAnsi="Times New Roman"/>
          <w:i/>
          <w:sz w:val="20"/>
        </w:rPr>
      </w:pPr>
    </w:p>
    <w:p w14:paraId="20004830">
      <w:pPr>
        <w:spacing w:before="160" w:after="80"/>
      </w:pPr>
      <w:r>
        <w:rPr>
          <w:b/>
          <w:bCs/>
          <w:sz w:val="20"/>
          <w:szCs w:val="20"/>
        </w:rPr>
        <w:t xml:space="preserve">Table S5. </w:t>
      </w:r>
      <w:r>
        <w:rPr>
          <w:sz w:val="20"/>
          <w:szCs w:val="20"/>
        </w:rPr>
        <w:t>Comparison of the analytic cohort with the sepsis ICU admissions that did not contribute a qualifying early echocardiogram.</w:t>
      </w:r>
    </w:p>
    <w:p w14:paraId="20004867">
      <w:pPr>
        <w:spacing w:before="160" w:after="80"/>
        <w:rPr>
          <w:b/>
          <w:bCs/>
          <w:sz w:val="20"/>
          <w:szCs w:val="20"/>
        </w:rPr>
      </w:pP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3760"/>
        <w:gridCol w:w="2800"/>
        <w:gridCol w:w="2800"/>
      </w:tblGrid>
      <w:tr w14:paraId="20004943">
        <w:trPr>
          <w:tblHeader/>
        </w:trPr>
        <w:tc>
          <w:tcPr>
            <w:tcW w:w="3760" w:type="dxa"/>
            <w:tcBorders>
              <w:top w:val="single" w:color="000000" w:sz="8" w:space="0"/>
              <w:left w:val="nil"/>
              <w:bottom w:val="single" w:color="000000" w:sz="4" w:space="0"/>
              <w:right w:val="nil"/>
            </w:tcBorders>
            <w:tcMar>
              <w:top w:w="40" w:type="dxa"/>
              <w:left w:w="70" w:type="dxa"/>
              <w:bottom w:w="40" w:type="dxa"/>
              <w:right w:w="70" w:type="dxa"/>
            </w:tcMar>
          </w:tcPr>
          <w:p w14:paraId="2000489E">
            <w:pPr>
              <w:spacing w:line="220" w:lineRule="auto"/>
              <w:jc w:val="left"/>
            </w:pPr>
            <w:r>
              <w:rPr>
                <w:b/>
                <w:bCs/>
                <w:sz w:val="20"/>
                <w:szCs w:val="20"/>
              </w:rPr>
              <w:t>Characteristic</w:t>
            </w:r>
          </w:p>
        </w:tc>
        <w:tc>
          <w:tcPr>
            <w:tcW w:w="2800" w:type="dxa"/>
            <w:tcBorders>
              <w:top w:val="single" w:color="000000" w:sz="8" w:space="0"/>
              <w:left w:val="nil"/>
              <w:bottom w:val="single" w:color="000000" w:sz="4" w:space="0"/>
              <w:right w:val="nil"/>
            </w:tcBorders>
            <w:tcMar>
              <w:top w:w="40" w:type="dxa"/>
              <w:left w:w="70" w:type="dxa"/>
              <w:bottom w:w="40" w:type="dxa"/>
              <w:right w:w="70" w:type="dxa"/>
            </w:tcMar>
          </w:tcPr>
          <w:p w14:paraId="200048D5">
            <w:pPr>
              <w:spacing w:line="220" w:lineRule="auto"/>
              <w:jc w:val="center"/>
            </w:pPr>
            <w:r>
              <w:rPr>
                <w:b/>
                <w:bCs/>
                <w:sz w:val="20"/>
                <w:szCs w:val="20"/>
              </w:rPr>
              <w:t>Analytic cohort (n=8792)</w:t>
            </w:r>
          </w:p>
        </w:tc>
        <w:tc>
          <w:tcPr>
            <w:tcW w:w="2800" w:type="dxa"/>
            <w:tcBorders>
              <w:top w:val="single" w:color="000000" w:sz="8" w:space="0"/>
              <w:left w:val="nil"/>
              <w:bottom w:val="single" w:color="000000" w:sz="4" w:space="0"/>
              <w:right w:val="nil"/>
            </w:tcBorders>
            <w:tcMar>
              <w:top w:w="40" w:type="dxa"/>
              <w:left w:w="70" w:type="dxa"/>
              <w:bottom w:w="40" w:type="dxa"/>
              <w:right w:w="70" w:type="dxa"/>
            </w:tcMar>
          </w:tcPr>
          <w:p w14:paraId="2000490C">
            <w:pPr>
              <w:spacing w:line="220" w:lineRule="auto"/>
              <w:jc w:val="center"/>
            </w:pPr>
            <w:r>
              <w:rPr>
                <w:b/>
                <w:bCs/>
                <w:sz w:val="20"/>
                <w:szCs w:val="20"/>
              </w:rPr>
              <w:t>No qualifying echocardiogram (n=21 329)</w:t>
            </w:r>
          </w:p>
        </w:tc>
      </w:tr>
      <w:tr w14:paraId="20004A1F">
        <w:tc>
          <w:tcPr>
            <w:tcW w:w="3760" w:type="dxa"/>
            <w:tcBorders>
              <w:top w:val="nil"/>
              <w:left w:val="nil"/>
              <w:bottom w:val="nil"/>
              <w:right w:val="nil"/>
            </w:tcBorders>
            <w:tcMar>
              <w:top w:w="40" w:type="dxa"/>
              <w:left w:w="70" w:type="dxa"/>
              <w:bottom w:w="40" w:type="dxa"/>
              <w:right w:w="70" w:type="dxa"/>
            </w:tcMar>
          </w:tcPr>
          <w:p w14:paraId="2000497A">
            <w:pPr>
              <w:spacing w:line="220" w:lineRule="auto"/>
              <w:jc w:val="left"/>
            </w:pPr>
            <w:r>
              <w:rPr>
                <w:sz w:val="20"/>
                <w:szCs w:val="20"/>
              </w:rPr>
              <w:t>Age, y</w:t>
            </w:r>
          </w:p>
        </w:tc>
        <w:tc>
          <w:tcPr>
            <w:tcW w:w="2800" w:type="dxa"/>
            <w:tcBorders>
              <w:top w:val="nil"/>
              <w:left w:val="nil"/>
              <w:bottom w:val="nil"/>
              <w:right w:val="nil"/>
            </w:tcBorders>
            <w:tcMar>
              <w:top w:w="40" w:type="dxa"/>
              <w:left w:w="70" w:type="dxa"/>
              <w:bottom w:w="40" w:type="dxa"/>
              <w:right w:w="70" w:type="dxa"/>
            </w:tcMar>
          </w:tcPr>
          <w:p w14:paraId="200049B1">
            <w:pPr>
              <w:spacing w:line="220" w:lineRule="auto"/>
              <w:jc w:val="center"/>
            </w:pPr>
            <w:r>
              <w:rPr>
                <w:sz w:val="20"/>
                <w:szCs w:val="20"/>
              </w:rPr>
              <w:t>69 (58–80)</w:t>
            </w:r>
          </w:p>
        </w:tc>
        <w:tc>
          <w:tcPr>
            <w:tcW w:w="2800" w:type="dxa"/>
            <w:tcBorders>
              <w:top w:val="nil"/>
              <w:left w:val="nil"/>
              <w:bottom w:val="nil"/>
              <w:right w:val="nil"/>
            </w:tcBorders>
            <w:tcMar>
              <w:top w:w="40" w:type="dxa"/>
              <w:left w:w="70" w:type="dxa"/>
              <w:bottom w:w="40" w:type="dxa"/>
              <w:right w:w="70" w:type="dxa"/>
            </w:tcMar>
          </w:tcPr>
          <w:p w14:paraId="200049E8">
            <w:pPr>
              <w:spacing w:line="220" w:lineRule="auto"/>
              <w:jc w:val="center"/>
            </w:pPr>
            <w:r>
              <w:rPr>
                <w:sz w:val="20"/>
                <w:szCs w:val="20"/>
              </w:rPr>
              <w:t>67 (56–78)</w:t>
            </w:r>
          </w:p>
        </w:tc>
      </w:tr>
      <w:tr w14:paraId="20004AFB">
        <w:tc>
          <w:tcPr>
            <w:tcW w:w="3760" w:type="dxa"/>
            <w:tcBorders>
              <w:top w:val="nil"/>
              <w:left w:val="nil"/>
              <w:bottom w:val="nil"/>
              <w:right w:val="nil"/>
            </w:tcBorders>
            <w:tcMar>
              <w:top w:w="40" w:type="dxa"/>
              <w:left w:w="70" w:type="dxa"/>
              <w:bottom w:w="40" w:type="dxa"/>
              <w:right w:w="70" w:type="dxa"/>
            </w:tcMar>
          </w:tcPr>
          <w:p w14:paraId="20004A56">
            <w:pPr>
              <w:spacing w:line="220" w:lineRule="auto"/>
              <w:jc w:val="left"/>
            </w:pPr>
            <w:r>
              <w:rPr>
                <w:sz w:val="20"/>
                <w:szCs w:val="20"/>
              </w:rPr>
              <w:t>Male sex</w:t>
            </w:r>
          </w:p>
        </w:tc>
        <w:tc>
          <w:tcPr>
            <w:tcW w:w="2800" w:type="dxa"/>
            <w:tcBorders>
              <w:top w:val="nil"/>
              <w:left w:val="nil"/>
              <w:bottom w:val="nil"/>
              <w:right w:val="nil"/>
            </w:tcBorders>
            <w:tcMar>
              <w:top w:w="40" w:type="dxa"/>
              <w:left w:w="70" w:type="dxa"/>
              <w:bottom w:w="40" w:type="dxa"/>
              <w:right w:w="70" w:type="dxa"/>
            </w:tcMar>
          </w:tcPr>
          <w:p w14:paraId="20004A8D">
            <w:pPr>
              <w:spacing w:line="220" w:lineRule="auto"/>
              <w:jc w:val="center"/>
            </w:pPr>
            <w:r>
              <w:rPr>
                <w:sz w:val="20"/>
                <w:szCs w:val="20"/>
              </w:rPr>
              <w:t>4853 (55.2)</w:t>
            </w:r>
          </w:p>
        </w:tc>
        <w:tc>
          <w:tcPr>
            <w:tcW w:w="2800" w:type="dxa"/>
            <w:tcBorders>
              <w:top w:val="nil"/>
              <w:left w:val="nil"/>
              <w:bottom w:val="nil"/>
              <w:right w:val="nil"/>
            </w:tcBorders>
            <w:tcMar>
              <w:top w:w="40" w:type="dxa"/>
              <w:left w:w="70" w:type="dxa"/>
              <w:bottom w:w="40" w:type="dxa"/>
              <w:right w:w="70" w:type="dxa"/>
            </w:tcMar>
          </w:tcPr>
          <w:p w14:paraId="20004AC4">
            <w:pPr>
              <w:spacing w:line="220" w:lineRule="auto"/>
              <w:jc w:val="center"/>
            </w:pPr>
            <w:r>
              <w:rPr>
                <w:sz w:val="20"/>
                <w:szCs w:val="20"/>
              </w:rPr>
              <w:t>12 503 (58.6)</w:t>
            </w:r>
          </w:p>
        </w:tc>
      </w:tr>
      <w:tr w14:paraId="20004BD7">
        <w:tc>
          <w:tcPr>
            <w:tcW w:w="3760" w:type="dxa"/>
            <w:tcBorders>
              <w:top w:val="nil"/>
              <w:left w:val="nil"/>
              <w:bottom w:val="nil"/>
              <w:right w:val="nil"/>
            </w:tcBorders>
            <w:tcMar>
              <w:top w:w="40" w:type="dxa"/>
              <w:left w:w="70" w:type="dxa"/>
              <w:bottom w:w="40" w:type="dxa"/>
              <w:right w:w="70" w:type="dxa"/>
            </w:tcMar>
          </w:tcPr>
          <w:p w14:paraId="20004B32">
            <w:pPr>
              <w:spacing w:line="220" w:lineRule="auto"/>
              <w:jc w:val="left"/>
            </w:pPr>
            <w:r>
              <w:rPr>
                <w:sz w:val="20"/>
                <w:szCs w:val="20"/>
              </w:rPr>
              <w:t>SOFA score</w:t>
            </w:r>
          </w:p>
        </w:tc>
        <w:tc>
          <w:tcPr>
            <w:tcW w:w="2800" w:type="dxa"/>
            <w:tcBorders>
              <w:top w:val="nil"/>
              <w:left w:val="nil"/>
              <w:bottom w:val="nil"/>
              <w:right w:val="nil"/>
            </w:tcBorders>
            <w:tcMar>
              <w:top w:w="40" w:type="dxa"/>
              <w:left w:w="70" w:type="dxa"/>
              <w:bottom w:w="40" w:type="dxa"/>
              <w:right w:w="70" w:type="dxa"/>
            </w:tcMar>
          </w:tcPr>
          <w:p w14:paraId="20004B69">
            <w:pPr>
              <w:spacing w:line="220" w:lineRule="auto"/>
              <w:jc w:val="center"/>
            </w:pPr>
            <w:r>
              <w:rPr>
                <w:sz w:val="20"/>
                <w:szCs w:val="20"/>
              </w:rPr>
              <w:t>3 (2–5)</w:t>
            </w:r>
          </w:p>
        </w:tc>
        <w:tc>
          <w:tcPr>
            <w:tcW w:w="2800" w:type="dxa"/>
            <w:tcBorders>
              <w:top w:val="nil"/>
              <w:left w:val="nil"/>
              <w:bottom w:val="nil"/>
              <w:right w:val="nil"/>
            </w:tcBorders>
            <w:tcMar>
              <w:top w:w="40" w:type="dxa"/>
              <w:left w:w="70" w:type="dxa"/>
              <w:bottom w:w="40" w:type="dxa"/>
              <w:right w:w="70" w:type="dxa"/>
            </w:tcMar>
          </w:tcPr>
          <w:p w14:paraId="20004BA0">
            <w:pPr>
              <w:spacing w:line="220" w:lineRule="auto"/>
              <w:jc w:val="center"/>
            </w:pPr>
            <w:r>
              <w:rPr>
                <w:sz w:val="20"/>
                <w:szCs w:val="20"/>
              </w:rPr>
              <w:t>3 (2–4)</w:t>
            </w:r>
          </w:p>
        </w:tc>
      </w:tr>
      <w:tr w14:paraId="20004CB3">
        <w:tc>
          <w:tcPr>
            <w:tcW w:w="3760" w:type="dxa"/>
            <w:tcBorders>
              <w:top w:val="nil"/>
              <w:left w:val="nil"/>
              <w:bottom w:val="nil"/>
              <w:right w:val="nil"/>
            </w:tcBorders>
            <w:tcMar>
              <w:top w:w="40" w:type="dxa"/>
              <w:left w:w="70" w:type="dxa"/>
              <w:bottom w:w="40" w:type="dxa"/>
              <w:right w:w="70" w:type="dxa"/>
            </w:tcMar>
          </w:tcPr>
          <w:p w14:paraId="20004C0E">
            <w:pPr>
              <w:spacing w:line="220" w:lineRule="auto"/>
              <w:jc w:val="left"/>
            </w:pPr>
            <w:r>
              <w:rPr>
                <w:sz w:val="20"/>
                <w:szCs w:val="20"/>
              </w:rPr>
              <w:t>Charlson Comorbidity Index</w:t>
            </w:r>
          </w:p>
        </w:tc>
        <w:tc>
          <w:tcPr>
            <w:tcW w:w="2800" w:type="dxa"/>
            <w:tcBorders>
              <w:top w:val="nil"/>
              <w:left w:val="nil"/>
              <w:bottom w:val="nil"/>
              <w:right w:val="nil"/>
            </w:tcBorders>
            <w:tcMar>
              <w:top w:w="40" w:type="dxa"/>
              <w:left w:w="70" w:type="dxa"/>
              <w:bottom w:w="40" w:type="dxa"/>
              <w:right w:w="70" w:type="dxa"/>
            </w:tcMar>
          </w:tcPr>
          <w:p w14:paraId="20004C45">
            <w:pPr>
              <w:spacing w:line="220" w:lineRule="auto"/>
              <w:jc w:val="center"/>
            </w:pPr>
            <w:r>
              <w:rPr>
                <w:sz w:val="20"/>
                <w:szCs w:val="20"/>
              </w:rPr>
              <w:t>6 (4–8)</w:t>
            </w:r>
          </w:p>
        </w:tc>
        <w:tc>
          <w:tcPr>
            <w:tcW w:w="2800" w:type="dxa"/>
            <w:tcBorders>
              <w:top w:val="nil"/>
              <w:left w:val="nil"/>
              <w:bottom w:val="nil"/>
              <w:right w:val="nil"/>
            </w:tcBorders>
            <w:tcMar>
              <w:top w:w="40" w:type="dxa"/>
              <w:left w:w="70" w:type="dxa"/>
              <w:bottom w:w="40" w:type="dxa"/>
              <w:right w:w="70" w:type="dxa"/>
            </w:tcMar>
          </w:tcPr>
          <w:p w14:paraId="20004C7C">
            <w:pPr>
              <w:spacing w:line="220" w:lineRule="auto"/>
              <w:jc w:val="center"/>
            </w:pPr>
            <w:r>
              <w:rPr>
                <w:sz w:val="20"/>
                <w:szCs w:val="20"/>
              </w:rPr>
              <w:t>5 (3–7)</w:t>
            </w:r>
          </w:p>
        </w:tc>
      </w:tr>
      <w:tr w14:paraId="20004D8F">
        <w:tc>
          <w:tcPr>
            <w:tcW w:w="3760" w:type="dxa"/>
            <w:tcBorders>
              <w:top w:val="nil"/>
              <w:left w:val="nil"/>
              <w:bottom w:val="nil"/>
              <w:right w:val="nil"/>
            </w:tcBorders>
            <w:tcMar>
              <w:top w:w="40" w:type="dxa"/>
              <w:left w:w="70" w:type="dxa"/>
              <w:bottom w:w="40" w:type="dxa"/>
              <w:right w:w="70" w:type="dxa"/>
            </w:tcMar>
          </w:tcPr>
          <w:p w14:paraId="20004CEA">
            <w:pPr>
              <w:spacing w:line="220" w:lineRule="auto"/>
              <w:jc w:val="left"/>
            </w:pPr>
            <w:r>
              <w:rPr>
                <w:sz w:val="20"/>
                <w:szCs w:val="20"/>
              </w:rPr>
              <w:t>Serum lactate, mmol/L</w:t>
            </w:r>
          </w:p>
        </w:tc>
        <w:tc>
          <w:tcPr>
            <w:tcW w:w="2800" w:type="dxa"/>
            <w:tcBorders>
              <w:top w:val="nil"/>
              <w:left w:val="nil"/>
              <w:bottom w:val="nil"/>
              <w:right w:val="nil"/>
            </w:tcBorders>
            <w:tcMar>
              <w:top w:w="40" w:type="dxa"/>
              <w:left w:w="70" w:type="dxa"/>
              <w:bottom w:w="40" w:type="dxa"/>
              <w:right w:w="70" w:type="dxa"/>
            </w:tcMar>
          </w:tcPr>
          <w:p w14:paraId="20004D21">
            <w:pPr>
              <w:spacing w:line="220" w:lineRule="auto"/>
              <w:jc w:val="center"/>
            </w:pPr>
            <w:r>
              <w:rPr>
                <w:sz w:val="20"/>
                <w:szCs w:val="20"/>
              </w:rPr>
              <w:t>2.1 (1.4–3.6)</w:t>
            </w:r>
          </w:p>
        </w:tc>
        <w:tc>
          <w:tcPr>
            <w:tcW w:w="2800" w:type="dxa"/>
            <w:tcBorders>
              <w:top w:val="nil"/>
              <w:left w:val="nil"/>
              <w:bottom w:val="nil"/>
              <w:right w:val="nil"/>
            </w:tcBorders>
            <w:tcMar>
              <w:top w:w="40" w:type="dxa"/>
              <w:left w:w="70" w:type="dxa"/>
              <w:bottom w:w="40" w:type="dxa"/>
              <w:right w:w="70" w:type="dxa"/>
            </w:tcMar>
          </w:tcPr>
          <w:p w14:paraId="20004D58">
            <w:pPr>
              <w:spacing w:line="220" w:lineRule="auto"/>
              <w:jc w:val="center"/>
            </w:pPr>
            <w:r>
              <w:rPr>
                <w:sz w:val="20"/>
                <w:szCs w:val="20"/>
              </w:rPr>
              <w:t>2.2 (1.5–3.3)</w:t>
            </w:r>
          </w:p>
        </w:tc>
      </w:tr>
      <w:tr w14:paraId="20004E6B">
        <w:tc>
          <w:tcPr>
            <w:tcW w:w="3760" w:type="dxa"/>
            <w:tcBorders>
              <w:top w:val="nil"/>
              <w:left w:val="nil"/>
              <w:bottom w:val="nil"/>
              <w:right w:val="nil"/>
            </w:tcBorders>
            <w:tcMar>
              <w:top w:w="40" w:type="dxa"/>
              <w:left w:w="70" w:type="dxa"/>
              <w:bottom w:w="40" w:type="dxa"/>
              <w:right w:w="70" w:type="dxa"/>
            </w:tcMar>
          </w:tcPr>
          <w:p w14:paraId="20004DC6">
            <w:pPr>
              <w:spacing w:line="220" w:lineRule="auto"/>
              <w:jc w:val="left"/>
            </w:pPr>
            <w:r>
              <w:rPr>
                <w:sz w:val="20"/>
                <w:szCs w:val="20"/>
              </w:rPr>
              <w:t>Atrial fibrillation</w:t>
            </w:r>
          </w:p>
        </w:tc>
        <w:tc>
          <w:tcPr>
            <w:tcW w:w="2800" w:type="dxa"/>
            <w:tcBorders>
              <w:top w:val="nil"/>
              <w:left w:val="nil"/>
              <w:bottom w:val="nil"/>
              <w:right w:val="nil"/>
            </w:tcBorders>
            <w:tcMar>
              <w:top w:w="40" w:type="dxa"/>
              <w:left w:w="70" w:type="dxa"/>
              <w:bottom w:w="40" w:type="dxa"/>
              <w:right w:w="70" w:type="dxa"/>
            </w:tcMar>
          </w:tcPr>
          <w:p w14:paraId="20004DFD">
            <w:pPr>
              <w:spacing w:line="220" w:lineRule="auto"/>
              <w:jc w:val="center"/>
            </w:pPr>
            <w:r>
              <w:rPr>
                <w:sz w:val="20"/>
                <w:szCs w:val="20"/>
              </w:rPr>
              <w:t>3311 (37.7)</w:t>
            </w:r>
          </w:p>
        </w:tc>
        <w:tc>
          <w:tcPr>
            <w:tcW w:w="2800" w:type="dxa"/>
            <w:tcBorders>
              <w:top w:val="nil"/>
              <w:left w:val="nil"/>
              <w:bottom w:val="nil"/>
              <w:right w:val="nil"/>
            </w:tcBorders>
            <w:tcMar>
              <w:top w:w="40" w:type="dxa"/>
              <w:left w:w="70" w:type="dxa"/>
              <w:bottom w:w="40" w:type="dxa"/>
              <w:right w:w="70" w:type="dxa"/>
            </w:tcMar>
          </w:tcPr>
          <w:p w14:paraId="20004E34">
            <w:pPr>
              <w:spacing w:line="220" w:lineRule="auto"/>
              <w:jc w:val="center"/>
            </w:pPr>
            <w:r>
              <w:rPr>
                <w:sz w:val="20"/>
                <w:szCs w:val="20"/>
              </w:rPr>
              <w:t>6358 (29.8)</w:t>
            </w:r>
          </w:p>
        </w:tc>
      </w:tr>
      <w:tr w14:paraId="20004F47">
        <w:tc>
          <w:tcPr>
            <w:tcW w:w="3760" w:type="dxa"/>
            <w:tcBorders>
              <w:top w:val="nil"/>
              <w:left w:val="nil"/>
              <w:bottom w:val="nil"/>
              <w:right w:val="nil"/>
            </w:tcBorders>
            <w:tcMar>
              <w:top w:w="40" w:type="dxa"/>
              <w:left w:w="70" w:type="dxa"/>
              <w:bottom w:w="40" w:type="dxa"/>
              <w:right w:w="70" w:type="dxa"/>
            </w:tcMar>
          </w:tcPr>
          <w:p w14:paraId="20004EA2">
            <w:pPr>
              <w:spacing w:line="220" w:lineRule="auto"/>
              <w:jc w:val="left"/>
            </w:pPr>
            <w:r>
              <w:rPr>
                <w:sz w:val="20"/>
                <w:szCs w:val="20"/>
              </w:rPr>
              <w:t>Invasive mechanical ventilation</w:t>
            </w:r>
          </w:p>
        </w:tc>
        <w:tc>
          <w:tcPr>
            <w:tcW w:w="2800" w:type="dxa"/>
            <w:tcBorders>
              <w:top w:val="nil"/>
              <w:left w:val="nil"/>
              <w:bottom w:val="nil"/>
              <w:right w:val="nil"/>
            </w:tcBorders>
            <w:tcMar>
              <w:top w:w="40" w:type="dxa"/>
              <w:left w:w="70" w:type="dxa"/>
              <w:bottom w:w="40" w:type="dxa"/>
              <w:right w:w="70" w:type="dxa"/>
            </w:tcMar>
          </w:tcPr>
          <w:p w14:paraId="20004ED9">
            <w:pPr>
              <w:spacing w:line="220" w:lineRule="auto"/>
              <w:jc w:val="center"/>
            </w:pPr>
            <w:r>
              <w:rPr>
                <w:sz w:val="20"/>
                <w:szCs w:val="20"/>
              </w:rPr>
              <w:t>4388 (49.9)</w:t>
            </w:r>
          </w:p>
        </w:tc>
        <w:tc>
          <w:tcPr>
            <w:tcW w:w="2800" w:type="dxa"/>
            <w:tcBorders>
              <w:top w:val="nil"/>
              <w:left w:val="nil"/>
              <w:bottom w:val="nil"/>
              <w:right w:val="nil"/>
            </w:tcBorders>
            <w:tcMar>
              <w:top w:w="40" w:type="dxa"/>
              <w:left w:w="70" w:type="dxa"/>
              <w:bottom w:w="40" w:type="dxa"/>
              <w:right w:w="70" w:type="dxa"/>
            </w:tcMar>
          </w:tcPr>
          <w:p w14:paraId="20004F10">
            <w:pPr>
              <w:spacing w:line="220" w:lineRule="auto"/>
              <w:jc w:val="center"/>
            </w:pPr>
            <w:r>
              <w:rPr>
                <w:sz w:val="20"/>
                <w:szCs w:val="20"/>
              </w:rPr>
              <w:t>10 850 (50.9)</w:t>
            </w:r>
          </w:p>
        </w:tc>
      </w:tr>
      <w:tr w14:paraId="20005023">
        <w:tc>
          <w:tcPr>
            <w:tcW w:w="3760" w:type="dxa"/>
            <w:tcBorders>
              <w:top w:val="nil"/>
              <w:left w:val="nil"/>
              <w:bottom w:val="nil"/>
              <w:right w:val="nil"/>
            </w:tcBorders>
            <w:tcMar>
              <w:top w:w="40" w:type="dxa"/>
              <w:left w:w="70" w:type="dxa"/>
              <w:bottom w:w="40" w:type="dxa"/>
              <w:right w:w="70" w:type="dxa"/>
            </w:tcMar>
          </w:tcPr>
          <w:p w14:paraId="20004F7E">
            <w:pPr>
              <w:spacing w:line="220" w:lineRule="auto"/>
              <w:jc w:val="left"/>
            </w:pPr>
            <w:r>
              <w:rPr>
                <w:sz w:val="20"/>
                <w:szCs w:val="20"/>
              </w:rPr>
              <w:t>Any vasopressor</w:t>
            </w:r>
          </w:p>
        </w:tc>
        <w:tc>
          <w:tcPr>
            <w:tcW w:w="2800" w:type="dxa"/>
            <w:tcBorders>
              <w:top w:val="nil"/>
              <w:left w:val="nil"/>
              <w:bottom w:val="nil"/>
              <w:right w:val="nil"/>
            </w:tcBorders>
            <w:tcMar>
              <w:top w:w="40" w:type="dxa"/>
              <w:left w:w="70" w:type="dxa"/>
              <w:bottom w:w="40" w:type="dxa"/>
              <w:right w:w="70" w:type="dxa"/>
            </w:tcMar>
          </w:tcPr>
          <w:p w14:paraId="20004FB5">
            <w:pPr>
              <w:spacing w:line="220" w:lineRule="auto"/>
              <w:jc w:val="center"/>
            </w:pPr>
            <w:r>
              <w:rPr>
                <w:sz w:val="20"/>
                <w:szCs w:val="20"/>
              </w:rPr>
              <w:t>4121 (46.9)</w:t>
            </w:r>
          </w:p>
        </w:tc>
        <w:tc>
          <w:tcPr>
            <w:tcW w:w="2800" w:type="dxa"/>
            <w:tcBorders>
              <w:top w:val="nil"/>
              <w:left w:val="nil"/>
              <w:bottom w:val="nil"/>
              <w:right w:val="nil"/>
            </w:tcBorders>
            <w:tcMar>
              <w:top w:w="40" w:type="dxa"/>
              <w:left w:w="70" w:type="dxa"/>
              <w:bottom w:w="40" w:type="dxa"/>
              <w:right w:w="70" w:type="dxa"/>
            </w:tcMar>
          </w:tcPr>
          <w:p w14:paraId="20004FEC">
            <w:pPr>
              <w:spacing w:line="220" w:lineRule="auto"/>
              <w:jc w:val="center"/>
            </w:pPr>
            <w:r>
              <w:rPr>
                <w:sz w:val="20"/>
                <w:szCs w:val="20"/>
              </w:rPr>
              <w:t>8773 (41.1)</w:t>
            </w:r>
          </w:p>
        </w:tc>
      </w:tr>
      <w:tr w14:paraId="200050FF">
        <w:tc>
          <w:tcPr>
            <w:tcW w:w="3760" w:type="dxa"/>
            <w:tcBorders>
              <w:top w:val="nil"/>
              <w:left w:val="nil"/>
              <w:bottom w:val="nil"/>
              <w:right w:val="nil"/>
            </w:tcBorders>
            <w:tcMar>
              <w:top w:w="40" w:type="dxa"/>
              <w:left w:w="70" w:type="dxa"/>
              <w:bottom w:w="40" w:type="dxa"/>
              <w:right w:w="70" w:type="dxa"/>
            </w:tcMar>
          </w:tcPr>
          <w:p w14:paraId="2000505A">
            <w:pPr>
              <w:spacing w:line="220" w:lineRule="auto"/>
              <w:jc w:val="left"/>
            </w:pPr>
            <w:r>
              <w:rPr>
                <w:sz w:val="20"/>
                <w:szCs w:val="20"/>
              </w:rPr>
              <w:t>AKI stage ≥2</w:t>
            </w:r>
          </w:p>
        </w:tc>
        <w:tc>
          <w:tcPr>
            <w:tcW w:w="2800" w:type="dxa"/>
            <w:tcBorders>
              <w:top w:val="nil"/>
              <w:left w:val="nil"/>
              <w:bottom w:val="nil"/>
              <w:right w:val="nil"/>
            </w:tcBorders>
            <w:tcMar>
              <w:top w:w="40" w:type="dxa"/>
              <w:left w:w="70" w:type="dxa"/>
              <w:bottom w:w="40" w:type="dxa"/>
              <w:right w:w="70" w:type="dxa"/>
            </w:tcMar>
          </w:tcPr>
          <w:p w14:paraId="20005091">
            <w:pPr>
              <w:spacing w:line="220" w:lineRule="auto"/>
              <w:jc w:val="center"/>
            </w:pPr>
            <w:r>
              <w:rPr>
                <w:sz w:val="20"/>
                <w:szCs w:val="20"/>
              </w:rPr>
              <w:t>4898 (55.7)</w:t>
            </w:r>
          </w:p>
        </w:tc>
        <w:tc>
          <w:tcPr>
            <w:tcW w:w="2800" w:type="dxa"/>
            <w:tcBorders>
              <w:top w:val="nil"/>
              <w:left w:val="nil"/>
              <w:bottom w:val="nil"/>
              <w:right w:val="nil"/>
            </w:tcBorders>
            <w:tcMar>
              <w:top w:w="40" w:type="dxa"/>
              <w:left w:w="70" w:type="dxa"/>
              <w:bottom w:w="40" w:type="dxa"/>
              <w:right w:w="70" w:type="dxa"/>
            </w:tcMar>
          </w:tcPr>
          <w:p w14:paraId="200050C8">
            <w:pPr>
              <w:spacing w:line="220" w:lineRule="auto"/>
              <w:jc w:val="center"/>
            </w:pPr>
            <w:r>
              <w:rPr>
                <w:sz w:val="20"/>
                <w:szCs w:val="20"/>
              </w:rPr>
              <w:t>9431 (44.2)</w:t>
            </w:r>
          </w:p>
        </w:tc>
      </w:tr>
      <w:tr w14:paraId="200051DB">
        <w:tc>
          <w:tcPr>
            <w:tcW w:w="3760" w:type="dxa"/>
            <w:tcBorders>
              <w:top w:val="nil"/>
              <w:left w:val="nil"/>
              <w:bottom w:val="nil"/>
              <w:right w:val="nil"/>
            </w:tcBorders>
            <w:tcMar>
              <w:top w:w="40" w:type="dxa"/>
              <w:left w:w="70" w:type="dxa"/>
              <w:bottom w:w="40" w:type="dxa"/>
              <w:right w:w="70" w:type="dxa"/>
            </w:tcMar>
          </w:tcPr>
          <w:p w14:paraId="20005136">
            <w:pPr>
              <w:spacing w:line="220" w:lineRule="auto"/>
              <w:jc w:val="left"/>
            </w:pPr>
            <w:r>
              <w:rPr>
                <w:sz w:val="20"/>
                <w:szCs w:val="20"/>
              </w:rPr>
              <w:t>Documented cardiac disease</w:t>
            </w:r>
          </w:p>
        </w:tc>
        <w:tc>
          <w:tcPr>
            <w:tcW w:w="2800" w:type="dxa"/>
            <w:tcBorders>
              <w:top w:val="nil"/>
              <w:left w:val="nil"/>
              <w:bottom w:val="nil"/>
              <w:right w:val="nil"/>
            </w:tcBorders>
            <w:tcMar>
              <w:top w:w="40" w:type="dxa"/>
              <w:left w:w="70" w:type="dxa"/>
              <w:bottom w:w="40" w:type="dxa"/>
              <w:right w:w="70" w:type="dxa"/>
            </w:tcMar>
          </w:tcPr>
          <w:p w14:paraId="2000516D">
            <w:pPr>
              <w:spacing w:line="220" w:lineRule="auto"/>
              <w:jc w:val="center"/>
            </w:pPr>
            <w:r>
              <w:rPr>
                <w:sz w:val="20"/>
                <w:szCs w:val="20"/>
              </w:rPr>
              <w:t>5795 (65.9)</w:t>
            </w:r>
          </w:p>
        </w:tc>
        <w:tc>
          <w:tcPr>
            <w:tcW w:w="2800" w:type="dxa"/>
            <w:tcBorders>
              <w:top w:val="nil"/>
              <w:left w:val="nil"/>
              <w:bottom w:val="nil"/>
              <w:right w:val="nil"/>
            </w:tcBorders>
            <w:tcMar>
              <w:top w:w="40" w:type="dxa"/>
              <w:left w:w="70" w:type="dxa"/>
              <w:bottom w:w="40" w:type="dxa"/>
              <w:right w:w="70" w:type="dxa"/>
            </w:tcMar>
          </w:tcPr>
          <w:p w14:paraId="200051A4">
            <w:pPr>
              <w:spacing w:line="220" w:lineRule="auto"/>
              <w:jc w:val="center"/>
            </w:pPr>
            <w:r>
              <w:rPr>
                <w:sz w:val="20"/>
                <w:szCs w:val="20"/>
              </w:rPr>
              <w:t>10 661 (50.0)</w:t>
            </w:r>
          </w:p>
        </w:tc>
      </w:tr>
      <w:tr w14:paraId="200052B7">
        <w:tc>
          <w:tcPr>
            <w:tcW w:w="3760" w:type="dxa"/>
            <w:tcBorders>
              <w:top w:val="nil"/>
              <w:left w:val="nil"/>
              <w:bottom w:val="nil"/>
              <w:right w:val="nil"/>
            </w:tcBorders>
            <w:tcMar>
              <w:top w:w="40" w:type="dxa"/>
              <w:left w:w="70" w:type="dxa"/>
              <w:bottom w:w="40" w:type="dxa"/>
              <w:right w:w="70" w:type="dxa"/>
            </w:tcMar>
          </w:tcPr>
          <w:p w14:paraId="20005212">
            <w:pPr>
              <w:spacing w:line="220" w:lineRule="auto"/>
              <w:jc w:val="left"/>
            </w:pPr>
            <w:r>
              <w:rPr>
                <w:sz w:val="20"/>
                <w:szCs w:val="20"/>
              </w:rPr>
              <w:t>Heart failure</w:t>
            </w:r>
          </w:p>
        </w:tc>
        <w:tc>
          <w:tcPr>
            <w:tcW w:w="2800" w:type="dxa"/>
            <w:tcBorders>
              <w:top w:val="nil"/>
              <w:left w:val="nil"/>
              <w:bottom w:val="nil"/>
              <w:right w:val="nil"/>
            </w:tcBorders>
            <w:tcMar>
              <w:top w:w="40" w:type="dxa"/>
              <w:left w:w="70" w:type="dxa"/>
              <w:bottom w:w="40" w:type="dxa"/>
              <w:right w:w="70" w:type="dxa"/>
            </w:tcMar>
          </w:tcPr>
          <w:p w14:paraId="20005249">
            <w:pPr>
              <w:spacing w:line="220" w:lineRule="auto"/>
              <w:jc w:val="center"/>
            </w:pPr>
            <w:r>
              <w:rPr>
                <w:sz w:val="20"/>
                <w:szCs w:val="20"/>
              </w:rPr>
              <w:t>4094 (46.6)</w:t>
            </w:r>
          </w:p>
        </w:tc>
        <w:tc>
          <w:tcPr>
            <w:tcW w:w="2800" w:type="dxa"/>
            <w:tcBorders>
              <w:top w:val="nil"/>
              <w:left w:val="nil"/>
              <w:bottom w:val="nil"/>
              <w:right w:val="nil"/>
            </w:tcBorders>
            <w:tcMar>
              <w:top w:w="40" w:type="dxa"/>
              <w:left w:w="70" w:type="dxa"/>
              <w:bottom w:w="40" w:type="dxa"/>
              <w:right w:w="70" w:type="dxa"/>
            </w:tcMar>
          </w:tcPr>
          <w:p w14:paraId="20005280">
            <w:pPr>
              <w:spacing w:line="220" w:lineRule="auto"/>
              <w:jc w:val="center"/>
            </w:pPr>
            <w:r>
              <w:rPr>
                <w:sz w:val="20"/>
                <w:szCs w:val="20"/>
              </w:rPr>
              <w:t>5285 (24.8)</w:t>
            </w:r>
          </w:p>
        </w:tc>
      </w:tr>
      <w:tr w14:paraId="20005393">
        <w:tc>
          <w:tcPr>
            <w:tcW w:w="3760" w:type="dxa"/>
            <w:tcBorders>
              <w:top w:val="nil"/>
              <w:left w:val="nil"/>
              <w:bottom w:val="nil"/>
              <w:right w:val="nil"/>
            </w:tcBorders>
            <w:tcMar>
              <w:top w:w="40" w:type="dxa"/>
              <w:left w:w="70" w:type="dxa"/>
              <w:bottom w:w="40" w:type="dxa"/>
              <w:right w:w="70" w:type="dxa"/>
            </w:tcMar>
          </w:tcPr>
          <w:p w14:paraId="200052EE">
            <w:pPr>
              <w:spacing w:line="220" w:lineRule="auto"/>
              <w:jc w:val="left"/>
            </w:pPr>
            <w:r>
              <w:rPr>
                <w:sz w:val="20"/>
                <w:szCs w:val="20"/>
              </w:rPr>
              <w:t>At least one prior hospitalisation</w:t>
            </w:r>
          </w:p>
        </w:tc>
        <w:tc>
          <w:tcPr>
            <w:tcW w:w="2800" w:type="dxa"/>
            <w:tcBorders>
              <w:top w:val="nil"/>
              <w:left w:val="nil"/>
              <w:bottom w:val="nil"/>
              <w:right w:val="nil"/>
            </w:tcBorders>
            <w:tcMar>
              <w:top w:w="40" w:type="dxa"/>
              <w:left w:w="70" w:type="dxa"/>
              <w:bottom w:w="40" w:type="dxa"/>
              <w:right w:w="70" w:type="dxa"/>
            </w:tcMar>
          </w:tcPr>
          <w:p w14:paraId="20005325">
            <w:pPr>
              <w:spacing w:line="220" w:lineRule="auto"/>
              <w:jc w:val="center"/>
            </w:pPr>
            <w:r>
              <w:rPr>
                <w:sz w:val="20"/>
                <w:szCs w:val="20"/>
              </w:rPr>
              <w:t>4395 (50.0)</w:t>
            </w:r>
          </w:p>
        </w:tc>
        <w:tc>
          <w:tcPr>
            <w:tcW w:w="2800" w:type="dxa"/>
            <w:tcBorders>
              <w:top w:val="nil"/>
              <w:left w:val="nil"/>
              <w:bottom w:val="nil"/>
              <w:right w:val="nil"/>
            </w:tcBorders>
            <w:tcMar>
              <w:top w:w="40" w:type="dxa"/>
              <w:left w:w="70" w:type="dxa"/>
              <w:bottom w:w="40" w:type="dxa"/>
              <w:right w:w="70" w:type="dxa"/>
            </w:tcMar>
          </w:tcPr>
          <w:p w14:paraId="2000535C">
            <w:pPr>
              <w:spacing w:line="220" w:lineRule="auto"/>
              <w:jc w:val="center"/>
            </w:pPr>
            <w:r>
              <w:rPr>
                <w:sz w:val="20"/>
                <w:szCs w:val="20"/>
              </w:rPr>
              <w:t>10 996 (51.6)</w:t>
            </w:r>
          </w:p>
        </w:tc>
      </w:tr>
      <w:tr w14:paraId="45F55D88">
        <w:tc>
          <w:tcPr>
            <w:tcW w:w="3760" w:type="dxa"/>
            <w:tcBorders>
              <w:top w:val="nil"/>
              <w:left w:val="nil"/>
              <w:bottom w:val="nil"/>
              <w:right w:val="nil"/>
            </w:tcBorders>
            <w:tcMar>
              <w:top w:w="40" w:type="dxa"/>
              <w:left w:w="70" w:type="dxa"/>
              <w:bottom w:w="40" w:type="dxa"/>
              <w:right w:w="70" w:type="dxa"/>
            </w:tcMar>
          </w:tcPr>
          <w:p w14:paraId="596E8C86">
            <w:pPr>
              <w:spacing w:line="220" w:lineRule="auto"/>
              <w:jc w:val="left"/>
            </w:pPr>
            <w:r>
              <w:rPr>
                <w:sz w:val="20"/>
                <w:szCs w:val="20"/>
              </w:rPr>
              <w:t>Cardiac disease coded in a prior hospitalisation</w:t>
            </w:r>
          </w:p>
        </w:tc>
        <w:tc>
          <w:tcPr>
            <w:tcW w:w="2800" w:type="dxa"/>
            <w:tcBorders>
              <w:top w:val="nil"/>
              <w:left w:val="nil"/>
              <w:bottom w:val="nil"/>
              <w:right w:val="nil"/>
            </w:tcBorders>
            <w:tcMar>
              <w:top w:w="40" w:type="dxa"/>
              <w:left w:w="70" w:type="dxa"/>
              <w:bottom w:w="40" w:type="dxa"/>
              <w:right w:w="70" w:type="dxa"/>
            </w:tcMar>
          </w:tcPr>
          <w:p w14:paraId="725E5E55">
            <w:pPr>
              <w:spacing w:line="220" w:lineRule="auto"/>
              <w:jc w:val="center"/>
            </w:pPr>
            <w:r>
              <w:rPr>
                <w:sz w:val="20"/>
                <w:szCs w:val="20"/>
              </w:rPr>
              <w:t>2756 (31.3)</w:t>
            </w:r>
          </w:p>
        </w:tc>
        <w:tc>
          <w:tcPr>
            <w:tcW w:w="2800" w:type="dxa"/>
            <w:tcBorders>
              <w:top w:val="nil"/>
              <w:left w:val="nil"/>
              <w:bottom w:val="nil"/>
              <w:right w:val="nil"/>
            </w:tcBorders>
            <w:tcMar>
              <w:top w:w="40" w:type="dxa"/>
              <w:left w:w="70" w:type="dxa"/>
              <w:bottom w:w="40" w:type="dxa"/>
              <w:right w:w="70" w:type="dxa"/>
            </w:tcMar>
          </w:tcPr>
          <w:p w14:paraId="568F9628">
            <w:pPr>
              <w:spacing w:line="220" w:lineRule="auto"/>
              <w:jc w:val="center"/>
            </w:pPr>
            <w:r>
              <w:rPr>
                <w:sz w:val="20"/>
                <w:szCs w:val="20"/>
              </w:rPr>
              <w:t>5812 (27.2)</w:t>
            </w:r>
          </w:p>
        </w:tc>
      </w:tr>
      <w:tr w14:paraId="2000546F">
        <w:tc>
          <w:tcPr>
            <w:tcW w:w="3760" w:type="dxa"/>
            <w:tcBorders>
              <w:top w:val="nil"/>
              <w:left w:val="nil"/>
              <w:bottom w:val="nil"/>
              <w:right w:val="nil"/>
            </w:tcBorders>
            <w:tcMar>
              <w:top w:w="40" w:type="dxa"/>
              <w:left w:w="70" w:type="dxa"/>
              <w:bottom w:w="40" w:type="dxa"/>
              <w:right w:w="70" w:type="dxa"/>
            </w:tcMar>
          </w:tcPr>
          <w:p w14:paraId="200053CA">
            <w:pPr>
              <w:spacing w:line="220" w:lineRule="auto"/>
              <w:jc w:val="left"/>
            </w:pPr>
            <w:r>
              <w:rPr>
                <w:sz w:val="20"/>
                <w:szCs w:val="20"/>
              </w:rPr>
              <w:t>28-day mortality</w:t>
            </w:r>
          </w:p>
        </w:tc>
        <w:tc>
          <w:tcPr>
            <w:tcW w:w="2800" w:type="dxa"/>
            <w:tcBorders>
              <w:top w:val="nil"/>
              <w:left w:val="nil"/>
              <w:bottom w:val="nil"/>
              <w:right w:val="nil"/>
            </w:tcBorders>
            <w:tcMar>
              <w:top w:w="40" w:type="dxa"/>
              <w:left w:w="70" w:type="dxa"/>
              <w:bottom w:w="40" w:type="dxa"/>
              <w:right w:w="70" w:type="dxa"/>
            </w:tcMar>
          </w:tcPr>
          <w:p w14:paraId="20005401">
            <w:pPr>
              <w:spacing w:line="220" w:lineRule="auto"/>
              <w:jc w:val="center"/>
            </w:pPr>
            <w:r>
              <w:rPr>
                <w:sz w:val="20"/>
                <w:szCs w:val="20"/>
              </w:rPr>
              <w:t>2282 (26.0)</w:t>
            </w:r>
          </w:p>
        </w:tc>
        <w:tc>
          <w:tcPr>
            <w:tcW w:w="2800" w:type="dxa"/>
            <w:tcBorders>
              <w:top w:val="nil"/>
              <w:left w:val="nil"/>
              <w:bottom w:val="nil"/>
              <w:right w:val="nil"/>
            </w:tcBorders>
            <w:tcMar>
              <w:top w:w="40" w:type="dxa"/>
              <w:left w:w="70" w:type="dxa"/>
              <w:bottom w:w="40" w:type="dxa"/>
              <w:right w:w="70" w:type="dxa"/>
            </w:tcMar>
          </w:tcPr>
          <w:p w14:paraId="20005438">
            <w:pPr>
              <w:spacing w:line="220" w:lineRule="auto"/>
              <w:jc w:val="center"/>
            </w:pPr>
            <w:r>
              <w:rPr>
                <w:sz w:val="20"/>
                <w:szCs w:val="20"/>
              </w:rPr>
              <w:t>3465 (16.2)</w:t>
            </w:r>
          </w:p>
        </w:tc>
      </w:tr>
      <w:tr w14:paraId="2000554B">
        <w:tc>
          <w:tcPr>
            <w:tcW w:w="3760" w:type="dxa"/>
            <w:tcBorders>
              <w:top w:val="nil"/>
              <w:left w:val="nil"/>
              <w:bottom w:val="nil"/>
              <w:right w:val="nil"/>
            </w:tcBorders>
            <w:tcMar>
              <w:top w:w="40" w:type="dxa"/>
              <w:left w:w="70" w:type="dxa"/>
              <w:bottom w:w="40" w:type="dxa"/>
              <w:right w:w="70" w:type="dxa"/>
            </w:tcMar>
          </w:tcPr>
          <w:p w14:paraId="200054A6">
            <w:pPr>
              <w:spacing w:line="220" w:lineRule="auto"/>
              <w:jc w:val="left"/>
            </w:pPr>
            <w:r>
              <w:rPr>
                <w:sz w:val="20"/>
                <w:szCs w:val="20"/>
              </w:rPr>
              <w:t>90-day mortality</w:t>
            </w:r>
          </w:p>
        </w:tc>
        <w:tc>
          <w:tcPr>
            <w:tcW w:w="2800" w:type="dxa"/>
            <w:tcBorders>
              <w:top w:val="nil"/>
              <w:left w:val="nil"/>
              <w:bottom w:val="nil"/>
              <w:right w:val="nil"/>
            </w:tcBorders>
            <w:tcMar>
              <w:top w:w="40" w:type="dxa"/>
              <w:left w:w="70" w:type="dxa"/>
              <w:bottom w:w="40" w:type="dxa"/>
              <w:right w:w="70" w:type="dxa"/>
            </w:tcMar>
          </w:tcPr>
          <w:p w14:paraId="200054DD">
            <w:pPr>
              <w:spacing w:line="220" w:lineRule="auto"/>
              <w:jc w:val="center"/>
            </w:pPr>
            <w:r>
              <w:rPr>
                <w:sz w:val="20"/>
                <w:szCs w:val="20"/>
              </w:rPr>
              <w:t>2980 (33.9)</w:t>
            </w:r>
          </w:p>
        </w:tc>
        <w:tc>
          <w:tcPr>
            <w:tcW w:w="2800" w:type="dxa"/>
            <w:tcBorders>
              <w:top w:val="nil"/>
              <w:left w:val="nil"/>
              <w:bottom w:val="nil"/>
              <w:right w:val="nil"/>
            </w:tcBorders>
            <w:tcMar>
              <w:top w:w="40" w:type="dxa"/>
              <w:left w:w="70" w:type="dxa"/>
              <w:bottom w:w="40" w:type="dxa"/>
              <w:right w:w="70" w:type="dxa"/>
            </w:tcMar>
          </w:tcPr>
          <w:p w14:paraId="20005514">
            <w:pPr>
              <w:spacing w:line="220" w:lineRule="auto"/>
              <w:jc w:val="center"/>
            </w:pPr>
            <w:r>
              <w:rPr>
                <w:sz w:val="20"/>
                <w:szCs w:val="20"/>
              </w:rPr>
              <w:t>4883 (22.9)</w:t>
            </w:r>
          </w:p>
        </w:tc>
      </w:tr>
      <w:tr w14:paraId="20005627">
        <w:tc>
          <w:tcPr>
            <w:tcW w:w="3760" w:type="dxa"/>
            <w:tcBorders>
              <w:top w:val="nil"/>
              <w:left w:val="nil"/>
              <w:bottom w:val="nil"/>
              <w:right w:val="nil"/>
            </w:tcBorders>
            <w:tcMar>
              <w:top w:w="40" w:type="dxa"/>
              <w:left w:w="70" w:type="dxa"/>
              <w:bottom w:w="40" w:type="dxa"/>
              <w:right w:w="70" w:type="dxa"/>
            </w:tcMar>
          </w:tcPr>
          <w:p w14:paraId="20005582">
            <w:pPr>
              <w:spacing w:line="220" w:lineRule="auto"/>
              <w:jc w:val="left"/>
            </w:pPr>
            <w:r>
              <w:rPr>
                <w:sz w:val="20"/>
                <w:szCs w:val="20"/>
              </w:rPr>
              <w:t>In-hospital mortality</w:t>
            </w:r>
          </w:p>
        </w:tc>
        <w:tc>
          <w:tcPr>
            <w:tcW w:w="2800" w:type="dxa"/>
            <w:tcBorders>
              <w:top w:val="nil"/>
              <w:left w:val="nil"/>
              <w:bottom w:val="nil"/>
              <w:right w:val="nil"/>
            </w:tcBorders>
            <w:tcMar>
              <w:top w:w="40" w:type="dxa"/>
              <w:left w:w="70" w:type="dxa"/>
              <w:bottom w:w="40" w:type="dxa"/>
              <w:right w:w="70" w:type="dxa"/>
            </w:tcMar>
          </w:tcPr>
          <w:p w14:paraId="200055B9">
            <w:pPr>
              <w:spacing w:line="220" w:lineRule="auto"/>
              <w:jc w:val="center"/>
            </w:pPr>
            <w:r>
              <w:rPr>
                <w:sz w:val="20"/>
                <w:szCs w:val="20"/>
              </w:rPr>
              <w:t>1952 (22.2)</w:t>
            </w:r>
          </w:p>
        </w:tc>
        <w:tc>
          <w:tcPr>
            <w:tcW w:w="2800" w:type="dxa"/>
            <w:tcBorders>
              <w:top w:val="nil"/>
              <w:left w:val="nil"/>
              <w:bottom w:val="nil"/>
              <w:right w:val="nil"/>
            </w:tcBorders>
            <w:tcMar>
              <w:top w:w="40" w:type="dxa"/>
              <w:left w:w="70" w:type="dxa"/>
              <w:bottom w:w="40" w:type="dxa"/>
              <w:right w:w="70" w:type="dxa"/>
            </w:tcMar>
          </w:tcPr>
          <w:p w14:paraId="200055F0">
            <w:pPr>
              <w:spacing w:line="220" w:lineRule="auto"/>
              <w:jc w:val="center"/>
            </w:pPr>
            <w:r>
              <w:rPr>
                <w:sz w:val="20"/>
                <w:szCs w:val="20"/>
              </w:rPr>
              <w:t>2751 (12.9)</w:t>
            </w:r>
          </w:p>
        </w:tc>
      </w:tr>
      <w:tr w14:paraId="20005703">
        <w:tc>
          <w:tcPr>
            <w:tcW w:w="3760" w:type="dxa"/>
            <w:tcBorders>
              <w:top w:val="nil"/>
              <w:left w:val="nil"/>
              <w:bottom w:val="single" w:color="000000" w:sz="8" w:space="0"/>
              <w:right w:val="nil"/>
            </w:tcBorders>
            <w:tcMar>
              <w:top w:w="40" w:type="dxa"/>
              <w:left w:w="70" w:type="dxa"/>
              <w:bottom w:w="40" w:type="dxa"/>
              <w:right w:w="70" w:type="dxa"/>
            </w:tcMar>
          </w:tcPr>
          <w:p w14:paraId="2000565E">
            <w:pPr>
              <w:spacing w:line="220" w:lineRule="auto"/>
              <w:jc w:val="left"/>
            </w:pPr>
            <w:r>
              <w:rPr>
                <w:sz w:val="20"/>
                <w:szCs w:val="20"/>
              </w:rPr>
              <w:t>Died within 72 h of ICU admission</w:t>
            </w:r>
          </w:p>
        </w:tc>
        <w:tc>
          <w:tcPr>
            <w:tcW w:w="2800" w:type="dxa"/>
            <w:tcBorders>
              <w:top w:val="nil"/>
              <w:left w:val="nil"/>
              <w:bottom w:val="single" w:color="000000" w:sz="8" w:space="0"/>
              <w:right w:val="nil"/>
            </w:tcBorders>
            <w:tcMar>
              <w:top w:w="40" w:type="dxa"/>
              <w:left w:w="70" w:type="dxa"/>
              <w:bottom w:w="40" w:type="dxa"/>
              <w:right w:w="70" w:type="dxa"/>
            </w:tcMar>
          </w:tcPr>
          <w:p w14:paraId="20005695">
            <w:pPr>
              <w:spacing w:line="220" w:lineRule="auto"/>
              <w:jc w:val="center"/>
            </w:pPr>
            <w:r>
              <w:rPr>
                <w:sz w:val="20"/>
                <w:szCs w:val="20"/>
              </w:rPr>
              <w:t>600 (6.8)</w:t>
            </w:r>
          </w:p>
        </w:tc>
        <w:tc>
          <w:tcPr>
            <w:tcW w:w="2800" w:type="dxa"/>
            <w:tcBorders>
              <w:top w:val="nil"/>
              <w:left w:val="nil"/>
              <w:bottom w:val="single" w:color="000000" w:sz="8" w:space="0"/>
              <w:right w:val="nil"/>
            </w:tcBorders>
            <w:tcMar>
              <w:top w:w="40" w:type="dxa"/>
              <w:left w:w="70" w:type="dxa"/>
              <w:bottom w:w="40" w:type="dxa"/>
              <w:right w:w="70" w:type="dxa"/>
            </w:tcMar>
          </w:tcPr>
          <w:p w14:paraId="200056CC">
            <w:pPr>
              <w:spacing w:line="220" w:lineRule="auto"/>
              <w:jc w:val="center"/>
            </w:pPr>
            <w:r>
              <w:rPr>
                <w:sz w:val="20"/>
                <w:szCs w:val="20"/>
              </w:rPr>
              <w:t>1068 (5.0)</w:t>
            </w:r>
          </w:p>
        </w:tc>
      </w:tr>
    </w:tbl>
    <w:p w14:paraId="2000573A">
      <w:pPr>
        <w:spacing w:before="40" w:after="160" w:line="240" w:lineRule="auto"/>
        <w:jc w:val="left"/>
      </w:pPr>
      <w:r>
        <w:rPr>
          <w:i/>
          <w:iCs/>
          <w:sz w:val="20"/>
          <w:szCs w:val="20"/>
        </w:rPr>
        <w:t>Data are median (interquartile range) or n (%). All 30 121 ICU admissions meeting Sepsis-3 criteria are included; the comparison group comprises the admissions without a resting transthoracic echocardiogram reporting an LVEF within 72 hours of ICU admission. For comparability across both groups, 28-day and 90-day mortality are counted here from ICU admission rather than from the echocardiogram, which is why the analytic-cohort figures differ marginally from those in Table 1 (2282 versus 2294 deaths at 28 days and 2980 versus 2989 at 90 days). Among the admissions without a qualifying study, deaths within 28 days occurred at a median of 7 days (IQR 3–15) after ICU admission, and 1068 (5.0%) died within 72 hours, that is, within the window in which a qualifying study could have been obtained. Selection into early echocardiography therefore enriched the analytic cohort both for cardiac comorbidity and for higher risk, and the findings should be generalised accordingly. AKI, acute kidney injury; SOFA, Sequential Organ Failure Assessment.</w:t>
      </w:r>
    </w:p>
    <w:p w14:paraId="20005771">
      <w:pPr>
        <w:spacing w:before="160" w:after="80"/>
        <w:rPr>
          <w:b/>
          <w:bCs/>
          <w:sz w:val="20"/>
          <w:szCs w:val="20"/>
        </w:rPr>
      </w:pPr>
    </w:p>
    <w:p w14:paraId="200057A8">
      <w:pPr>
        <w:spacing w:before="160" w:after="80"/>
      </w:pPr>
      <w:r>
        <w:rPr>
          <w:b/>
          <w:bCs/>
          <w:sz w:val="20"/>
          <w:szCs w:val="20"/>
        </w:rPr>
        <w:t xml:space="preserve">Table S6. </w:t>
      </w:r>
      <w:r>
        <w:rPr>
          <w:sz w:val="20"/>
          <w:szCs w:val="20"/>
        </w:rPr>
        <w:t>Adjusted associations between left ventricular ejection fraction category and mortality using the 60–69% stratum as reference.</w:t>
      </w:r>
    </w:p>
    <w:p w14:paraId="200057DF">
      <w:pPr>
        <w:spacing w:before="160" w:after="80"/>
        <w:rPr>
          <w:b/>
          <w:bCs/>
          <w:sz w:val="20"/>
          <w:szCs w:val="20"/>
        </w:rPr>
      </w:pP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1900"/>
        <w:gridCol w:w="1400"/>
        <w:gridCol w:w="2020"/>
        <w:gridCol w:w="2020"/>
        <w:gridCol w:w="2020"/>
      </w:tblGrid>
      <w:tr w14:paraId="20005929">
        <w:trPr>
          <w:tblHeader/>
        </w:trPr>
        <w:tc>
          <w:tcPr>
            <w:tcW w:w="1900" w:type="dxa"/>
            <w:tcBorders>
              <w:top w:val="single" w:color="000000" w:sz="8" w:space="0"/>
              <w:left w:val="nil"/>
              <w:bottom w:val="single" w:color="000000" w:sz="4" w:space="0"/>
              <w:right w:val="nil"/>
            </w:tcBorders>
            <w:tcMar>
              <w:top w:w="40" w:type="dxa"/>
              <w:left w:w="40" w:type="dxa"/>
              <w:bottom w:w="40" w:type="dxa"/>
              <w:right w:w="40" w:type="dxa"/>
            </w:tcMar>
          </w:tcPr>
          <w:p w14:paraId="20005816">
            <w:pPr>
              <w:spacing w:line="220" w:lineRule="auto"/>
              <w:jc w:val="left"/>
            </w:pPr>
            <w:r>
              <w:rPr>
                <w:b/>
                <w:bCs/>
                <w:sz w:val="18"/>
                <w:szCs w:val="18"/>
              </w:rPr>
              <w:t>LVEF category</w:t>
            </w:r>
          </w:p>
        </w:tc>
        <w:tc>
          <w:tcPr>
            <w:tcW w:w="1400" w:type="dxa"/>
            <w:tcBorders>
              <w:top w:val="single" w:color="000000" w:sz="8" w:space="0"/>
              <w:left w:val="nil"/>
              <w:bottom w:val="single" w:color="000000" w:sz="4" w:space="0"/>
              <w:right w:val="nil"/>
            </w:tcBorders>
            <w:tcMar>
              <w:top w:w="40" w:type="dxa"/>
              <w:left w:w="40" w:type="dxa"/>
              <w:bottom w:w="40" w:type="dxa"/>
              <w:right w:w="40" w:type="dxa"/>
            </w:tcMar>
          </w:tcPr>
          <w:p w14:paraId="2000584D">
            <w:pPr>
              <w:spacing w:line="220" w:lineRule="auto"/>
              <w:jc w:val="center"/>
            </w:pPr>
            <w:r>
              <w:rPr>
                <w:b/>
                <w:bCs/>
                <w:sz w:val="18"/>
                <w:szCs w:val="18"/>
              </w:rPr>
              <w:t>No. of admissions</w:t>
            </w:r>
          </w:p>
        </w:tc>
        <w:tc>
          <w:tcPr>
            <w:tcW w:w="2020" w:type="dxa"/>
            <w:tcBorders>
              <w:top w:val="single" w:color="000000" w:sz="8" w:space="0"/>
              <w:left w:val="nil"/>
              <w:bottom w:val="single" w:color="000000" w:sz="4" w:space="0"/>
              <w:right w:val="nil"/>
            </w:tcBorders>
            <w:tcMar>
              <w:top w:w="40" w:type="dxa"/>
              <w:left w:w="40" w:type="dxa"/>
              <w:bottom w:w="40" w:type="dxa"/>
              <w:right w:w="40" w:type="dxa"/>
            </w:tcMar>
          </w:tcPr>
          <w:p w14:paraId="20005884">
            <w:pPr>
              <w:spacing w:line="220" w:lineRule="auto"/>
              <w:jc w:val="center"/>
            </w:pPr>
            <w:r>
              <w:rPr>
                <w:b/>
                <w:bCs/>
                <w:sz w:val="18"/>
                <w:szCs w:val="18"/>
              </w:rPr>
              <w:t>28-day mortality, OR (95% CI)</w:t>
            </w:r>
          </w:p>
        </w:tc>
        <w:tc>
          <w:tcPr>
            <w:tcW w:w="2020" w:type="dxa"/>
            <w:tcBorders>
              <w:top w:val="single" w:color="000000" w:sz="8" w:space="0"/>
              <w:left w:val="nil"/>
              <w:bottom w:val="single" w:color="000000" w:sz="4" w:space="0"/>
              <w:right w:val="nil"/>
            </w:tcBorders>
            <w:tcMar>
              <w:top w:w="40" w:type="dxa"/>
              <w:left w:w="40" w:type="dxa"/>
              <w:bottom w:w="40" w:type="dxa"/>
              <w:right w:w="40" w:type="dxa"/>
            </w:tcMar>
          </w:tcPr>
          <w:p w14:paraId="200058BB">
            <w:pPr>
              <w:spacing w:line="220" w:lineRule="auto"/>
              <w:jc w:val="center"/>
            </w:pPr>
            <w:r>
              <w:rPr>
                <w:b/>
                <w:bCs/>
                <w:sz w:val="18"/>
                <w:szCs w:val="18"/>
              </w:rPr>
              <w:t>90-day mortality, HR (95% CI)</w:t>
            </w:r>
          </w:p>
        </w:tc>
        <w:tc>
          <w:tcPr>
            <w:tcW w:w="2020" w:type="dxa"/>
            <w:tcBorders>
              <w:top w:val="single" w:color="000000" w:sz="8" w:space="0"/>
              <w:left w:val="nil"/>
              <w:bottom w:val="single" w:color="000000" w:sz="4" w:space="0"/>
              <w:right w:val="nil"/>
            </w:tcBorders>
            <w:tcMar>
              <w:top w:w="40" w:type="dxa"/>
              <w:left w:w="40" w:type="dxa"/>
              <w:bottom w:w="40" w:type="dxa"/>
              <w:right w:w="40" w:type="dxa"/>
            </w:tcMar>
          </w:tcPr>
          <w:p w14:paraId="200058F2">
            <w:pPr>
              <w:spacing w:line="220" w:lineRule="auto"/>
              <w:jc w:val="center"/>
            </w:pPr>
            <w:r>
              <w:rPr>
                <w:b/>
                <w:bCs/>
                <w:sz w:val="18"/>
                <w:szCs w:val="18"/>
              </w:rPr>
              <w:t>In-hospital mortality, OR (95% CI)</w:t>
            </w:r>
          </w:p>
        </w:tc>
      </w:tr>
      <w:tr w14:paraId="20005A73">
        <w:tc>
          <w:tcPr>
            <w:tcW w:w="1900" w:type="dxa"/>
            <w:tcBorders>
              <w:top w:val="nil"/>
              <w:left w:val="nil"/>
              <w:bottom w:val="nil"/>
              <w:right w:val="nil"/>
            </w:tcBorders>
            <w:tcMar>
              <w:top w:w="40" w:type="dxa"/>
              <w:left w:w="40" w:type="dxa"/>
              <w:bottom w:w="40" w:type="dxa"/>
              <w:right w:w="40" w:type="dxa"/>
            </w:tcMar>
          </w:tcPr>
          <w:p w14:paraId="20005960">
            <w:pPr>
              <w:spacing w:line="220" w:lineRule="auto"/>
              <w:jc w:val="left"/>
            </w:pPr>
            <w:r>
              <w:rPr>
                <w:sz w:val="18"/>
                <w:szCs w:val="18"/>
              </w:rPr>
              <w:t>&lt;30%</w:t>
            </w:r>
          </w:p>
        </w:tc>
        <w:tc>
          <w:tcPr>
            <w:tcW w:w="1400" w:type="dxa"/>
            <w:tcBorders>
              <w:top w:val="nil"/>
              <w:left w:val="nil"/>
              <w:bottom w:val="nil"/>
              <w:right w:val="nil"/>
            </w:tcBorders>
            <w:tcMar>
              <w:top w:w="40" w:type="dxa"/>
              <w:left w:w="40" w:type="dxa"/>
              <w:bottom w:w="40" w:type="dxa"/>
              <w:right w:w="40" w:type="dxa"/>
            </w:tcMar>
          </w:tcPr>
          <w:p w14:paraId="20005997">
            <w:pPr>
              <w:spacing w:line="220" w:lineRule="auto"/>
              <w:jc w:val="center"/>
            </w:pPr>
            <w:r>
              <w:rPr>
                <w:sz w:val="18"/>
                <w:szCs w:val="18"/>
              </w:rPr>
              <w:t>971</w:t>
            </w:r>
          </w:p>
        </w:tc>
        <w:tc>
          <w:tcPr>
            <w:tcW w:w="2020" w:type="dxa"/>
            <w:tcBorders>
              <w:top w:val="nil"/>
              <w:left w:val="nil"/>
              <w:bottom w:val="nil"/>
              <w:right w:val="nil"/>
            </w:tcBorders>
            <w:tcMar>
              <w:top w:w="40" w:type="dxa"/>
              <w:left w:w="40" w:type="dxa"/>
              <w:bottom w:w="40" w:type="dxa"/>
              <w:right w:w="40" w:type="dxa"/>
            </w:tcMar>
          </w:tcPr>
          <w:p w14:paraId="200059CE">
            <w:pPr>
              <w:spacing w:line="220" w:lineRule="auto"/>
              <w:jc w:val="center"/>
            </w:pPr>
            <w:r>
              <w:rPr>
                <w:sz w:val="18"/>
                <w:szCs w:val="18"/>
              </w:rPr>
              <w:t>1.36 (1.14–1.63)</w:t>
            </w:r>
          </w:p>
        </w:tc>
        <w:tc>
          <w:tcPr>
            <w:tcW w:w="2020" w:type="dxa"/>
            <w:tcBorders>
              <w:top w:val="nil"/>
              <w:left w:val="nil"/>
              <w:bottom w:val="nil"/>
              <w:right w:val="nil"/>
            </w:tcBorders>
            <w:tcMar>
              <w:top w:w="40" w:type="dxa"/>
              <w:left w:w="40" w:type="dxa"/>
              <w:bottom w:w="40" w:type="dxa"/>
              <w:right w:w="40" w:type="dxa"/>
            </w:tcMar>
          </w:tcPr>
          <w:p w14:paraId="20005A05">
            <w:pPr>
              <w:spacing w:line="220" w:lineRule="auto"/>
              <w:jc w:val="center"/>
            </w:pPr>
            <w:r>
              <w:rPr>
                <w:sz w:val="18"/>
                <w:szCs w:val="18"/>
              </w:rPr>
              <w:t>1.38 (1.22–1.56)</w:t>
            </w:r>
          </w:p>
        </w:tc>
        <w:tc>
          <w:tcPr>
            <w:tcW w:w="2020" w:type="dxa"/>
            <w:tcBorders>
              <w:top w:val="nil"/>
              <w:left w:val="nil"/>
              <w:bottom w:val="nil"/>
              <w:right w:val="nil"/>
            </w:tcBorders>
            <w:tcMar>
              <w:top w:w="40" w:type="dxa"/>
              <w:left w:w="40" w:type="dxa"/>
              <w:bottom w:w="40" w:type="dxa"/>
              <w:right w:w="40" w:type="dxa"/>
            </w:tcMar>
          </w:tcPr>
          <w:p w14:paraId="20005A3C">
            <w:pPr>
              <w:spacing w:line="220" w:lineRule="auto"/>
              <w:jc w:val="center"/>
            </w:pPr>
            <w:r>
              <w:rPr>
                <w:sz w:val="18"/>
                <w:szCs w:val="18"/>
              </w:rPr>
              <w:t>1.30 (1.08–1.57)</w:t>
            </w:r>
          </w:p>
        </w:tc>
      </w:tr>
      <w:tr w14:paraId="20005BBD">
        <w:tc>
          <w:tcPr>
            <w:tcW w:w="1900" w:type="dxa"/>
            <w:tcBorders>
              <w:top w:val="nil"/>
              <w:left w:val="nil"/>
              <w:bottom w:val="nil"/>
              <w:right w:val="nil"/>
            </w:tcBorders>
            <w:tcMar>
              <w:top w:w="40" w:type="dxa"/>
              <w:left w:w="40" w:type="dxa"/>
              <w:bottom w:w="40" w:type="dxa"/>
              <w:right w:w="40" w:type="dxa"/>
            </w:tcMar>
          </w:tcPr>
          <w:p w14:paraId="20005AAA">
            <w:pPr>
              <w:spacing w:line="220" w:lineRule="auto"/>
              <w:jc w:val="left"/>
            </w:pPr>
            <w:r>
              <w:rPr>
                <w:sz w:val="18"/>
                <w:szCs w:val="18"/>
              </w:rPr>
              <w:t>30–39%</w:t>
            </w:r>
          </w:p>
        </w:tc>
        <w:tc>
          <w:tcPr>
            <w:tcW w:w="1400" w:type="dxa"/>
            <w:tcBorders>
              <w:top w:val="nil"/>
              <w:left w:val="nil"/>
              <w:bottom w:val="nil"/>
              <w:right w:val="nil"/>
            </w:tcBorders>
            <w:tcMar>
              <w:top w:w="40" w:type="dxa"/>
              <w:left w:w="40" w:type="dxa"/>
              <w:bottom w:w="40" w:type="dxa"/>
              <w:right w:w="40" w:type="dxa"/>
            </w:tcMar>
          </w:tcPr>
          <w:p w14:paraId="20005AE1">
            <w:pPr>
              <w:spacing w:line="220" w:lineRule="auto"/>
              <w:jc w:val="center"/>
            </w:pPr>
            <w:r>
              <w:rPr>
                <w:sz w:val="18"/>
                <w:szCs w:val="18"/>
              </w:rPr>
              <w:t>890</w:t>
            </w:r>
          </w:p>
        </w:tc>
        <w:tc>
          <w:tcPr>
            <w:tcW w:w="2020" w:type="dxa"/>
            <w:tcBorders>
              <w:top w:val="nil"/>
              <w:left w:val="nil"/>
              <w:bottom w:val="nil"/>
              <w:right w:val="nil"/>
            </w:tcBorders>
            <w:tcMar>
              <w:top w:w="40" w:type="dxa"/>
              <w:left w:w="40" w:type="dxa"/>
              <w:bottom w:w="40" w:type="dxa"/>
              <w:right w:w="40" w:type="dxa"/>
            </w:tcMar>
          </w:tcPr>
          <w:p w14:paraId="20005B18">
            <w:pPr>
              <w:spacing w:line="220" w:lineRule="auto"/>
              <w:jc w:val="center"/>
            </w:pPr>
            <w:r>
              <w:rPr>
                <w:sz w:val="18"/>
                <w:szCs w:val="18"/>
              </w:rPr>
              <w:t>1.03 (0.85–1.25)</w:t>
            </w:r>
          </w:p>
        </w:tc>
        <w:tc>
          <w:tcPr>
            <w:tcW w:w="2020" w:type="dxa"/>
            <w:tcBorders>
              <w:top w:val="nil"/>
              <w:left w:val="nil"/>
              <w:bottom w:val="nil"/>
              <w:right w:val="nil"/>
            </w:tcBorders>
            <w:tcMar>
              <w:top w:w="40" w:type="dxa"/>
              <w:left w:w="40" w:type="dxa"/>
              <w:bottom w:w="40" w:type="dxa"/>
              <w:right w:w="40" w:type="dxa"/>
            </w:tcMar>
          </w:tcPr>
          <w:p w14:paraId="20005B4F">
            <w:pPr>
              <w:spacing w:line="220" w:lineRule="auto"/>
              <w:jc w:val="center"/>
            </w:pPr>
            <w:r>
              <w:rPr>
                <w:sz w:val="18"/>
                <w:szCs w:val="18"/>
              </w:rPr>
              <w:t>1.11 (0.97–1.27)</w:t>
            </w:r>
          </w:p>
        </w:tc>
        <w:tc>
          <w:tcPr>
            <w:tcW w:w="2020" w:type="dxa"/>
            <w:tcBorders>
              <w:top w:val="nil"/>
              <w:left w:val="nil"/>
              <w:bottom w:val="nil"/>
              <w:right w:val="nil"/>
            </w:tcBorders>
            <w:tcMar>
              <w:top w:w="40" w:type="dxa"/>
              <w:left w:w="40" w:type="dxa"/>
              <w:bottom w:w="40" w:type="dxa"/>
              <w:right w:w="40" w:type="dxa"/>
            </w:tcMar>
          </w:tcPr>
          <w:p w14:paraId="20005B86">
            <w:pPr>
              <w:spacing w:line="220" w:lineRule="auto"/>
              <w:jc w:val="center"/>
            </w:pPr>
            <w:r>
              <w:rPr>
                <w:sz w:val="18"/>
                <w:szCs w:val="18"/>
              </w:rPr>
              <w:t>1.09 (0.89–1.33)</w:t>
            </w:r>
          </w:p>
        </w:tc>
      </w:tr>
      <w:tr w14:paraId="20005D07">
        <w:tc>
          <w:tcPr>
            <w:tcW w:w="1900" w:type="dxa"/>
            <w:tcBorders>
              <w:top w:val="nil"/>
              <w:left w:val="nil"/>
              <w:bottom w:val="nil"/>
              <w:right w:val="nil"/>
            </w:tcBorders>
            <w:tcMar>
              <w:top w:w="40" w:type="dxa"/>
              <w:left w:w="40" w:type="dxa"/>
              <w:bottom w:w="40" w:type="dxa"/>
              <w:right w:w="40" w:type="dxa"/>
            </w:tcMar>
          </w:tcPr>
          <w:p w14:paraId="20005BF4">
            <w:pPr>
              <w:spacing w:line="220" w:lineRule="auto"/>
              <w:jc w:val="left"/>
            </w:pPr>
            <w:r>
              <w:rPr>
                <w:sz w:val="18"/>
                <w:szCs w:val="18"/>
              </w:rPr>
              <w:t>40–49%</w:t>
            </w:r>
          </w:p>
        </w:tc>
        <w:tc>
          <w:tcPr>
            <w:tcW w:w="1400" w:type="dxa"/>
            <w:tcBorders>
              <w:top w:val="nil"/>
              <w:left w:val="nil"/>
              <w:bottom w:val="nil"/>
              <w:right w:val="nil"/>
            </w:tcBorders>
            <w:tcMar>
              <w:top w:w="40" w:type="dxa"/>
              <w:left w:w="40" w:type="dxa"/>
              <w:bottom w:w="40" w:type="dxa"/>
              <w:right w:w="40" w:type="dxa"/>
            </w:tcMar>
          </w:tcPr>
          <w:p w14:paraId="20005C2B">
            <w:pPr>
              <w:spacing w:line="220" w:lineRule="auto"/>
              <w:jc w:val="center"/>
            </w:pPr>
            <w:r>
              <w:rPr>
                <w:sz w:val="18"/>
                <w:szCs w:val="18"/>
              </w:rPr>
              <w:t>913</w:t>
            </w:r>
          </w:p>
        </w:tc>
        <w:tc>
          <w:tcPr>
            <w:tcW w:w="2020" w:type="dxa"/>
            <w:tcBorders>
              <w:top w:val="nil"/>
              <w:left w:val="nil"/>
              <w:bottom w:val="nil"/>
              <w:right w:val="nil"/>
            </w:tcBorders>
            <w:tcMar>
              <w:top w:w="40" w:type="dxa"/>
              <w:left w:w="40" w:type="dxa"/>
              <w:bottom w:w="40" w:type="dxa"/>
              <w:right w:w="40" w:type="dxa"/>
            </w:tcMar>
          </w:tcPr>
          <w:p w14:paraId="20005C62">
            <w:pPr>
              <w:spacing w:line="220" w:lineRule="auto"/>
              <w:jc w:val="center"/>
            </w:pPr>
            <w:r>
              <w:rPr>
                <w:sz w:val="18"/>
                <w:szCs w:val="18"/>
              </w:rPr>
              <w:t>1.05 (0.87–1.27)</w:t>
            </w:r>
          </w:p>
        </w:tc>
        <w:tc>
          <w:tcPr>
            <w:tcW w:w="2020" w:type="dxa"/>
            <w:tcBorders>
              <w:top w:val="nil"/>
              <w:left w:val="nil"/>
              <w:bottom w:val="nil"/>
              <w:right w:val="nil"/>
            </w:tcBorders>
            <w:tcMar>
              <w:top w:w="40" w:type="dxa"/>
              <w:left w:w="40" w:type="dxa"/>
              <w:bottom w:w="40" w:type="dxa"/>
              <w:right w:w="40" w:type="dxa"/>
            </w:tcMar>
          </w:tcPr>
          <w:p w14:paraId="20005C99">
            <w:pPr>
              <w:spacing w:line="220" w:lineRule="auto"/>
              <w:jc w:val="center"/>
            </w:pPr>
            <w:r>
              <w:rPr>
                <w:sz w:val="18"/>
                <w:szCs w:val="18"/>
              </w:rPr>
              <w:t>1.08 (0.95–1.24)</w:t>
            </w:r>
          </w:p>
        </w:tc>
        <w:tc>
          <w:tcPr>
            <w:tcW w:w="2020" w:type="dxa"/>
            <w:tcBorders>
              <w:top w:val="nil"/>
              <w:left w:val="nil"/>
              <w:bottom w:val="nil"/>
              <w:right w:val="nil"/>
            </w:tcBorders>
            <w:tcMar>
              <w:top w:w="40" w:type="dxa"/>
              <w:left w:w="40" w:type="dxa"/>
              <w:bottom w:w="40" w:type="dxa"/>
              <w:right w:w="40" w:type="dxa"/>
            </w:tcMar>
          </w:tcPr>
          <w:p w14:paraId="20005CD0">
            <w:pPr>
              <w:spacing w:line="220" w:lineRule="auto"/>
              <w:jc w:val="center"/>
            </w:pPr>
            <w:r>
              <w:rPr>
                <w:sz w:val="18"/>
                <w:szCs w:val="18"/>
              </w:rPr>
              <w:t>1.05 (0.85–1.29)</w:t>
            </w:r>
          </w:p>
        </w:tc>
      </w:tr>
      <w:tr w14:paraId="20005E51">
        <w:tc>
          <w:tcPr>
            <w:tcW w:w="1900" w:type="dxa"/>
            <w:tcBorders>
              <w:top w:val="nil"/>
              <w:left w:val="nil"/>
              <w:bottom w:val="nil"/>
              <w:right w:val="nil"/>
            </w:tcBorders>
            <w:tcMar>
              <w:top w:w="40" w:type="dxa"/>
              <w:left w:w="40" w:type="dxa"/>
              <w:bottom w:w="40" w:type="dxa"/>
              <w:right w:w="40" w:type="dxa"/>
            </w:tcMar>
          </w:tcPr>
          <w:p w14:paraId="20005D3E">
            <w:pPr>
              <w:spacing w:line="220" w:lineRule="auto"/>
              <w:jc w:val="left"/>
            </w:pPr>
            <w:r>
              <w:rPr>
                <w:sz w:val="18"/>
                <w:szCs w:val="18"/>
              </w:rPr>
              <w:t>50–59%</w:t>
            </w:r>
          </w:p>
        </w:tc>
        <w:tc>
          <w:tcPr>
            <w:tcW w:w="1400" w:type="dxa"/>
            <w:tcBorders>
              <w:top w:val="nil"/>
              <w:left w:val="nil"/>
              <w:bottom w:val="nil"/>
              <w:right w:val="nil"/>
            </w:tcBorders>
            <w:tcMar>
              <w:top w:w="40" w:type="dxa"/>
              <w:left w:w="40" w:type="dxa"/>
              <w:bottom w:w="40" w:type="dxa"/>
              <w:right w:w="40" w:type="dxa"/>
            </w:tcMar>
          </w:tcPr>
          <w:p w14:paraId="20005D75">
            <w:pPr>
              <w:spacing w:line="220" w:lineRule="auto"/>
              <w:jc w:val="center"/>
            </w:pPr>
            <w:r>
              <w:rPr>
                <w:sz w:val="18"/>
                <w:szCs w:val="18"/>
              </w:rPr>
              <w:t>2344</w:t>
            </w:r>
          </w:p>
        </w:tc>
        <w:tc>
          <w:tcPr>
            <w:tcW w:w="2020" w:type="dxa"/>
            <w:tcBorders>
              <w:top w:val="nil"/>
              <w:left w:val="nil"/>
              <w:bottom w:val="nil"/>
              <w:right w:val="nil"/>
            </w:tcBorders>
            <w:tcMar>
              <w:top w:w="40" w:type="dxa"/>
              <w:left w:w="40" w:type="dxa"/>
              <w:bottom w:w="40" w:type="dxa"/>
              <w:right w:w="40" w:type="dxa"/>
            </w:tcMar>
          </w:tcPr>
          <w:p w14:paraId="20005DAC">
            <w:pPr>
              <w:spacing w:line="220" w:lineRule="auto"/>
              <w:jc w:val="center"/>
            </w:pPr>
            <w:r>
              <w:rPr>
                <w:sz w:val="18"/>
                <w:szCs w:val="18"/>
              </w:rPr>
              <w:t>0.97 (0.83–1.12)</w:t>
            </w:r>
          </w:p>
        </w:tc>
        <w:tc>
          <w:tcPr>
            <w:tcW w:w="2020" w:type="dxa"/>
            <w:tcBorders>
              <w:top w:val="nil"/>
              <w:left w:val="nil"/>
              <w:bottom w:val="nil"/>
              <w:right w:val="nil"/>
            </w:tcBorders>
            <w:tcMar>
              <w:top w:w="40" w:type="dxa"/>
              <w:left w:w="40" w:type="dxa"/>
              <w:bottom w:w="40" w:type="dxa"/>
              <w:right w:w="40" w:type="dxa"/>
            </w:tcMar>
          </w:tcPr>
          <w:p w14:paraId="20005DE3">
            <w:pPr>
              <w:spacing w:line="220" w:lineRule="auto"/>
              <w:jc w:val="center"/>
            </w:pPr>
            <w:r>
              <w:rPr>
                <w:sz w:val="18"/>
                <w:szCs w:val="18"/>
              </w:rPr>
              <w:t>0.99 (0.89–1.10)</w:t>
            </w:r>
          </w:p>
        </w:tc>
        <w:tc>
          <w:tcPr>
            <w:tcW w:w="2020" w:type="dxa"/>
            <w:tcBorders>
              <w:top w:val="nil"/>
              <w:left w:val="nil"/>
              <w:bottom w:val="nil"/>
              <w:right w:val="nil"/>
            </w:tcBorders>
            <w:tcMar>
              <w:top w:w="40" w:type="dxa"/>
              <w:left w:w="40" w:type="dxa"/>
              <w:bottom w:w="40" w:type="dxa"/>
              <w:right w:w="40" w:type="dxa"/>
            </w:tcMar>
          </w:tcPr>
          <w:p w14:paraId="20005E1A">
            <w:pPr>
              <w:spacing w:line="220" w:lineRule="auto"/>
              <w:jc w:val="center"/>
            </w:pPr>
            <w:r>
              <w:rPr>
                <w:sz w:val="18"/>
                <w:szCs w:val="18"/>
              </w:rPr>
              <w:t>0.96 (0.82–1.12)</w:t>
            </w:r>
          </w:p>
        </w:tc>
      </w:tr>
      <w:tr w14:paraId="20005F9B">
        <w:tc>
          <w:tcPr>
            <w:tcW w:w="1900" w:type="dxa"/>
            <w:tcBorders>
              <w:top w:val="nil"/>
              <w:left w:val="nil"/>
              <w:bottom w:val="nil"/>
              <w:right w:val="nil"/>
            </w:tcBorders>
            <w:tcMar>
              <w:top w:w="40" w:type="dxa"/>
              <w:left w:w="40" w:type="dxa"/>
              <w:bottom w:w="40" w:type="dxa"/>
              <w:right w:w="40" w:type="dxa"/>
            </w:tcMar>
          </w:tcPr>
          <w:p w14:paraId="20005E88">
            <w:pPr>
              <w:spacing w:line="220" w:lineRule="auto"/>
              <w:jc w:val="left"/>
            </w:pPr>
            <w:r>
              <w:rPr>
                <w:sz w:val="18"/>
                <w:szCs w:val="18"/>
              </w:rPr>
              <w:t>60–69% (reference)</w:t>
            </w:r>
          </w:p>
        </w:tc>
        <w:tc>
          <w:tcPr>
            <w:tcW w:w="1400" w:type="dxa"/>
            <w:tcBorders>
              <w:top w:val="nil"/>
              <w:left w:val="nil"/>
              <w:bottom w:val="nil"/>
              <w:right w:val="nil"/>
            </w:tcBorders>
            <w:tcMar>
              <w:top w:w="40" w:type="dxa"/>
              <w:left w:w="40" w:type="dxa"/>
              <w:bottom w:w="40" w:type="dxa"/>
              <w:right w:w="40" w:type="dxa"/>
            </w:tcMar>
          </w:tcPr>
          <w:p w14:paraId="20005EBF">
            <w:pPr>
              <w:spacing w:line="220" w:lineRule="auto"/>
              <w:jc w:val="center"/>
            </w:pPr>
            <w:r>
              <w:rPr>
                <w:sz w:val="18"/>
                <w:szCs w:val="18"/>
              </w:rPr>
              <w:t>2312</w:t>
            </w:r>
          </w:p>
        </w:tc>
        <w:tc>
          <w:tcPr>
            <w:tcW w:w="2020" w:type="dxa"/>
            <w:tcBorders>
              <w:top w:val="nil"/>
              <w:left w:val="nil"/>
              <w:bottom w:val="nil"/>
              <w:right w:val="nil"/>
            </w:tcBorders>
            <w:tcMar>
              <w:top w:w="40" w:type="dxa"/>
              <w:left w:w="40" w:type="dxa"/>
              <w:bottom w:w="40" w:type="dxa"/>
              <w:right w:w="40" w:type="dxa"/>
            </w:tcMar>
          </w:tcPr>
          <w:p w14:paraId="20005EF6">
            <w:pPr>
              <w:spacing w:line="220" w:lineRule="auto"/>
              <w:jc w:val="center"/>
            </w:pPr>
            <w:r>
              <w:rPr>
                <w:sz w:val="18"/>
                <w:szCs w:val="18"/>
              </w:rPr>
              <w:t>1.00 (reference)</w:t>
            </w:r>
          </w:p>
        </w:tc>
        <w:tc>
          <w:tcPr>
            <w:tcW w:w="2020" w:type="dxa"/>
            <w:tcBorders>
              <w:top w:val="nil"/>
              <w:left w:val="nil"/>
              <w:bottom w:val="nil"/>
              <w:right w:val="nil"/>
            </w:tcBorders>
            <w:tcMar>
              <w:top w:w="40" w:type="dxa"/>
              <w:left w:w="40" w:type="dxa"/>
              <w:bottom w:w="40" w:type="dxa"/>
              <w:right w:w="40" w:type="dxa"/>
            </w:tcMar>
          </w:tcPr>
          <w:p w14:paraId="20005F2D">
            <w:pPr>
              <w:spacing w:line="220" w:lineRule="auto"/>
              <w:jc w:val="center"/>
            </w:pPr>
            <w:r>
              <w:rPr>
                <w:sz w:val="18"/>
                <w:szCs w:val="18"/>
              </w:rPr>
              <w:t>1.00 (reference)</w:t>
            </w:r>
          </w:p>
        </w:tc>
        <w:tc>
          <w:tcPr>
            <w:tcW w:w="2020" w:type="dxa"/>
            <w:tcBorders>
              <w:top w:val="nil"/>
              <w:left w:val="nil"/>
              <w:bottom w:val="nil"/>
              <w:right w:val="nil"/>
            </w:tcBorders>
            <w:tcMar>
              <w:top w:w="40" w:type="dxa"/>
              <w:left w:w="40" w:type="dxa"/>
              <w:bottom w:w="40" w:type="dxa"/>
              <w:right w:w="40" w:type="dxa"/>
            </w:tcMar>
          </w:tcPr>
          <w:p w14:paraId="20005F64">
            <w:pPr>
              <w:spacing w:line="220" w:lineRule="auto"/>
              <w:jc w:val="center"/>
            </w:pPr>
            <w:r>
              <w:rPr>
                <w:sz w:val="18"/>
                <w:szCs w:val="18"/>
              </w:rPr>
              <w:t>1.00 (reference)</w:t>
            </w:r>
          </w:p>
        </w:tc>
      </w:tr>
      <w:tr w14:paraId="200060E5">
        <w:tc>
          <w:tcPr>
            <w:tcW w:w="1900" w:type="dxa"/>
            <w:tcBorders>
              <w:top w:val="nil"/>
              <w:left w:val="nil"/>
              <w:bottom w:val="single" w:color="000000" w:sz="8" w:space="0"/>
              <w:right w:val="nil"/>
            </w:tcBorders>
            <w:tcMar>
              <w:top w:w="40" w:type="dxa"/>
              <w:left w:w="40" w:type="dxa"/>
              <w:bottom w:w="40" w:type="dxa"/>
              <w:right w:w="40" w:type="dxa"/>
            </w:tcMar>
          </w:tcPr>
          <w:p w14:paraId="20005FD2">
            <w:pPr>
              <w:spacing w:line="220" w:lineRule="auto"/>
              <w:jc w:val="left"/>
            </w:pPr>
            <w:r>
              <w:rPr>
                <w:sz w:val="18"/>
                <w:szCs w:val="18"/>
              </w:rPr>
              <w:t>≥70%</w:t>
            </w:r>
          </w:p>
        </w:tc>
        <w:tc>
          <w:tcPr>
            <w:tcW w:w="1400" w:type="dxa"/>
            <w:tcBorders>
              <w:top w:val="nil"/>
              <w:left w:val="nil"/>
              <w:bottom w:val="single" w:color="000000" w:sz="8" w:space="0"/>
              <w:right w:val="nil"/>
            </w:tcBorders>
            <w:tcMar>
              <w:top w:w="40" w:type="dxa"/>
              <w:left w:w="40" w:type="dxa"/>
              <w:bottom w:w="40" w:type="dxa"/>
              <w:right w:w="40" w:type="dxa"/>
            </w:tcMar>
          </w:tcPr>
          <w:p w14:paraId="20006009">
            <w:pPr>
              <w:spacing w:line="220" w:lineRule="auto"/>
              <w:jc w:val="center"/>
            </w:pPr>
            <w:r>
              <w:rPr>
                <w:sz w:val="18"/>
                <w:szCs w:val="18"/>
              </w:rPr>
              <w:t>1362</w:t>
            </w:r>
          </w:p>
        </w:tc>
        <w:tc>
          <w:tcPr>
            <w:tcW w:w="2020" w:type="dxa"/>
            <w:tcBorders>
              <w:top w:val="nil"/>
              <w:left w:val="nil"/>
              <w:bottom w:val="single" w:color="000000" w:sz="8" w:space="0"/>
              <w:right w:val="nil"/>
            </w:tcBorders>
            <w:tcMar>
              <w:top w:w="40" w:type="dxa"/>
              <w:left w:w="40" w:type="dxa"/>
              <w:bottom w:w="40" w:type="dxa"/>
              <w:right w:w="40" w:type="dxa"/>
            </w:tcMar>
          </w:tcPr>
          <w:p w14:paraId="20006040">
            <w:pPr>
              <w:spacing w:line="220" w:lineRule="auto"/>
              <w:jc w:val="center"/>
            </w:pPr>
            <w:r>
              <w:rPr>
                <w:sz w:val="18"/>
                <w:szCs w:val="18"/>
              </w:rPr>
              <w:t>1.37 (1.16–1.61)</w:t>
            </w:r>
          </w:p>
        </w:tc>
        <w:tc>
          <w:tcPr>
            <w:tcW w:w="2020" w:type="dxa"/>
            <w:tcBorders>
              <w:top w:val="nil"/>
              <w:left w:val="nil"/>
              <w:bottom w:val="single" w:color="000000" w:sz="8" w:space="0"/>
              <w:right w:val="nil"/>
            </w:tcBorders>
            <w:tcMar>
              <w:top w:w="40" w:type="dxa"/>
              <w:left w:w="40" w:type="dxa"/>
              <w:bottom w:w="40" w:type="dxa"/>
              <w:right w:w="40" w:type="dxa"/>
            </w:tcMar>
          </w:tcPr>
          <w:p w14:paraId="20006077">
            <w:pPr>
              <w:spacing w:line="220" w:lineRule="auto"/>
              <w:jc w:val="center"/>
            </w:pPr>
            <w:r>
              <w:rPr>
                <w:sz w:val="18"/>
                <w:szCs w:val="18"/>
              </w:rPr>
              <w:t>1.32 (1.18–1.48)</w:t>
            </w:r>
          </w:p>
        </w:tc>
        <w:tc>
          <w:tcPr>
            <w:tcW w:w="2020" w:type="dxa"/>
            <w:tcBorders>
              <w:top w:val="nil"/>
              <w:left w:val="nil"/>
              <w:bottom w:val="single" w:color="000000" w:sz="8" w:space="0"/>
              <w:right w:val="nil"/>
            </w:tcBorders>
            <w:tcMar>
              <w:top w:w="40" w:type="dxa"/>
              <w:left w:w="40" w:type="dxa"/>
              <w:bottom w:w="40" w:type="dxa"/>
              <w:right w:w="40" w:type="dxa"/>
            </w:tcMar>
          </w:tcPr>
          <w:p w14:paraId="200060AE">
            <w:pPr>
              <w:spacing w:line="220" w:lineRule="auto"/>
              <w:jc w:val="center"/>
            </w:pPr>
            <w:r>
              <w:rPr>
                <w:sz w:val="18"/>
                <w:szCs w:val="18"/>
              </w:rPr>
              <w:t>1.36 (1.15–1.62)</w:t>
            </w:r>
          </w:p>
        </w:tc>
      </w:tr>
    </w:tbl>
    <w:p w14:paraId="2000611C">
      <w:pPr>
        <w:spacing w:before="40" w:after="160" w:line="240" w:lineRule="auto"/>
        <w:jc w:val="left"/>
      </w:pPr>
      <w:r>
        <w:rPr>
          <w:i/>
          <w:iCs/>
          <w:sz w:val="20"/>
          <w:szCs w:val="20"/>
        </w:rPr>
        <w:t>Models are identical to those in Table 2 except for the choice of reference stratum. The 50–59% stratum used in the primary analysis was selected by convention, as the band conventionally regarded as normal systolic function; the 60–69% stratum carried the lowest crude 28-day mortality (21.3% versus 22.3%), while the spline nadir lies near 55% (Fig. 2). Both limbs of the U-shape are preserved under either choice, and the 50–59% stratum does not differ from the 60–69% stratum for any outcome. All models were adjusted for age, sex, SOFA score, Charlson Comorbidity Index, atrial fibrillation, log-transformed maximum 24-hour serum lactate, invasive mechanical ventilation, any vasopressor, and maximum KDIGO acute kidney injury stage. CI, confidence interval; HR, hazard ratio; OR, odds ratio.</w:t>
      </w:r>
    </w:p>
    <w:p w14:paraId="20006153">
      <w:pPr>
        <w:spacing w:before="160" w:after="80"/>
        <w:rPr>
          <w:b/>
          <w:bCs/>
          <w:sz w:val="20"/>
          <w:szCs w:val="20"/>
        </w:rPr>
      </w:pPr>
    </w:p>
    <w:p w14:paraId="2000618A">
      <w:pPr>
        <w:spacing w:before="160" w:after="80"/>
      </w:pPr>
      <w:r>
        <w:rPr>
          <w:b/>
          <w:bCs/>
          <w:sz w:val="20"/>
          <w:szCs w:val="20"/>
        </w:rPr>
        <w:t xml:space="preserve">Table S7. </w:t>
      </w:r>
      <w:r>
        <w:rPr>
          <w:sz w:val="20"/>
          <w:szCs w:val="20"/>
        </w:rPr>
        <w:t>Incremental prognostic value of left ventricular ejection fraction category for 28-day mortality.</w:t>
      </w:r>
    </w:p>
    <w:p w14:paraId="200061C1">
      <w:pPr>
        <w:spacing w:before="160" w:after="80"/>
        <w:rPr>
          <w:b/>
          <w:bCs/>
          <w:sz w:val="20"/>
          <w:szCs w:val="20"/>
        </w:rPr>
      </w:pP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4160"/>
        <w:gridCol w:w="2600"/>
        <w:gridCol w:w="2600"/>
      </w:tblGrid>
      <w:tr w14:paraId="2000629D">
        <w:trPr>
          <w:tblHeader/>
        </w:trPr>
        <w:tc>
          <w:tcPr>
            <w:tcW w:w="4160" w:type="dxa"/>
            <w:tcBorders>
              <w:top w:val="single" w:color="000000" w:sz="8" w:space="0"/>
              <w:left w:val="nil"/>
              <w:bottom w:val="single" w:color="000000" w:sz="4" w:space="0"/>
              <w:right w:val="nil"/>
            </w:tcBorders>
            <w:tcMar>
              <w:top w:w="40" w:type="dxa"/>
              <w:left w:w="40" w:type="dxa"/>
              <w:bottom w:w="40" w:type="dxa"/>
              <w:right w:w="40" w:type="dxa"/>
            </w:tcMar>
          </w:tcPr>
          <w:p w14:paraId="200061F8">
            <w:pPr>
              <w:spacing w:line="220" w:lineRule="auto"/>
              <w:jc w:val="left"/>
            </w:pPr>
            <w:r>
              <w:rPr>
                <w:b/>
                <w:bCs/>
                <w:sz w:val="18"/>
                <w:szCs w:val="18"/>
              </w:rPr>
              <w:t>Measure</w:t>
            </w:r>
          </w:p>
        </w:tc>
        <w:tc>
          <w:tcPr>
            <w:tcW w:w="2600" w:type="dxa"/>
            <w:tcBorders>
              <w:top w:val="single" w:color="000000" w:sz="8" w:space="0"/>
              <w:left w:val="nil"/>
              <w:bottom w:val="single" w:color="000000" w:sz="4" w:space="0"/>
              <w:right w:val="nil"/>
            </w:tcBorders>
            <w:tcMar>
              <w:top w:w="40" w:type="dxa"/>
              <w:left w:w="40" w:type="dxa"/>
              <w:bottom w:w="40" w:type="dxa"/>
              <w:right w:w="40" w:type="dxa"/>
            </w:tcMar>
          </w:tcPr>
          <w:p w14:paraId="2000622F">
            <w:pPr>
              <w:spacing w:line="220" w:lineRule="auto"/>
              <w:jc w:val="center"/>
            </w:pPr>
            <w:r>
              <w:rPr>
                <w:b/>
                <w:bCs/>
                <w:sz w:val="18"/>
                <w:szCs w:val="18"/>
              </w:rPr>
              <w:t>Covariate model without LVEF</w:t>
            </w:r>
          </w:p>
        </w:tc>
        <w:tc>
          <w:tcPr>
            <w:tcW w:w="2600" w:type="dxa"/>
            <w:tcBorders>
              <w:top w:val="single" w:color="000000" w:sz="8" w:space="0"/>
              <w:left w:val="nil"/>
              <w:bottom w:val="single" w:color="000000" w:sz="4" w:space="0"/>
              <w:right w:val="nil"/>
            </w:tcBorders>
            <w:tcMar>
              <w:top w:w="40" w:type="dxa"/>
              <w:left w:w="40" w:type="dxa"/>
              <w:bottom w:w="40" w:type="dxa"/>
              <w:right w:w="40" w:type="dxa"/>
            </w:tcMar>
          </w:tcPr>
          <w:p w14:paraId="20006266">
            <w:pPr>
              <w:spacing w:line="220" w:lineRule="auto"/>
              <w:jc w:val="center"/>
            </w:pPr>
            <w:r>
              <w:rPr>
                <w:b/>
                <w:bCs/>
                <w:sz w:val="18"/>
                <w:szCs w:val="18"/>
              </w:rPr>
              <w:t>Covariate model plus LVEF category</w:t>
            </w:r>
          </w:p>
        </w:tc>
      </w:tr>
      <w:tr w14:paraId="20006379">
        <w:tc>
          <w:tcPr>
            <w:tcW w:w="4160" w:type="dxa"/>
            <w:tcBorders>
              <w:top w:val="nil"/>
              <w:left w:val="nil"/>
              <w:bottom w:val="nil"/>
              <w:right w:val="nil"/>
            </w:tcBorders>
            <w:tcMar>
              <w:top w:w="40" w:type="dxa"/>
              <w:left w:w="40" w:type="dxa"/>
              <w:bottom w:w="40" w:type="dxa"/>
              <w:right w:w="40" w:type="dxa"/>
            </w:tcMar>
          </w:tcPr>
          <w:p w14:paraId="200062D4">
            <w:pPr>
              <w:spacing w:line="220" w:lineRule="auto"/>
              <w:jc w:val="left"/>
            </w:pPr>
            <w:r>
              <w:rPr>
                <w:sz w:val="18"/>
                <w:szCs w:val="18"/>
              </w:rPr>
              <w:t>C-statistic</w:t>
            </w:r>
          </w:p>
        </w:tc>
        <w:tc>
          <w:tcPr>
            <w:tcW w:w="2600" w:type="dxa"/>
            <w:tcBorders>
              <w:top w:val="nil"/>
              <w:left w:val="nil"/>
              <w:bottom w:val="nil"/>
              <w:right w:val="nil"/>
            </w:tcBorders>
            <w:tcMar>
              <w:top w:w="40" w:type="dxa"/>
              <w:left w:w="40" w:type="dxa"/>
              <w:bottom w:w="40" w:type="dxa"/>
              <w:right w:w="40" w:type="dxa"/>
            </w:tcMar>
          </w:tcPr>
          <w:p w14:paraId="2000630B">
            <w:pPr>
              <w:spacing w:line="220" w:lineRule="auto"/>
              <w:jc w:val="center"/>
            </w:pPr>
            <w:r>
              <w:rPr>
                <w:sz w:val="18"/>
                <w:szCs w:val="18"/>
              </w:rPr>
              <w:t>0.7189</w:t>
            </w:r>
          </w:p>
        </w:tc>
        <w:tc>
          <w:tcPr>
            <w:tcW w:w="2600" w:type="dxa"/>
            <w:tcBorders>
              <w:top w:val="nil"/>
              <w:left w:val="nil"/>
              <w:bottom w:val="nil"/>
              <w:right w:val="nil"/>
            </w:tcBorders>
            <w:tcMar>
              <w:top w:w="40" w:type="dxa"/>
              <w:left w:w="40" w:type="dxa"/>
              <w:bottom w:w="40" w:type="dxa"/>
              <w:right w:w="40" w:type="dxa"/>
            </w:tcMar>
          </w:tcPr>
          <w:p w14:paraId="20006342">
            <w:pPr>
              <w:spacing w:line="220" w:lineRule="auto"/>
              <w:jc w:val="center"/>
            </w:pPr>
            <w:r>
              <w:rPr>
                <w:sz w:val="18"/>
                <w:szCs w:val="18"/>
              </w:rPr>
              <w:t>0.7214</w:t>
            </w:r>
          </w:p>
        </w:tc>
      </w:tr>
      <w:tr w14:paraId="20006455">
        <w:tc>
          <w:tcPr>
            <w:tcW w:w="4160" w:type="dxa"/>
            <w:tcBorders>
              <w:top w:val="nil"/>
              <w:left w:val="nil"/>
              <w:bottom w:val="nil"/>
              <w:right w:val="nil"/>
            </w:tcBorders>
            <w:tcMar>
              <w:top w:w="40" w:type="dxa"/>
              <w:left w:w="40" w:type="dxa"/>
              <w:bottom w:w="40" w:type="dxa"/>
              <w:right w:w="40" w:type="dxa"/>
            </w:tcMar>
          </w:tcPr>
          <w:p w14:paraId="200063B0">
            <w:pPr>
              <w:spacing w:line="220" w:lineRule="auto"/>
              <w:jc w:val="left"/>
            </w:pPr>
            <w:r>
              <w:rPr>
                <w:sz w:val="18"/>
                <w:szCs w:val="18"/>
              </w:rPr>
              <w:t>Difference in C-statistic (DeLong)</w:t>
            </w:r>
          </w:p>
        </w:tc>
        <w:tc>
          <w:tcPr>
            <w:tcW w:w="2600" w:type="dxa"/>
            <w:tcBorders>
              <w:top w:val="nil"/>
              <w:left w:val="nil"/>
              <w:bottom w:val="nil"/>
              <w:right w:val="nil"/>
            </w:tcBorders>
            <w:tcMar>
              <w:top w:w="40" w:type="dxa"/>
              <w:left w:w="40" w:type="dxa"/>
              <w:bottom w:w="40" w:type="dxa"/>
              <w:right w:w="40" w:type="dxa"/>
            </w:tcMar>
          </w:tcPr>
          <w:p w14:paraId="200063E7">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41E">
            <w:pPr>
              <w:spacing w:line="220" w:lineRule="auto"/>
              <w:jc w:val="center"/>
            </w:pPr>
            <w:r>
              <w:rPr>
                <w:sz w:val="18"/>
                <w:szCs w:val="18"/>
              </w:rPr>
              <w:t>0.0025 (95% CI 0.0002–0.0049), P = 0.035</w:t>
            </w:r>
          </w:p>
        </w:tc>
      </w:tr>
      <w:tr w14:paraId="20006531">
        <w:tc>
          <w:tcPr>
            <w:tcW w:w="4160" w:type="dxa"/>
            <w:tcBorders>
              <w:top w:val="nil"/>
              <w:left w:val="nil"/>
              <w:bottom w:val="nil"/>
              <w:right w:val="nil"/>
            </w:tcBorders>
            <w:tcMar>
              <w:top w:w="40" w:type="dxa"/>
              <w:left w:w="40" w:type="dxa"/>
              <w:bottom w:w="40" w:type="dxa"/>
              <w:right w:w="40" w:type="dxa"/>
            </w:tcMar>
          </w:tcPr>
          <w:p w14:paraId="2000648C">
            <w:pPr>
              <w:spacing w:line="220" w:lineRule="auto"/>
              <w:jc w:val="left"/>
            </w:pPr>
            <w:r>
              <w:rPr>
                <w:sz w:val="18"/>
                <w:szCs w:val="18"/>
              </w:rPr>
              <w:t>Integrated discrimination improvement</w:t>
            </w:r>
          </w:p>
        </w:tc>
        <w:tc>
          <w:tcPr>
            <w:tcW w:w="2600" w:type="dxa"/>
            <w:tcBorders>
              <w:top w:val="nil"/>
              <w:left w:val="nil"/>
              <w:bottom w:val="nil"/>
              <w:right w:val="nil"/>
            </w:tcBorders>
            <w:tcMar>
              <w:top w:w="40" w:type="dxa"/>
              <w:left w:w="40" w:type="dxa"/>
              <w:bottom w:w="40" w:type="dxa"/>
              <w:right w:w="40" w:type="dxa"/>
            </w:tcMar>
          </w:tcPr>
          <w:p w14:paraId="200064C3">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4FA">
            <w:pPr>
              <w:spacing w:line="220" w:lineRule="auto"/>
              <w:jc w:val="center"/>
            </w:pPr>
            <w:r>
              <w:rPr>
                <w:sz w:val="18"/>
                <w:szCs w:val="18"/>
              </w:rPr>
              <w:t>0.0035</w:t>
            </w:r>
          </w:p>
        </w:tc>
      </w:tr>
      <w:tr w14:paraId="2000660D">
        <w:tc>
          <w:tcPr>
            <w:tcW w:w="4160" w:type="dxa"/>
            <w:tcBorders>
              <w:top w:val="nil"/>
              <w:left w:val="nil"/>
              <w:bottom w:val="nil"/>
              <w:right w:val="nil"/>
            </w:tcBorders>
            <w:tcMar>
              <w:top w:w="40" w:type="dxa"/>
              <w:left w:w="40" w:type="dxa"/>
              <w:bottom w:w="40" w:type="dxa"/>
              <w:right w:w="40" w:type="dxa"/>
            </w:tcMar>
          </w:tcPr>
          <w:p w14:paraId="20006568">
            <w:pPr>
              <w:spacing w:line="220" w:lineRule="auto"/>
              <w:jc w:val="left"/>
            </w:pPr>
            <w:r>
              <w:rPr>
                <w:sz w:val="18"/>
                <w:szCs w:val="18"/>
              </w:rPr>
              <w:t>Continuous net reclassification improvement, overall</w:t>
            </w:r>
          </w:p>
        </w:tc>
        <w:tc>
          <w:tcPr>
            <w:tcW w:w="2600" w:type="dxa"/>
            <w:tcBorders>
              <w:top w:val="nil"/>
              <w:left w:val="nil"/>
              <w:bottom w:val="nil"/>
              <w:right w:val="nil"/>
            </w:tcBorders>
            <w:tcMar>
              <w:top w:w="40" w:type="dxa"/>
              <w:left w:w="40" w:type="dxa"/>
              <w:bottom w:w="40" w:type="dxa"/>
              <w:right w:w="40" w:type="dxa"/>
            </w:tcMar>
          </w:tcPr>
          <w:p w14:paraId="2000659F">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5D6">
            <w:pPr>
              <w:spacing w:line="220" w:lineRule="auto"/>
              <w:jc w:val="center"/>
            </w:pPr>
            <w:r>
              <w:rPr>
                <w:sz w:val="18"/>
                <w:szCs w:val="18"/>
              </w:rPr>
              <w:t>0.203</w:t>
            </w:r>
          </w:p>
        </w:tc>
      </w:tr>
      <w:tr w14:paraId="200066E9">
        <w:tc>
          <w:tcPr>
            <w:tcW w:w="4160" w:type="dxa"/>
            <w:tcBorders>
              <w:top w:val="nil"/>
              <w:left w:val="nil"/>
              <w:bottom w:val="nil"/>
              <w:right w:val="nil"/>
            </w:tcBorders>
            <w:tcMar>
              <w:top w:w="40" w:type="dxa"/>
              <w:left w:w="40" w:type="dxa"/>
              <w:bottom w:w="40" w:type="dxa"/>
              <w:right w:w="40" w:type="dxa"/>
            </w:tcMar>
          </w:tcPr>
          <w:p w14:paraId="20006644">
            <w:pPr>
              <w:spacing w:line="220" w:lineRule="auto"/>
              <w:jc w:val="left"/>
            </w:pPr>
            <w:r>
              <w:rPr>
                <w:sz w:val="18"/>
                <w:szCs w:val="18"/>
              </w:rPr>
              <w:t> among events</w:t>
            </w:r>
          </w:p>
        </w:tc>
        <w:tc>
          <w:tcPr>
            <w:tcW w:w="2600" w:type="dxa"/>
            <w:tcBorders>
              <w:top w:val="nil"/>
              <w:left w:val="nil"/>
              <w:bottom w:val="nil"/>
              <w:right w:val="nil"/>
            </w:tcBorders>
            <w:tcMar>
              <w:top w:w="40" w:type="dxa"/>
              <w:left w:w="40" w:type="dxa"/>
              <w:bottom w:w="40" w:type="dxa"/>
              <w:right w:w="40" w:type="dxa"/>
            </w:tcMar>
          </w:tcPr>
          <w:p w14:paraId="2000667B">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6B2">
            <w:pPr>
              <w:spacing w:line="220" w:lineRule="auto"/>
              <w:jc w:val="center"/>
            </w:pPr>
            <w:r>
              <w:rPr>
                <w:sz w:val="18"/>
                <w:szCs w:val="18"/>
              </w:rPr>
              <w:t>−0.319</w:t>
            </w:r>
          </w:p>
        </w:tc>
      </w:tr>
      <w:tr w14:paraId="200067C5">
        <w:tc>
          <w:tcPr>
            <w:tcW w:w="4160" w:type="dxa"/>
            <w:tcBorders>
              <w:top w:val="nil"/>
              <w:left w:val="nil"/>
              <w:bottom w:val="nil"/>
              <w:right w:val="nil"/>
            </w:tcBorders>
            <w:tcMar>
              <w:top w:w="40" w:type="dxa"/>
              <w:left w:w="40" w:type="dxa"/>
              <w:bottom w:w="40" w:type="dxa"/>
              <w:right w:w="40" w:type="dxa"/>
            </w:tcMar>
          </w:tcPr>
          <w:p w14:paraId="20006720">
            <w:pPr>
              <w:spacing w:line="220" w:lineRule="auto"/>
              <w:jc w:val="left"/>
            </w:pPr>
            <w:r>
              <w:rPr>
                <w:sz w:val="18"/>
                <w:szCs w:val="18"/>
              </w:rPr>
              <w:t> among non-events</w:t>
            </w:r>
          </w:p>
        </w:tc>
        <w:tc>
          <w:tcPr>
            <w:tcW w:w="2600" w:type="dxa"/>
            <w:tcBorders>
              <w:top w:val="nil"/>
              <w:left w:val="nil"/>
              <w:bottom w:val="nil"/>
              <w:right w:val="nil"/>
            </w:tcBorders>
            <w:tcMar>
              <w:top w:w="40" w:type="dxa"/>
              <w:left w:w="40" w:type="dxa"/>
              <w:bottom w:w="40" w:type="dxa"/>
              <w:right w:w="40" w:type="dxa"/>
            </w:tcMar>
          </w:tcPr>
          <w:p w14:paraId="20006757">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78E">
            <w:pPr>
              <w:spacing w:line="220" w:lineRule="auto"/>
              <w:jc w:val="center"/>
            </w:pPr>
            <w:r>
              <w:rPr>
                <w:sz w:val="18"/>
                <w:szCs w:val="18"/>
              </w:rPr>
              <w:t>0.522</w:t>
            </w:r>
          </w:p>
        </w:tc>
      </w:tr>
      <w:tr w14:paraId="200068A1">
        <w:tc>
          <w:tcPr>
            <w:tcW w:w="4160" w:type="dxa"/>
            <w:tcBorders>
              <w:top w:val="nil"/>
              <w:left w:val="nil"/>
              <w:bottom w:val="nil"/>
              <w:right w:val="nil"/>
            </w:tcBorders>
            <w:tcMar>
              <w:top w:w="40" w:type="dxa"/>
              <w:left w:w="40" w:type="dxa"/>
              <w:bottom w:w="40" w:type="dxa"/>
              <w:right w:w="40" w:type="dxa"/>
            </w:tcMar>
          </w:tcPr>
          <w:p w14:paraId="200067FC">
            <w:pPr>
              <w:spacing w:line="220" w:lineRule="auto"/>
              <w:jc w:val="left"/>
            </w:pPr>
            <w:r>
              <w:rPr>
                <w:sz w:val="18"/>
                <w:szCs w:val="18"/>
              </w:rPr>
              <w:t>Hosmer–Lemeshow statistic (8 df)</w:t>
            </w:r>
          </w:p>
        </w:tc>
        <w:tc>
          <w:tcPr>
            <w:tcW w:w="2600" w:type="dxa"/>
            <w:tcBorders>
              <w:top w:val="nil"/>
              <w:left w:val="nil"/>
              <w:bottom w:val="nil"/>
              <w:right w:val="nil"/>
            </w:tcBorders>
            <w:tcMar>
              <w:top w:w="40" w:type="dxa"/>
              <w:left w:w="40" w:type="dxa"/>
              <w:bottom w:w="40" w:type="dxa"/>
              <w:right w:w="40" w:type="dxa"/>
            </w:tcMar>
          </w:tcPr>
          <w:p w14:paraId="20006833">
            <w:pPr>
              <w:spacing w:line="220" w:lineRule="auto"/>
              <w:jc w:val="center"/>
            </w:pPr>
            <w:r>
              <w:rPr>
                <w:sz w:val="18"/>
                <w:szCs w:val="18"/>
              </w:rPr>
              <w:t>13.44, P = 0.098</w:t>
            </w:r>
          </w:p>
        </w:tc>
        <w:tc>
          <w:tcPr>
            <w:tcW w:w="2600" w:type="dxa"/>
            <w:tcBorders>
              <w:top w:val="nil"/>
              <w:left w:val="nil"/>
              <w:bottom w:val="nil"/>
              <w:right w:val="nil"/>
            </w:tcBorders>
            <w:tcMar>
              <w:top w:w="40" w:type="dxa"/>
              <w:left w:w="40" w:type="dxa"/>
              <w:bottom w:w="40" w:type="dxa"/>
              <w:right w:w="40" w:type="dxa"/>
            </w:tcMar>
          </w:tcPr>
          <w:p w14:paraId="2000686A">
            <w:pPr>
              <w:spacing w:line="220" w:lineRule="auto"/>
              <w:jc w:val="center"/>
            </w:pPr>
            <w:r>
              <w:rPr>
                <w:sz w:val="18"/>
                <w:szCs w:val="18"/>
              </w:rPr>
              <w:t>14.47, P = 0.070</w:t>
            </w:r>
          </w:p>
        </w:tc>
      </w:tr>
      <w:tr w14:paraId="2000697D">
        <w:tc>
          <w:tcPr>
            <w:tcW w:w="4160" w:type="dxa"/>
            <w:tcBorders>
              <w:top w:val="nil"/>
              <w:left w:val="nil"/>
              <w:bottom w:val="nil"/>
              <w:right w:val="nil"/>
            </w:tcBorders>
            <w:tcMar>
              <w:top w:w="40" w:type="dxa"/>
              <w:left w:w="40" w:type="dxa"/>
              <w:bottom w:w="40" w:type="dxa"/>
              <w:right w:w="40" w:type="dxa"/>
            </w:tcMar>
          </w:tcPr>
          <w:p w14:paraId="200068D8">
            <w:pPr>
              <w:spacing w:line="220" w:lineRule="auto"/>
              <w:jc w:val="left"/>
            </w:pPr>
            <w:r>
              <w:rPr>
                <w:sz w:val="18"/>
                <w:szCs w:val="18"/>
              </w:rPr>
              <w:t>Optimism-corrected C-statistic</w:t>
            </w:r>
          </w:p>
        </w:tc>
        <w:tc>
          <w:tcPr>
            <w:tcW w:w="2600" w:type="dxa"/>
            <w:tcBorders>
              <w:top w:val="nil"/>
              <w:left w:val="nil"/>
              <w:bottom w:val="nil"/>
              <w:right w:val="nil"/>
            </w:tcBorders>
            <w:tcMar>
              <w:top w:w="40" w:type="dxa"/>
              <w:left w:w="40" w:type="dxa"/>
              <w:bottom w:w="40" w:type="dxa"/>
              <w:right w:w="40" w:type="dxa"/>
            </w:tcMar>
          </w:tcPr>
          <w:p w14:paraId="2000690F">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946">
            <w:pPr>
              <w:spacing w:line="220" w:lineRule="auto"/>
              <w:jc w:val="center"/>
            </w:pPr>
            <w:r>
              <w:rPr>
                <w:sz w:val="18"/>
                <w:szCs w:val="18"/>
              </w:rPr>
              <w:t>0.718</w:t>
            </w:r>
          </w:p>
        </w:tc>
      </w:tr>
      <w:tr w14:paraId="20006A59">
        <w:tc>
          <w:tcPr>
            <w:tcW w:w="4160" w:type="dxa"/>
            <w:tcBorders>
              <w:top w:val="nil"/>
              <w:left w:val="nil"/>
              <w:bottom w:val="nil"/>
              <w:right w:val="nil"/>
            </w:tcBorders>
            <w:tcMar>
              <w:top w:w="40" w:type="dxa"/>
              <w:left w:w="40" w:type="dxa"/>
              <w:bottom w:w="40" w:type="dxa"/>
              <w:right w:w="40" w:type="dxa"/>
            </w:tcMar>
          </w:tcPr>
          <w:p w14:paraId="200069B4">
            <w:pPr>
              <w:spacing w:line="220" w:lineRule="auto"/>
              <w:jc w:val="left"/>
            </w:pPr>
            <w:r>
              <w:rPr>
                <w:sz w:val="18"/>
                <w:szCs w:val="18"/>
              </w:rPr>
              <w:t>Optimism-corrected calibration slope</w:t>
            </w:r>
          </w:p>
        </w:tc>
        <w:tc>
          <w:tcPr>
            <w:tcW w:w="2600" w:type="dxa"/>
            <w:tcBorders>
              <w:top w:val="nil"/>
              <w:left w:val="nil"/>
              <w:bottom w:val="nil"/>
              <w:right w:val="nil"/>
            </w:tcBorders>
            <w:tcMar>
              <w:top w:w="40" w:type="dxa"/>
              <w:left w:w="40" w:type="dxa"/>
              <w:bottom w:w="40" w:type="dxa"/>
              <w:right w:w="40" w:type="dxa"/>
            </w:tcMar>
          </w:tcPr>
          <w:p w14:paraId="200069EB">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A22">
            <w:pPr>
              <w:spacing w:line="220" w:lineRule="auto"/>
              <w:jc w:val="center"/>
            </w:pPr>
            <w:r>
              <w:rPr>
                <w:sz w:val="18"/>
                <w:szCs w:val="18"/>
              </w:rPr>
              <w:t>0.981</w:t>
            </w:r>
          </w:p>
        </w:tc>
      </w:tr>
      <w:tr w14:paraId="20006B35">
        <w:tc>
          <w:tcPr>
            <w:tcW w:w="4160" w:type="dxa"/>
            <w:tcBorders>
              <w:top w:val="nil"/>
              <w:left w:val="nil"/>
              <w:bottom w:val="nil"/>
              <w:right w:val="nil"/>
            </w:tcBorders>
            <w:tcMar>
              <w:top w:w="40" w:type="dxa"/>
              <w:left w:w="40" w:type="dxa"/>
              <w:bottom w:w="40" w:type="dxa"/>
              <w:right w:w="40" w:type="dxa"/>
            </w:tcMar>
          </w:tcPr>
          <w:p w14:paraId="20006A90">
            <w:pPr>
              <w:spacing w:line="220" w:lineRule="auto"/>
              <w:jc w:val="left"/>
            </w:pPr>
            <w:r>
              <w:rPr>
                <w:sz w:val="18"/>
                <w:szCs w:val="18"/>
              </w:rPr>
              <w:t>Observed versus predicted mortality, lowest risk decile</w:t>
            </w:r>
          </w:p>
        </w:tc>
        <w:tc>
          <w:tcPr>
            <w:tcW w:w="2600" w:type="dxa"/>
            <w:tcBorders>
              <w:top w:val="nil"/>
              <w:left w:val="nil"/>
              <w:bottom w:val="nil"/>
              <w:right w:val="nil"/>
            </w:tcBorders>
            <w:tcMar>
              <w:top w:w="40" w:type="dxa"/>
              <w:left w:w="40" w:type="dxa"/>
              <w:bottom w:w="40" w:type="dxa"/>
              <w:right w:w="40" w:type="dxa"/>
            </w:tcMar>
          </w:tcPr>
          <w:p w14:paraId="20006AC7">
            <w:pPr>
              <w:spacing w:line="220" w:lineRule="auto"/>
              <w:jc w:val="center"/>
            </w:pPr>
            <w:r>
              <w:rPr>
                <w:sz w:val="18"/>
                <w:szCs w:val="18"/>
              </w:rPr>
              <w:t>—</w:t>
            </w:r>
          </w:p>
        </w:tc>
        <w:tc>
          <w:tcPr>
            <w:tcW w:w="2600" w:type="dxa"/>
            <w:tcBorders>
              <w:top w:val="nil"/>
              <w:left w:val="nil"/>
              <w:bottom w:val="nil"/>
              <w:right w:val="nil"/>
            </w:tcBorders>
            <w:tcMar>
              <w:top w:w="40" w:type="dxa"/>
              <w:left w:w="40" w:type="dxa"/>
              <w:bottom w:w="40" w:type="dxa"/>
              <w:right w:w="40" w:type="dxa"/>
            </w:tcMar>
          </w:tcPr>
          <w:p w14:paraId="20006AFE">
            <w:pPr>
              <w:spacing w:line="220" w:lineRule="auto"/>
              <w:jc w:val="center"/>
            </w:pPr>
            <w:r>
              <w:rPr>
                <w:sz w:val="18"/>
                <w:szCs w:val="18"/>
              </w:rPr>
              <w:t>5.5% versus 7.0%</w:t>
            </w:r>
          </w:p>
        </w:tc>
      </w:tr>
      <w:tr w14:paraId="20006C11">
        <w:tc>
          <w:tcPr>
            <w:tcW w:w="4160" w:type="dxa"/>
            <w:tcBorders>
              <w:top w:val="nil"/>
              <w:left w:val="nil"/>
              <w:bottom w:val="single" w:color="000000" w:sz="8" w:space="0"/>
              <w:right w:val="nil"/>
            </w:tcBorders>
            <w:tcMar>
              <w:top w:w="40" w:type="dxa"/>
              <w:left w:w="40" w:type="dxa"/>
              <w:bottom w:w="40" w:type="dxa"/>
              <w:right w:w="40" w:type="dxa"/>
            </w:tcMar>
          </w:tcPr>
          <w:p w14:paraId="20006B6C">
            <w:pPr>
              <w:spacing w:line="220" w:lineRule="auto"/>
              <w:jc w:val="left"/>
            </w:pPr>
            <w:r>
              <w:rPr>
                <w:sz w:val="18"/>
                <w:szCs w:val="18"/>
              </w:rPr>
              <w:t>Observed versus predicted mortality, highest risk decile</w:t>
            </w:r>
          </w:p>
        </w:tc>
        <w:tc>
          <w:tcPr>
            <w:tcW w:w="2600" w:type="dxa"/>
            <w:tcBorders>
              <w:top w:val="nil"/>
              <w:left w:val="nil"/>
              <w:bottom w:val="single" w:color="000000" w:sz="8" w:space="0"/>
              <w:right w:val="nil"/>
            </w:tcBorders>
            <w:tcMar>
              <w:top w:w="40" w:type="dxa"/>
              <w:left w:w="40" w:type="dxa"/>
              <w:bottom w:w="40" w:type="dxa"/>
              <w:right w:w="40" w:type="dxa"/>
            </w:tcMar>
          </w:tcPr>
          <w:p w14:paraId="20006BA3">
            <w:pPr>
              <w:spacing w:line="220" w:lineRule="auto"/>
              <w:jc w:val="center"/>
            </w:pPr>
            <w:r>
              <w:rPr>
                <w:sz w:val="18"/>
                <w:szCs w:val="18"/>
              </w:rPr>
              <w:t>—</w:t>
            </w:r>
          </w:p>
        </w:tc>
        <w:tc>
          <w:tcPr>
            <w:tcW w:w="2600" w:type="dxa"/>
            <w:tcBorders>
              <w:top w:val="nil"/>
              <w:left w:val="nil"/>
              <w:bottom w:val="single" w:color="000000" w:sz="8" w:space="0"/>
              <w:right w:val="nil"/>
            </w:tcBorders>
            <w:tcMar>
              <w:top w:w="40" w:type="dxa"/>
              <w:left w:w="40" w:type="dxa"/>
              <w:bottom w:w="40" w:type="dxa"/>
              <w:right w:w="40" w:type="dxa"/>
            </w:tcMar>
          </w:tcPr>
          <w:p w14:paraId="20006BDA">
            <w:pPr>
              <w:spacing w:line="220" w:lineRule="auto"/>
              <w:jc w:val="center"/>
            </w:pPr>
            <w:r>
              <w:rPr>
                <w:sz w:val="18"/>
                <w:szCs w:val="18"/>
              </w:rPr>
              <w:t>58.0% versus 60.2%</w:t>
            </w:r>
          </w:p>
        </w:tc>
      </w:tr>
    </w:tbl>
    <w:p w14:paraId="20006C48">
      <w:pPr>
        <w:spacing w:before="40" w:after="160" w:line="240" w:lineRule="auto"/>
        <w:jc w:val="left"/>
      </w:pPr>
      <w:r>
        <w:rPr>
          <w:i/>
          <w:iCs/>
          <w:sz w:val="20"/>
          <w:szCs w:val="20"/>
        </w:rPr>
        <w:t>The covariate model contains age, sex, SOFA score, Charlson Comorbidity Index, atrial fibrillation, log-transformed maximum 24-hour serum lactate, invasive mechanical ventilation, any vasopressor and maximum KDIGO acute kidney injury stage; the second column adds LVEF as six categories. Both models were fitted in all 8792 admissions. The difference in C-statistic is from the DeLong test for paired areas under the receiver-operating-characteristic curve. The continuous net reclassification improvement is reported with its components because the overall figure is driven entirely by non-events and is negative among events, so it should not be read as evidence of useful reclassification. Optimism was estimated by 200 bootstrap replications. Taken together, the addition of LVEF category improves discrimination by an amount that is statistically detectable in a cohort of this size but is far too small to be clinically useful, and the interpretation in the Discussion is confined accordingly. CI, confidence interval; LVEF, left ventricular ejection fraction.</w:t>
      </w:r>
    </w:p>
    <w:p w14:paraId="20006C7F">
      <w:pPr>
        <w:spacing w:before="160" w:after="80"/>
        <w:rPr>
          <w:b/>
          <w:bCs/>
          <w:sz w:val="20"/>
          <w:szCs w:val="20"/>
        </w:rPr>
      </w:pPr>
    </w:p>
    <w:p w14:paraId="20006CB6">
      <w:pPr>
        <w:spacing w:before="160" w:after="80"/>
      </w:pPr>
      <w:r>
        <w:rPr>
          <w:b/>
          <w:bCs/>
          <w:sz w:val="20"/>
          <w:szCs w:val="20"/>
        </w:rPr>
        <w:t xml:space="preserve">Table S8. </w:t>
      </w:r>
      <w:r>
        <w:rPr>
          <w:sz w:val="20"/>
          <w:szCs w:val="20"/>
        </w:rPr>
        <w:t>Cardiac comorbidity ascertained from the index hospitalisation compared with ascertainment restricted to prior hospitalisations.</w:t>
      </w:r>
    </w:p>
    <w:p w14:paraId="20006CED">
      <w:pPr>
        <w:spacing w:before="160" w:after="80"/>
        <w:rPr>
          <w:b/>
          <w:bCs/>
          <w:sz w:val="20"/>
          <w:szCs w:val="20"/>
        </w:rPr>
      </w:pP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1180"/>
        <w:gridCol w:w="1180"/>
        <w:gridCol w:w="1400"/>
        <w:gridCol w:w="1400"/>
        <w:gridCol w:w="1400"/>
        <w:gridCol w:w="1400"/>
        <w:gridCol w:w="1400"/>
      </w:tblGrid>
      <w:tr w14:paraId="20006EA5">
        <w:trPr>
          <w:tblHeader/>
        </w:trPr>
        <w:tc>
          <w:tcPr>
            <w:tcW w:w="1180" w:type="dxa"/>
            <w:tcBorders>
              <w:top w:val="single" w:color="000000" w:sz="8" w:space="0"/>
              <w:left w:val="nil"/>
              <w:bottom w:val="single" w:color="000000" w:sz="4" w:space="0"/>
              <w:right w:val="nil"/>
            </w:tcBorders>
            <w:tcMar>
              <w:top w:w="40" w:type="dxa"/>
              <w:left w:w="30" w:type="dxa"/>
              <w:bottom w:w="40" w:type="dxa"/>
              <w:right w:w="30" w:type="dxa"/>
            </w:tcMar>
          </w:tcPr>
          <w:p w14:paraId="20006D24">
            <w:pPr>
              <w:spacing w:line="220" w:lineRule="auto"/>
              <w:jc w:val="left"/>
            </w:pPr>
            <w:r>
              <w:rPr>
                <w:b/>
                <w:bCs/>
                <w:sz w:val="18"/>
                <w:szCs w:val="18"/>
              </w:rPr>
              <w:t>LVEF stratum</w:t>
            </w:r>
          </w:p>
        </w:tc>
        <w:tc>
          <w:tcPr>
            <w:tcW w:w="1180" w:type="dxa"/>
            <w:tcBorders>
              <w:top w:val="single" w:color="000000" w:sz="8" w:space="0"/>
              <w:left w:val="nil"/>
              <w:bottom w:val="single" w:color="000000" w:sz="4" w:space="0"/>
              <w:right w:val="nil"/>
            </w:tcBorders>
            <w:tcMar>
              <w:top w:w="40" w:type="dxa"/>
              <w:left w:w="30" w:type="dxa"/>
              <w:bottom w:w="40" w:type="dxa"/>
              <w:right w:w="30" w:type="dxa"/>
            </w:tcMar>
          </w:tcPr>
          <w:p w14:paraId="20006D5B">
            <w:pPr>
              <w:spacing w:line="220" w:lineRule="auto"/>
              <w:jc w:val="center"/>
            </w:pPr>
            <w:r>
              <w:rPr>
                <w:b/>
                <w:bCs/>
                <w:sz w:val="18"/>
                <w:szCs w:val="18"/>
              </w:rPr>
              <w:t>Admissions, n</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6D92">
            <w:pPr>
              <w:spacing w:line="220" w:lineRule="auto"/>
              <w:jc w:val="center"/>
            </w:pPr>
            <w:r>
              <w:rPr>
                <w:b/>
                <w:bCs/>
                <w:sz w:val="18"/>
                <w:szCs w:val="18"/>
              </w:rPr>
              <w:t>Heart failure, index admission, %</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6DC9">
            <w:pPr>
              <w:spacing w:line="220" w:lineRule="auto"/>
              <w:jc w:val="center"/>
            </w:pPr>
            <w:r>
              <w:rPr>
                <w:b/>
                <w:bCs/>
                <w:sz w:val="18"/>
                <w:szCs w:val="18"/>
              </w:rPr>
              <w:t>Any cardiac disease, index admission, %</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6E00">
            <w:pPr>
              <w:spacing w:line="220" w:lineRule="auto"/>
              <w:jc w:val="center"/>
            </w:pPr>
            <w:r>
              <w:rPr>
                <w:b/>
                <w:bCs/>
                <w:sz w:val="18"/>
                <w:szCs w:val="18"/>
              </w:rPr>
              <w:t>With ≥1 prior hospitalisation, n</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6E37">
            <w:pPr>
              <w:spacing w:line="220" w:lineRule="auto"/>
              <w:jc w:val="center"/>
            </w:pPr>
            <w:r>
              <w:rPr>
                <w:b/>
                <w:bCs/>
                <w:sz w:val="18"/>
                <w:szCs w:val="18"/>
              </w:rPr>
              <w:t>Heart failure, prior admissions only, %</w:t>
            </w:r>
          </w:p>
        </w:tc>
        <w:tc>
          <w:tcPr>
            <w:tcW w:w="1400" w:type="dxa"/>
            <w:tcBorders>
              <w:top w:val="single" w:color="000000" w:sz="8" w:space="0"/>
              <w:left w:val="nil"/>
              <w:bottom w:val="single" w:color="000000" w:sz="4" w:space="0"/>
              <w:right w:val="nil"/>
            </w:tcBorders>
            <w:tcMar>
              <w:top w:w="40" w:type="dxa"/>
              <w:left w:w="30" w:type="dxa"/>
              <w:bottom w:w="40" w:type="dxa"/>
              <w:right w:w="30" w:type="dxa"/>
            </w:tcMar>
          </w:tcPr>
          <w:p w14:paraId="20006E6E">
            <w:pPr>
              <w:spacing w:line="220" w:lineRule="auto"/>
              <w:jc w:val="center"/>
            </w:pPr>
            <w:r>
              <w:rPr>
                <w:b/>
                <w:bCs/>
                <w:sz w:val="18"/>
                <w:szCs w:val="18"/>
              </w:rPr>
              <w:t>Any cardiac disease, prior admissions only, %</w:t>
            </w:r>
          </w:p>
        </w:tc>
      </w:tr>
      <w:tr w14:paraId="2000705D">
        <w:tc>
          <w:tcPr>
            <w:tcW w:w="1180" w:type="dxa"/>
            <w:tcBorders>
              <w:top w:val="nil"/>
              <w:left w:val="nil"/>
              <w:bottom w:val="nil"/>
              <w:right w:val="nil"/>
            </w:tcBorders>
            <w:tcMar>
              <w:top w:w="40" w:type="dxa"/>
              <w:left w:w="30" w:type="dxa"/>
              <w:bottom w:w="40" w:type="dxa"/>
              <w:right w:w="30" w:type="dxa"/>
            </w:tcMar>
          </w:tcPr>
          <w:p w14:paraId="20006EDC">
            <w:pPr>
              <w:spacing w:line="220" w:lineRule="auto"/>
              <w:jc w:val="left"/>
            </w:pPr>
            <w:r>
              <w:rPr>
                <w:sz w:val="18"/>
                <w:szCs w:val="18"/>
              </w:rPr>
              <w:t>&lt;30%</w:t>
            </w:r>
          </w:p>
        </w:tc>
        <w:tc>
          <w:tcPr>
            <w:tcW w:w="1180" w:type="dxa"/>
            <w:tcBorders>
              <w:top w:val="nil"/>
              <w:left w:val="nil"/>
              <w:bottom w:val="nil"/>
              <w:right w:val="nil"/>
            </w:tcBorders>
            <w:tcMar>
              <w:top w:w="40" w:type="dxa"/>
              <w:left w:w="30" w:type="dxa"/>
              <w:bottom w:w="40" w:type="dxa"/>
              <w:right w:w="30" w:type="dxa"/>
            </w:tcMar>
          </w:tcPr>
          <w:p w14:paraId="20006F13">
            <w:pPr>
              <w:spacing w:line="220" w:lineRule="auto"/>
              <w:jc w:val="center"/>
            </w:pPr>
            <w:r>
              <w:rPr>
                <w:sz w:val="18"/>
                <w:szCs w:val="18"/>
              </w:rPr>
              <w:t>971</w:t>
            </w:r>
          </w:p>
        </w:tc>
        <w:tc>
          <w:tcPr>
            <w:tcW w:w="1400" w:type="dxa"/>
            <w:tcBorders>
              <w:top w:val="nil"/>
              <w:left w:val="nil"/>
              <w:bottom w:val="nil"/>
              <w:right w:val="nil"/>
            </w:tcBorders>
            <w:tcMar>
              <w:top w:w="40" w:type="dxa"/>
              <w:left w:w="30" w:type="dxa"/>
              <w:bottom w:w="40" w:type="dxa"/>
              <w:right w:w="30" w:type="dxa"/>
            </w:tcMar>
          </w:tcPr>
          <w:p w14:paraId="20006F4A">
            <w:pPr>
              <w:spacing w:line="220" w:lineRule="auto"/>
              <w:jc w:val="center"/>
            </w:pPr>
            <w:r>
              <w:rPr>
                <w:sz w:val="18"/>
                <w:szCs w:val="18"/>
              </w:rPr>
              <w:t>84.7</w:t>
            </w:r>
          </w:p>
        </w:tc>
        <w:tc>
          <w:tcPr>
            <w:tcW w:w="1400" w:type="dxa"/>
            <w:tcBorders>
              <w:top w:val="nil"/>
              <w:left w:val="nil"/>
              <w:bottom w:val="nil"/>
              <w:right w:val="nil"/>
            </w:tcBorders>
            <w:tcMar>
              <w:top w:w="40" w:type="dxa"/>
              <w:left w:w="30" w:type="dxa"/>
              <w:bottom w:w="40" w:type="dxa"/>
              <w:right w:w="30" w:type="dxa"/>
            </w:tcMar>
          </w:tcPr>
          <w:p w14:paraId="20006F81">
            <w:pPr>
              <w:spacing w:line="220" w:lineRule="auto"/>
              <w:jc w:val="center"/>
            </w:pPr>
            <w:r>
              <w:rPr>
                <w:sz w:val="18"/>
                <w:szCs w:val="18"/>
              </w:rPr>
              <w:t>95.2</w:t>
            </w:r>
          </w:p>
        </w:tc>
        <w:tc>
          <w:tcPr>
            <w:tcW w:w="1400" w:type="dxa"/>
            <w:tcBorders>
              <w:top w:val="nil"/>
              <w:left w:val="nil"/>
              <w:bottom w:val="nil"/>
              <w:right w:val="nil"/>
            </w:tcBorders>
            <w:tcMar>
              <w:top w:w="40" w:type="dxa"/>
              <w:left w:w="30" w:type="dxa"/>
              <w:bottom w:w="40" w:type="dxa"/>
              <w:right w:w="30" w:type="dxa"/>
            </w:tcMar>
          </w:tcPr>
          <w:p w14:paraId="20006FB8">
            <w:pPr>
              <w:spacing w:line="220" w:lineRule="auto"/>
              <w:jc w:val="center"/>
            </w:pPr>
            <w:r>
              <w:rPr>
                <w:sz w:val="18"/>
                <w:szCs w:val="18"/>
              </w:rPr>
              <w:t>482</w:t>
            </w:r>
          </w:p>
        </w:tc>
        <w:tc>
          <w:tcPr>
            <w:tcW w:w="1400" w:type="dxa"/>
            <w:tcBorders>
              <w:top w:val="nil"/>
              <w:left w:val="nil"/>
              <w:bottom w:val="nil"/>
              <w:right w:val="nil"/>
            </w:tcBorders>
            <w:tcMar>
              <w:top w:w="40" w:type="dxa"/>
              <w:left w:w="30" w:type="dxa"/>
              <w:bottom w:w="40" w:type="dxa"/>
              <w:right w:w="30" w:type="dxa"/>
            </w:tcMar>
          </w:tcPr>
          <w:p w14:paraId="20006FEF">
            <w:pPr>
              <w:spacing w:line="220" w:lineRule="auto"/>
              <w:jc w:val="center"/>
            </w:pPr>
            <w:r>
              <w:rPr>
                <w:sz w:val="18"/>
                <w:szCs w:val="18"/>
              </w:rPr>
              <w:t>72.2</w:t>
            </w:r>
          </w:p>
        </w:tc>
        <w:tc>
          <w:tcPr>
            <w:tcW w:w="1400" w:type="dxa"/>
            <w:tcBorders>
              <w:top w:val="nil"/>
              <w:left w:val="nil"/>
              <w:bottom w:val="nil"/>
              <w:right w:val="nil"/>
            </w:tcBorders>
            <w:tcMar>
              <w:top w:w="40" w:type="dxa"/>
              <w:left w:w="30" w:type="dxa"/>
              <w:bottom w:w="40" w:type="dxa"/>
              <w:right w:w="30" w:type="dxa"/>
            </w:tcMar>
          </w:tcPr>
          <w:p w14:paraId="20007026">
            <w:pPr>
              <w:spacing w:line="220" w:lineRule="auto"/>
              <w:jc w:val="center"/>
            </w:pPr>
            <w:r>
              <w:rPr>
                <w:sz w:val="18"/>
                <w:szCs w:val="18"/>
              </w:rPr>
              <w:t>83.0</w:t>
            </w:r>
          </w:p>
        </w:tc>
      </w:tr>
      <w:tr w14:paraId="20007215">
        <w:tc>
          <w:tcPr>
            <w:tcW w:w="1180" w:type="dxa"/>
            <w:tcBorders>
              <w:top w:val="nil"/>
              <w:left w:val="nil"/>
              <w:bottom w:val="nil"/>
              <w:right w:val="nil"/>
            </w:tcBorders>
            <w:tcMar>
              <w:top w:w="40" w:type="dxa"/>
              <w:left w:w="30" w:type="dxa"/>
              <w:bottom w:w="40" w:type="dxa"/>
              <w:right w:w="30" w:type="dxa"/>
            </w:tcMar>
          </w:tcPr>
          <w:p w14:paraId="20007094">
            <w:pPr>
              <w:spacing w:line="220" w:lineRule="auto"/>
              <w:jc w:val="left"/>
            </w:pPr>
            <w:r>
              <w:rPr>
                <w:sz w:val="18"/>
                <w:szCs w:val="18"/>
              </w:rPr>
              <w:t>30–39%</w:t>
            </w:r>
          </w:p>
        </w:tc>
        <w:tc>
          <w:tcPr>
            <w:tcW w:w="1180" w:type="dxa"/>
            <w:tcBorders>
              <w:top w:val="nil"/>
              <w:left w:val="nil"/>
              <w:bottom w:val="nil"/>
              <w:right w:val="nil"/>
            </w:tcBorders>
            <w:tcMar>
              <w:top w:w="40" w:type="dxa"/>
              <w:left w:w="30" w:type="dxa"/>
              <w:bottom w:w="40" w:type="dxa"/>
              <w:right w:w="30" w:type="dxa"/>
            </w:tcMar>
          </w:tcPr>
          <w:p w14:paraId="200070CB">
            <w:pPr>
              <w:spacing w:line="220" w:lineRule="auto"/>
              <w:jc w:val="center"/>
            </w:pPr>
            <w:r>
              <w:rPr>
                <w:sz w:val="18"/>
                <w:szCs w:val="18"/>
              </w:rPr>
              <w:t>890</w:t>
            </w:r>
          </w:p>
        </w:tc>
        <w:tc>
          <w:tcPr>
            <w:tcW w:w="1400" w:type="dxa"/>
            <w:tcBorders>
              <w:top w:val="nil"/>
              <w:left w:val="nil"/>
              <w:bottom w:val="nil"/>
              <w:right w:val="nil"/>
            </w:tcBorders>
            <w:tcMar>
              <w:top w:w="40" w:type="dxa"/>
              <w:left w:w="30" w:type="dxa"/>
              <w:bottom w:w="40" w:type="dxa"/>
              <w:right w:w="30" w:type="dxa"/>
            </w:tcMar>
          </w:tcPr>
          <w:p w14:paraId="20007102">
            <w:pPr>
              <w:spacing w:line="220" w:lineRule="auto"/>
              <w:jc w:val="center"/>
            </w:pPr>
            <w:r>
              <w:rPr>
                <w:sz w:val="18"/>
                <w:szCs w:val="18"/>
              </w:rPr>
              <w:t>76.1</w:t>
            </w:r>
          </w:p>
        </w:tc>
        <w:tc>
          <w:tcPr>
            <w:tcW w:w="1400" w:type="dxa"/>
            <w:tcBorders>
              <w:top w:val="nil"/>
              <w:left w:val="nil"/>
              <w:bottom w:val="nil"/>
              <w:right w:val="nil"/>
            </w:tcBorders>
            <w:tcMar>
              <w:top w:w="40" w:type="dxa"/>
              <w:left w:w="30" w:type="dxa"/>
              <w:bottom w:w="40" w:type="dxa"/>
              <w:right w:w="30" w:type="dxa"/>
            </w:tcMar>
          </w:tcPr>
          <w:p w14:paraId="20007139">
            <w:pPr>
              <w:spacing w:line="220" w:lineRule="auto"/>
              <w:jc w:val="center"/>
            </w:pPr>
            <w:r>
              <w:rPr>
                <w:sz w:val="18"/>
                <w:szCs w:val="18"/>
              </w:rPr>
              <w:t>92.7</w:t>
            </w:r>
          </w:p>
        </w:tc>
        <w:tc>
          <w:tcPr>
            <w:tcW w:w="1400" w:type="dxa"/>
            <w:tcBorders>
              <w:top w:val="nil"/>
              <w:left w:val="nil"/>
              <w:bottom w:val="nil"/>
              <w:right w:val="nil"/>
            </w:tcBorders>
            <w:tcMar>
              <w:top w:w="40" w:type="dxa"/>
              <w:left w:w="30" w:type="dxa"/>
              <w:bottom w:w="40" w:type="dxa"/>
              <w:right w:w="30" w:type="dxa"/>
            </w:tcMar>
          </w:tcPr>
          <w:p w14:paraId="20007170">
            <w:pPr>
              <w:spacing w:line="220" w:lineRule="auto"/>
              <w:jc w:val="center"/>
            </w:pPr>
            <w:r>
              <w:rPr>
                <w:sz w:val="18"/>
                <w:szCs w:val="18"/>
              </w:rPr>
              <w:t>480</w:t>
            </w:r>
          </w:p>
        </w:tc>
        <w:tc>
          <w:tcPr>
            <w:tcW w:w="1400" w:type="dxa"/>
            <w:tcBorders>
              <w:top w:val="nil"/>
              <w:left w:val="nil"/>
              <w:bottom w:val="nil"/>
              <w:right w:val="nil"/>
            </w:tcBorders>
            <w:tcMar>
              <w:top w:w="40" w:type="dxa"/>
              <w:left w:w="30" w:type="dxa"/>
              <w:bottom w:w="40" w:type="dxa"/>
              <w:right w:w="30" w:type="dxa"/>
            </w:tcMar>
          </w:tcPr>
          <w:p w14:paraId="200071A7">
            <w:pPr>
              <w:spacing w:line="220" w:lineRule="auto"/>
              <w:jc w:val="center"/>
            </w:pPr>
            <w:r>
              <w:rPr>
                <w:sz w:val="18"/>
                <w:szCs w:val="18"/>
              </w:rPr>
              <w:t>61.5</w:t>
            </w:r>
          </w:p>
        </w:tc>
        <w:tc>
          <w:tcPr>
            <w:tcW w:w="1400" w:type="dxa"/>
            <w:tcBorders>
              <w:top w:val="nil"/>
              <w:left w:val="nil"/>
              <w:bottom w:val="nil"/>
              <w:right w:val="nil"/>
            </w:tcBorders>
            <w:tcMar>
              <w:top w:w="40" w:type="dxa"/>
              <w:left w:w="30" w:type="dxa"/>
              <w:bottom w:w="40" w:type="dxa"/>
              <w:right w:w="30" w:type="dxa"/>
            </w:tcMar>
          </w:tcPr>
          <w:p w14:paraId="200071DE">
            <w:pPr>
              <w:spacing w:line="220" w:lineRule="auto"/>
              <w:jc w:val="center"/>
            </w:pPr>
            <w:r>
              <w:rPr>
                <w:sz w:val="18"/>
                <w:szCs w:val="18"/>
              </w:rPr>
              <w:t>78.8</w:t>
            </w:r>
          </w:p>
        </w:tc>
      </w:tr>
      <w:tr w14:paraId="200073CD">
        <w:tc>
          <w:tcPr>
            <w:tcW w:w="1180" w:type="dxa"/>
            <w:tcBorders>
              <w:top w:val="nil"/>
              <w:left w:val="nil"/>
              <w:bottom w:val="nil"/>
              <w:right w:val="nil"/>
            </w:tcBorders>
            <w:tcMar>
              <w:top w:w="40" w:type="dxa"/>
              <w:left w:w="30" w:type="dxa"/>
              <w:bottom w:w="40" w:type="dxa"/>
              <w:right w:w="30" w:type="dxa"/>
            </w:tcMar>
          </w:tcPr>
          <w:p w14:paraId="2000724C">
            <w:pPr>
              <w:spacing w:line="220" w:lineRule="auto"/>
              <w:jc w:val="left"/>
            </w:pPr>
            <w:r>
              <w:rPr>
                <w:sz w:val="18"/>
                <w:szCs w:val="18"/>
              </w:rPr>
              <w:t>40–49%</w:t>
            </w:r>
          </w:p>
        </w:tc>
        <w:tc>
          <w:tcPr>
            <w:tcW w:w="1180" w:type="dxa"/>
            <w:tcBorders>
              <w:top w:val="nil"/>
              <w:left w:val="nil"/>
              <w:bottom w:val="nil"/>
              <w:right w:val="nil"/>
            </w:tcBorders>
            <w:tcMar>
              <w:top w:w="40" w:type="dxa"/>
              <w:left w:w="30" w:type="dxa"/>
              <w:bottom w:w="40" w:type="dxa"/>
              <w:right w:w="30" w:type="dxa"/>
            </w:tcMar>
          </w:tcPr>
          <w:p w14:paraId="20007283">
            <w:pPr>
              <w:spacing w:line="220" w:lineRule="auto"/>
              <w:jc w:val="center"/>
            </w:pPr>
            <w:r>
              <w:rPr>
                <w:sz w:val="18"/>
                <w:szCs w:val="18"/>
              </w:rPr>
              <w:t>913</w:t>
            </w:r>
          </w:p>
        </w:tc>
        <w:tc>
          <w:tcPr>
            <w:tcW w:w="1400" w:type="dxa"/>
            <w:tcBorders>
              <w:top w:val="nil"/>
              <w:left w:val="nil"/>
              <w:bottom w:val="nil"/>
              <w:right w:val="nil"/>
            </w:tcBorders>
            <w:tcMar>
              <w:top w:w="40" w:type="dxa"/>
              <w:left w:w="30" w:type="dxa"/>
              <w:bottom w:w="40" w:type="dxa"/>
              <w:right w:w="30" w:type="dxa"/>
            </w:tcMar>
          </w:tcPr>
          <w:p w14:paraId="200072BA">
            <w:pPr>
              <w:spacing w:line="220" w:lineRule="auto"/>
              <w:jc w:val="center"/>
            </w:pPr>
            <w:r>
              <w:rPr>
                <w:sz w:val="18"/>
                <w:szCs w:val="18"/>
              </w:rPr>
              <w:t>63.0</w:t>
            </w:r>
          </w:p>
        </w:tc>
        <w:tc>
          <w:tcPr>
            <w:tcW w:w="1400" w:type="dxa"/>
            <w:tcBorders>
              <w:top w:val="nil"/>
              <w:left w:val="nil"/>
              <w:bottom w:val="nil"/>
              <w:right w:val="nil"/>
            </w:tcBorders>
            <w:tcMar>
              <w:top w:w="40" w:type="dxa"/>
              <w:left w:w="30" w:type="dxa"/>
              <w:bottom w:w="40" w:type="dxa"/>
              <w:right w:w="30" w:type="dxa"/>
            </w:tcMar>
          </w:tcPr>
          <w:p w14:paraId="200072F1">
            <w:pPr>
              <w:spacing w:line="220" w:lineRule="auto"/>
              <w:jc w:val="center"/>
            </w:pPr>
            <w:r>
              <w:rPr>
                <w:sz w:val="18"/>
                <w:szCs w:val="18"/>
              </w:rPr>
              <w:t>87.3</w:t>
            </w:r>
          </w:p>
        </w:tc>
        <w:tc>
          <w:tcPr>
            <w:tcW w:w="1400" w:type="dxa"/>
            <w:tcBorders>
              <w:top w:val="nil"/>
              <w:left w:val="nil"/>
              <w:bottom w:val="nil"/>
              <w:right w:val="nil"/>
            </w:tcBorders>
            <w:tcMar>
              <w:top w:w="40" w:type="dxa"/>
              <w:left w:w="30" w:type="dxa"/>
              <w:bottom w:w="40" w:type="dxa"/>
              <w:right w:w="30" w:type="dxa"/>
            </w:tcMar>
          </w:tcPr>
          <w:p w14:paraId="20007328">
            <w:pPr>
              <w:spacing w:line="220" w:lineRule="auto"/>
              <w:jc w:val="center"/>
            </w:pPr>
            <w:r>
              <w:rPr>
                <w:sz w:val="18"/>
                <w:szCs w:val="18"/>
              </w:rPr>
              <w:t>485</w:t>
            </w:r>
          </w:p>
        </w:tc>
        <w:tc>
          <w:tcPr>
            <w:tcW w:w="1400" w:type="dxa"/>
            <w:tcBorders>
              <w:top w:val="nil"/>
              <w:left w:val="nil"/>
              <w:bottom w:val="nil"/>
              <w:right w:val="nil"/>
            </w:tcBorders>
            <w:tcMar>
              <w:top w:w="40" w:type="dxa"/>
              <w:left w:w="30" w:type="dxa"/>
              <w:bottom w:w="40" w:type="dxa"/>
              <w:right w:w="30" w:type="dxa"/>
            </w:tcMar>
          </w:tcPr>
          <w:p w14:paraId="2000735F">
            <w:pPr>
              <w:spacing w:line="220" w:lineRule="auto"/>
              <w:jc w:val="center"/>
            </w:pPr>
            <w:r>
              <w:rPr>
                <w:sz w:val="18"/>
                <w:szCs w:val="18"/>
              </w:rPr>
              <w:t>56.3</w:t>
            </w:r>
          </w:p>
        </w:tc>
        <w:tc>
          <w:tcPr>
            <w:tcW w:w="1400" w:type="dxa"/>
            <w:tcBorders>
              <w:top w:val="nil"/>
              <w:left w:val="nil"/>
              <w:bottom w:val="nil"/>
              <w:right w:val="nil"/>
            </w:tcBorders>
            <w:tcMar>
              <w:top w:w="40" w:type="dxa"/>
              <w:left w:w="30" w:type="dxa"/>
              <w:bottom w:w="40" w:type="dxa"/>
              <w:right w:w="30" w:type="dxa"/>
            </w:tcMar>
          </w:tcPr>
          <w:p w14:paraId="20007396">
            <w:pPr>
              <w:spacing w:line="220" w:lineRule="auto"/>
              <w:jc w:val="center"/>
            </w:pPr>
            <w:r>
              <w:rPr>
                <w:sz w:val="18"/>
                <w:szCs w:val="18"/>
              </w:rPr>
              <w:t>77.5</w:t>
            </w:r>
          </w:p>
        </w:tc>
      </w:tr>
      <w:tr w14:paraId="20007585">
        <w:tc>
          <w:tcPr>
            <w:tcW w:w="1180" w:type="dxa"/>
            <w:tcBorders>
              <w:top w:val="nil"/>
              <w:left w:val="nil"/>
              <w:bottom w:val="nil"/>
              <w:right w:val="nil"/>
            </w:tcBorders>
            <w:tcMar>
              <w:top w:w="40" w:type="dxa"/>
              <w:left w:w="30" w:type="dxa"/>
              <w:bottom w:w="40" w:type="dxa"/>
              <w:right w:w="30" w:type="dxa"/>
            </w:tcMar>
          </w:tcPr>
          <w:p w14:paraId="20007404">
            <w:pPr>
              <w:spacing w:line="220" w:lineRule="auto"/>
              <w:jc w:val="left"/>
            </w:pPr>
            <w:r>
              <w:rPr>
                <w:sz w:val="18"/>
                <w:szCs w:val="18"/>
              </w:rPr>
              <w:t>50–59%</w:t>
            </w:r>
          </w:p>
        </w:tc>
        <w:tc>
          <w:tcPr>
            <w:tcW w:w="1180" w:type="dxa"/>
            <w:tcBorders>
              <w:top w:val="nil"/>
              <w:left w:val="nil"/>
              <w:bottom w:val="nil"/>
              <w:right w:val="nil"/>
            </w:tcBorders>
            <w:tcMar>
              <w:top w:w="40" w:type="dxa"/>
              <w:left w:w="30" w:type="dxa"/>
              <w:bottom w:w="40" w:type="dxa"/>
              <w:right w:w="30" w:type="dxa"/>
            </w:tcMar>
          </w:tcPr>
          <w:p w14:paraId="2000743B">
            <w:pPr>
              <w:spacing w:line="220" w:lineRule="auto"/>
              <w:jc w:val="center"/>
            </w:pPr>
            <w:r>
              <w:rPr>
                <w:sz w:val="18"/>
                <w:szCs w:val="18"/>
              </w:rPr>
              <w:t>2344</w:t>
            </w:r>
          </w:p>
        </w:tc>
        <w:tc>
          <w:tcPr>
            <w:tcW w:w="1400" w:type="dxa"/>
            <w:tcBorders>
              <w:top w:val="nil"/>
              <w:left w:val="nil"/>
              <w:bottom w:val="nil"/>
              <w:right w:val="nil"/>
            </w:tcBorders>
            <w:tcMar>
              <w:top w:w="40" w:type="dxa"/>
              <w:left w:w="30" w:type="dxa"/>
              <w:bottom w:w="40" w:type="dxa"/>
              <w:right w:w="30" w:type="dxa"/>
            </w:tcMar>
          </w:tcPr>
          <w:p w14:paraId="20007472">
            <w:pPr>
              <w:spacing w:line="220" w:lineRule="auto"/>
              <w:jc w:val="center"/>
            </w:pPr>
            <w:r>
              <w:rPr>
                <w:sz w:val="18"/>
                <w:szCs w:val="18"/>
              </w:rPr>
              <w:t>36.5</w:t>
            </w:r>
          </w:p>
        </w:tc>
        <w:tc>
          <w:tcPr>
            <w:tcW w:w="1400" w:type="dxa"/>
            <w:tcBorders>
              <w:top w:val="nil"/>
              <w:left w:val="nil"/>
              <w:bottom w:val="nil"/>
              <w:right w:val="nil"/>
            </w:tcBorders>
            <w:tcMar>
              <w:top w:w="40" w:type="dxa"/>
              <w:left w:w="30" w:type="dxa"/>
              <w:bottom w:w="40" w:type="dxa"/>
              <w:right w:w="30" w:type="dxa"/>
            </w:tcMar>
          </w:tcPr>
          <w:p w14:paraId="200074A9">
            <w:pPr>
              <w:spacing w:line="220" w:lineRule="auto"/>
              <w:jc w:val="center"/>
            </w:pPr>
            <w:r>
              <w:rPr>
                <w:sz w:val="18"/>
                <w:szCs w:val="18"/>
              </w:rPr>
              <w:t>59.1</w:t>
            </w:r>
          </w:p>
        </w:tc>
        <w:tc>
          <w:tcPr>
            <w:tcW w:w="1400" w:type="dxa"/>
            <w:tcBorders>
              <w:top w:val="nil"/>
              <w:left w:val="nil"/>
              <w:bottom w:val="nil"/>
              <w:right w:val="nil"/>
            </w:tcBorders>
            <w:tcMar>
              <w:top w:w="40" w:type="dxa"/>
              <w:left w:w="30" w:type="dxa"/>
              <w:bottom w:w="40" w:type="dxa"/>
              <w:right w:w="30" w:type="dxa"/>
            </w:tcMar>
          </w:tcPr>
          <w:p w14:paraId="200074E0">
            <w:pPr>
              <w:spacing w:line="220" w:lineRule="auto"/>
              <w:jc w:val="center"/>
            </w:pPr>
            <w:r>
              <w:rPr>
                <w:sz w:val="18"/>
                <w:szCs w:val="18"/>
              </w:rPr>
              <w:t>1191</w:t>
            </w:r>
          </w:p>
        </w:tc>
        <w:tc>
          <w:tcPr>
            <w:tcW w:w="1400" w:type="dxa"/>
            <w:tcBorders>
              <w:top w:val="nil"/>
              <w:left w:val="nil"/>
              <w:bottom w:val="nil"/>
              <w:right w:val="nil"/>
            </w:tcBorders>
            <w:tcMar>
              <w:top w:w="40" w:type="dxa"/>
              <w:left w:w="30" w:type="dxa"/>
              <w:bottom w:w="40" w:type="dxa"/>
              <w:right w:w="30" w:type="dxa"/>
            </w:tcMar>
          </w:tcPr>
          <w:p w14:paraId="20007517">
            <w:pPr>
              <w:spacing w:line="220" w:lineRule="auto"/>
              <w:jc w:val="center"/>
            </w:pPr>
            <w:r>
              <w:rPr>
                <w:sz w:val="18"/>
                <w:szCs w:val="18"/>
              </w:rPr>
              <w:t>40.5</w:t>
            </w:r>
          </w:p>
        </w:tc>
        <w:tc>
          <w:tcPr>
            <w:tcW w:w="1400" w:type="dxa"/>
            <w:tcBorders>
              <w:top w:val="nil"/>
              <w:left w:val="nil"/>
              <w:bottom w:val="nil"/>
              <w:right w:val="nil"/>
            </w:tcBorders>
            <w:tcMar>
              <w:top w:w="40" w:type="dxa"/>
              <w:left w:w="30" w:type="dxa"/>
              <w:bottom w:w="40" w:type="dxa"/>
              <w:right w:w="30" w:type="dxa"/>
            </w:tcMar>
          </w:tcPr>
          <w:p w14:paraId="2000754E">
            <w:pPr>
              <w:spacing w:line="220" w:lineRule="auto"/>
              <w:jc w:val="center"/>
            </w:pPr>
            <w:r>
              <w:rPr>
                <w:sz w:val="18"/>
                <w:szCs w:val="18"/>
              </w:rPr>
              <w:t>59.8</w:t>
            </w:r>
          </w:p>
        </w:tc>
      </w:tr>
      <w:tr w14:paraId="2000773D">
        <w:tc>
          <w:tcPr>
            <w:tcW w:w="1180" w:type="dxa"/>
            <w:tcBorders>
              <w:top w:val="nil"/>
              <w:left w:val="nil"/>
              <w:bottom w:val="nil"/>
              <w:right w:val="nil"/>
            </w:tcBorders>
            <w:tcMar>
              <w:top w:w="40" w:type="dxa"/>
              <w:left w:w="30" w:type="dxa"/>
              <w:bottom w:w="40" w:type="dxa"/>
              <w:right w:w="30" w:type="dxa"/>
            </w:tcMar>
          </w:tcPr>
          <w:p w14:paraId="200075BC">
            <w:pPr>
              <w:spacing w:line="220" w:lineRule="auto"/>
              <w:jc w:val="left"/>
            </w:pPr>
            <w:r>
              <w:rPr>
                <w:sz w:val="18"/>
                <w:szCs w:val="18"/>
              </w:rPr>
              <w:t>60–69%</w:t>
            </w:r>
          </w:p>
        </w:tc>
        <w:tc>
          <w:tcPr>
            <w:tcW w:w="1180" w:type="dxa"/>
            <w:tcBorders>
              <w:top w:val="nil"/>
              <w:left w:val="nil"/>
              <w:bottom w:val="nil"/>
              <w:right w:val="nil"/>
            </w:tcBorders>
            <w:tcMar>
              <w:top w:w="40" w:type="dxa"/>
              <w:left w:w="30" w:type="dxa"/>
              <w:bottom w:w="40" w:type="dxa"/>
              <w:right w:w="30" w:type="dxa"/>
            </w:tcMar>
          </w:tcPr>
          <w:p w14:paraId="200075F3">
            <w:pPr>
              <w:spacing w:line="220" w:lineRule="auto"/>
              <w:jc w:val="center"/>
            </w:pPr>
            <w:r>
              <w:rPr>
                <w:sz w:val="18"/>
                <w:szCs w:val="18"/>
              </w:rPr>
              <w:t>2312</w:t>
            </w:r>
          </w:p>
        </w:tc>
        <w:tc>
          <w:tcPr>
            <w:tcW w:w="1400" w:type="dxa"/>
            <w:tcBorders>
              <w:top w:val="nil"/>
              <w:left w:val="nil"/>
              <w:bottom w:val="nil"/>
              <w:right w:val="nil"/>
            </w:tcBorders>
            <w:tcMar>
              <w:top w:w="40" w:type="dxa"/>
              <w:left w:w="30" w:type="dxa"/>
              <w:bottom w:w="40" w:type="dxa"/>
              <w:right w:w="30" w:type="dxa"/>
            </w:tcMar>
          </w:tcPr>
          <w:p w14:paraId="2000762A">
            <w:pPr>
              <w:spacing w:line="220" w:lineRule="auto"/>
              <w:jc w:val="center"/>
            </w:pPr>
            <w:r>
              <w:rPr>
                <w:sz w:val="18"/>
                <w:szCs w:val="18"/>
              </w:rPr>
              <w:t>31.5</w:t>
            </w:r>
          </w:p>
        </w:tc>
        <w:tc>
          <w:tcPr>
            <w:tcW w:w="1400" w:type="dxa"/>
            <w:tcBorders>
              <w:top w:val="nil"/>
              <w:left w:val="nil"/>
              <w:bottom w:val="nil"/>
              <w:right w:val="nil"/>
            </w:tcBorders>
            <w:tcMar>
              <w:top w:w="40" w:type="dxa"/>
              <w:left w:w="30" w:type="dxa"/>
              <w:bottom w:w="40" w:type="dxa"/>
              <w:right w:w="30" w:type="dxa"/>
            </w:tcMar>
          </w:tcPr>
          <w:p w14:paraId="20007661">
            <w:pPr>
              <w:spacing w:line="220" w:lineRule="auto"/>
              <w:jc w:val="center"/>
            </w:pPr>
            <w:r>
              <w:rPr>
                <w:sz w:val="18"/>
                <w:szCs w:val="18"/>
              </w:rPr>
              <w:t>50.5</w:t>
            </w:r>
          </w:p>
        </w:tc>
        <w:tc>
          <w:tcPr>
            <w:tcW w:w="1400" w:type="dxa"/>
            <w:tcBorders>
              <w:top w:val="nil"/>
              <w:left w:val="nil"/>
              <w:bottom w:val="nil"/>
              <w:right w:val="nil"/>
            </w:tcBorders>
            <w:tcMar>
              <w:top w:w="40" w:type="dxa"/>
              <w:left w:w="30" w:type="dxa"/>
              <w:bottom w:w="40" w:type="dxa"/>
              <w:right w:w="30" w:type="dxa"/>
            </w:tcMar>
          </w:tcPr>
          <w:p w14:paraId="20007698">
            <w:pPr>
              <w:spacing w:line="220" w:lineRule="auto"/>
              <w:jc w:val="center"/>
            </w:pPr>
            <w:r>
              <w:rPr>
                <w:sz w:val="18"/>
                <w:szCs w:val="18"/>
              </w:rPr>
              <w:t>1104</w:t>
            </w:r>
          </w:p>
        </w:tc>
        <w:tc>
          <w:tcPr>
            <w:tcW w:w="1400" w:type="dxa"/>
            <w:tcBorders>
              <w:top w:val="nil"/>
              <w:left w:val="nil"/>
              <w:bottom w:val="nil"/>
              <w:right w:val="nil"/>
            </w:tcBorders>
            <w:tcMar>
              <w:top w:w="40" w:type="dxa"/>
              <w:left w:w="30" w:type="dxa"/>
              <w:bottom w:w="40" w:type="dxa"/>
              <w:right w:w="30" w:type="dxa"/>
            </w:tcMar>
          </w:tcPr>
          <w:p w14:paraId="200076CF">
            <w:pPr>
              <w:spacing w:line="220" w:lineRule="auto"/>
              <w:jc w:val="center"/>
            </w:pPr>
            <w:r>
              <w:rPr>
                <w:sz w:val="18"/>
                <w:szCs w:val="18"/>
              </w:rPr>
              <w:t>32.2</w:t>
            </w:r>
          </w:p>
        </w:tc>
        <w:tc>
          <w:tcPr>
            <w:tcW w:w="1400" w:type="dxa"/>
            <w:tcBorders>
              <w:top w:val="nil"/>
              <w:left w:val="nil"/>
              <w:bottom w:val="nil"/>
              <w:right w:val="nil"/>
            </w:tcBorders>
            <w:tcMar>
              <w:top w:w="40" w:type="dxa"/>
              <w:left w:w="30" w:type="dxa"/>
              <w:bottom w:w="40" w:type="dxa"/>
              <w:right w:w="30" w:type="dxa"/>
            </w:tcMar>
          </w:tcPr>
          <w:p w14:paraId="20007706">
            <w:pPr>
              <w:spacing w:line="220" w:lineRule="auto"/>
              <w:jc w:val="center"/>
            </w:pPr>
            <w:r>
              <w:rPr>
                <w:sz w:val="18"/>
                <w:szCs w:val="18"/>
              </w:rPr>
              <w:t>52.0</w:t>
            </w:r>
          </w:p>
        </w:tc>
      </w:tr>
      <w:tr w14:paraId="200078F5">
        <w:tc>
          <w:tcPr>
            <w:tcW w:w="1180" w:type="dxa"/>
            <w:tcBorders>
              <w:top w:val="nil"/>
              <w:left w:val="nil"/>
              <w:bottom w:val="nil"/>
              <w:right w:val="nil"/>
            </w:tcBorders>
            <w:tcMar>
              <w:top w:w="40" w:type="dxa"/>
              <w:left w:w="30" w:type="dxa"/>
              <w:bottom w:w="40" w:type="dxa"/>
              <w:right w:w="30" w:type="dxa"/>
            </w:tcMar>
          </w:tcPr>
          <w:p w14:paraId="20007774">
            <w:pPr>
              <w:spacing w:line="220" w:lineRule="auto"/>
              <w:jc w:val="left"/>
            </w:pPr>
            <w:r>
              <w:rPr>
                <w:sz w:val="18"/>
                <w:szCs w:val="18"/>
              </w:rPr>
              <w:t>≥70%</w:t>
            </w:r>
          </w:p>
        </w:tc>
        <w:tc>
          <w:tcPr>
            <w:tcW w:w="1180" w:type="dxa"/>
            <w:tcBorders>
              <w:top w:val="nil"/>
              <w:left w:val="nil"/>
              <w:bottom w:val="nil"/>
              <w:right w:val="nil"/>
            </w:tcBorders>
            <w:tcMar>
              <w:top w:w="40" w:type="dxa"/>
              <w:left w:w="30" w:type="dxa"/>
              <w:bottom w:w="40" w:type="dxa"/>
              <w:right w:w="30" w:type="dxa"/>
            </w:tcMar>
          </w:tcPr>
          <w:p w14:paraId="200077AB">
            <w:pPr>
              <w:spacing w:line="220" w:lineRule="auto"/>
              <w:jc w:val="center"/>
            </w:pPr>
            <w:r>
              <w:rPr>
                <w:sz w:val="18"/>
                <w:szCs w:val="18"/>
              </w:rPr>
              <w:t>1362</w:t>
            </w:r>
          </w:p>
        </w:tc>
        <w:tc>
          <w:tcPr>
            <w:tcW w:w="1400" w:type="dxa"/>
            <w:tcBorders>
              <w:top w:val="nil"/>
              <w:left w:val="nil"/>
              <w:bottom w:val="nil"/>
              <w:right w:val="nil"/>
            </w:tcBorders>
            <w:tcMar>
              <w:top w:w="40" w:type="dxa"/>
              <w:left w:w="30" w:type="dxa"/>
              <w:bottom w:w="40" w:type="dxa"/>
              <w:right w:w="30" w:type="dxa"/>
            </w:tcMar>
          </w:tcPr>
          <w:p w14:paraId="200077E2">
            <w:pPr>
              <w:spacing w:line="220" w:lineRule="auto"/>
              <w:jc w:val="center"/>
            </w:pPr>
            <w:r>
              <w:rPr>
                <w:sz w:val="18"/>
                <w:szCs w:val="18"/>
              </w:rPr>
              <w:t>32.1</w:t>
            </w:r>
          </w:p>
        </w:tc>
        <w:tc>
          <w:tcPr>
            <w:tcW w:w="1400" w:type="dxa"/>
            <w:tcBorders>
              <w:top w:val="nil"/>
              <w:left w:val="nil"/>
              <w:bottom w:val="nil"/>
              <w:right w:val="nil"/>
            </w:tcBorders>
            <w:tcMar>
              <w:top w:w="40" w:type="dxa"/>
              <w:left w:w="30" w:type="dxa"/>
              <w:bottom w:w="40" w:type="dxa"/>
              <w:right w:w="30" w:type="dxa"/>
            </w:tcMar>
          </w:tcPr>
          <w:p w14:paraId="20007819">
            <w:pPr>
              <w:spacing w:line="220" w:lineRule="auto"/>
              <w:jc w:val="center"/>
            </w:pPr>
            <w:r>
              <w:rPr>
                <w:sz w:val="18"/>
                <w:szCs w:val="18"/>
              </w:rPr>
              <w:t>51.1</w:t>
            </w:r>
          </w:p>
        </w:tc>
        <w:tc>
          <w:tcPr>
            <w:tcW w:w="1400" w:type="dxa"/>
            <w:tcBorders>
              <w:top w:val="nil"/>
              <w:left w:val="nil"/>
              <w:bottom w:val="nil"/>
              <w:right w:val="nil"/>
            </w:tcBorders>
            <w:tcMar>
              <w:top w:w="40" w:type="dxa"/>
              <w:left w:w="30" w:type="dxa"/>
              <w:bottom w:w="40" w:type="dxa"/>
              <w:right w:w="30" w:type="dxa"/>
            </w:tcMar>
          </w:tcPr>
          <w:p w14:paraId="20007850">
            <w:pPr>
              <w:spacing w:line="220" w:lineRule="auto"/>
              <w:jc w:val="center"/>
            </w:pPr>
            <w:r>
              <w:rPr>
                <w:sz w:val="18"/>
                <w:szCs w:val="18"/>
              </w:rPr>
              <w:t>653</w:t>
            </w:r>
          </w:p>
        </w:tc>
        <w:tc>
          <w:tcPr>
            <w:tcW w:w="1400" w:type="dxa"/>
            <w:tcBorders>
              <w:top w:val="nil"/>
              <w:left w:val="nil"/>
              <w:bottom w:val="nil"/>
              <w:right w:val="nil"/>
            </w:tcBorders>
            <w:tcMar>
              <w:top w:w="40" w:type="dxa"/>
              <w:left w:w="30" w:type="dxa"/>
              <w:bottom w:w="40" w:type="dxa"/>
              <w:right w:w="30" w:type="dxa"/>
            </w:tcMar>
          </w:tcPr>
          <w:p w14:paraId="20007887">
            <w:pPr>
              <w:spacing w:line="220" w:lineRule="auto"/>
              <w:jc w:val="center"/>
            </w:pPr>
            <w:r>
              <w:rPr>
                <w:sz w:val="18"/>
                <w:szCs w:val="18"/>
              </w:rPr>
              <w:t>34.5</w:t>
            </w:r>
          </w:p>
        </w:tc>
        <w:tc>
          <w:tcPr>
            <w:tcW w:w="1400" w:type="dxa"/>
            <w:tcBorders>
              <w:top w:val="nil"/>
              <w:left w:val="nil"/>
              <w:bottom w:val="nil"/>
              <w:right w:val="nil"/>
            </w:tcBorders>
            <w:tcMar>
              <w:top w:w="40" w:type="dxa"/>
              <w:left w:w="30" w:type="dxa"/>
              <w:bottom w:w="40" w:type="dxa"/>
              <w:right w:w="30" w:type="dxa"/>
            </w:tcMar>
          </w:tcPr>
          <w:p w14:paraId="200078BE">
            <w:pPr>
              <w:spacing w:line="220" w:lineRule="auto"/>
              <w:jc w:val="center"/>
            </w:pPr>
            <w:r>
              <w:rPr>
                <w:sz w:val="18"/>
                <w:szCs w:val="18"/>
              </w:rPr>
              <w:t>48.4</w:t>
            </w:r>
          </w:p>
        </w:tc>
      </w:tr>
      <w:tr w14:paraId="20007AAD">
        <w:tc>
          <w:tcPr>
            <w:tcW w:w="1180" w:type="dxa"/>
            <w:tcBorders>
              <w:top w:val="nil"/>
              <w:left w:val="nil"/>
              <w:bottom w:val="single" w:color="000000" w:sz="8" w:space="0"/>
              <w:right w:val="nil"/>
            </w:tcBorders>
            <w:tcMar>
              <w:top w:w="40" w:type="dxa"/>
              <w:left w:w="30" w:type="dxa"/>
              <w:bottom w:w="40" w:type="dxa"/>
              <w:right w:w="30" w:type="dxa"/>
            </w:tcMar>
          </w:tcPr>
          <w:p w14:paraId="2000792C">
            <w:pPr>
              <w:spacing w:line="220" w:lineRule="auto"/>
              <w:jc w:val="left"/>
            </w:pPr>
            <w:r>
              <w:rPr>
                <w:sz w:val="18"/>
                <w:szCs w:val="18"/>
              </w:rPr>
              <w:t>Overall</w:t>
            </w:r>
          </w:p>
        </w:tc>
        <w:tc>
          <w:tcPr>
            <w:tcW w:w="1180" w:type="dxa"/>
            <w:tcBorders>
              <w:top w:val="nil"/>
              <w:left w:val="nil"/>
              <w:bottom w:val="single" w:color="000000" w:sz="8" w:space="0"/>
              <w:right w:val="nil"/>
            </w:tcBorders>
            <w:tcMar>
              <w:top w:w="40" w:type="dxa"/>
              <w:left w:w="30" w:type="dxa"/>
              <w:bottom w:w="40" w:type="dxa"/>
              <w:right w:w="30" w:type="dxa"/>
            </w:tcMar>
          </w:tcPr>
          <w:p w14:paraId="20007963">
            <w:pPr>
              <w:spacing w:line="220" w:lineRule="auto"/>
              <w:jc w:val="center"/>
            </w:pPr>
            <w:r>
              <w:rPr>
                <w:sz w:val="18"/>
                <w:szCs w:val="18"/>
              </w:rPr>
              <w:t>8792</w:t>
            </w:r>
          </w:p>
        </w:tc>
        <w:tc>
          <w:tcPr>
            <w:tcW w:w="1400" w:type="dxa"/>
            <w:tcBorders>
              <w:top w:val="nil"/>
              <w:left w:val="nil"/>
              <w:bottom w:val="single" w:color="000000" w:sz="8" w:space="0"/>
              <w:right w:val="nil"/>
            </w:tcBorders>
            <w:tcMar>
              <w:top w:w="40" w:type="dxa"/>
              <w:left w:w="30" w:type="dxa"/>
              <w:bottom w:w="40" w:type="dxa"/>
              <w:right w:w="30" w:type="dxa"/>
            </w:tcMar>
          </w:tcPr>
          <w:p w14:paraId="2000799A">
            <w:pPr>
              <w:spacing w:line="220" w:lineRule="auto"/>
              <w:jc w:val="center"/>
            </w:pPr>
            <w:r>
              <w:rPr>
                <w:sz w:val="18"/>
                <w:szCs w:val="18"/>
              </w:rPr>
              <w:t>46.6</w:t>
            </w:r>
          </w:p>
        </w:tc>
        <w:tc>
          <w:tcPr>
            <w:tcW w:w="1400" w:type="dxa"/>
            <w:tcBorders>
              <w:top w:val="nil"/>
              <w:left w:val="nil"/>
              <w:bottom w:val="single" w:color="000000" w:sz="8" w:space="0"/>
              <w:right w:val="nil"/>
            </w:tcBorders>
            <w:tcMar>
              <w:top w:w="40" w:type="dxa"/>
              <w:left w:w="30" w:type="dxa"/>
              <w:bottom w:w="40" w:type="dxa"/>
              <w:right w:w="30" w:type="dxa"/>
            </w:tcMar>
          </w:tcPr>
          <w:p w14:paraId="200079D1">
            <w:pPr>
              <w:spacing w:line="220" w:lineRule="auto"/>
              <w:jc w:val="center"/>
            </w:pPr>
            <w:r>
              <w:rPr>
                <w:sz w:val="18"/>
                <w:szCs w:val="18"/>
              </w:rPr>
              <w:t>65.9</w:t>
            </w:r>
          </w:p>
        </w:tc>
        <w:tc>
          <w:tcPr>
            <w:tcW w:w="1400" w:type="dxa"/>
            <w:tcBorders>
              <w:top w:val="nil"/>
              <w:left w:val="nil"/>
              <w:bottom w:val="single" w:color="000000" w:sz="8" w:space="0"/>
              <w:right w:val="nil"/>
            </w:tcBorders>
            <w:tcMar>
              <w:top w:w="40" w:type="dxa"/>
              <w:left w:w="30" w:type="dxa"/>
              <w:bottom w:w="40" w:type="dxa"/>
              <w:right w:w="30" w:type="dxa"/>
            </w:tcMar>
          </w:tcPr>
          <w:p w14:paraId="20007A08">
            <w:pPr>
              <w:spacing w:line="220" w:lineRule="auto"/>
              <w:jc w:val="center"/>
            </w:pPr>
            <w:r>
              <w:rPr>
                <w:sz w:val="18"/>
                <w:szCs w:val="18"/>
              </w:rPr>
              <w:t>4395</w:t>
            </w:r>
          </w:p>
        </w:tc>
        <w:tc>
          <w:tcPr>
            <w:tcW w:w="1400" w:type="dxa"/>
            <w:tcBorders>
              <w:top w:val="nil"/>
              <w:left w:val="nil"/>
              <w:bottom w:val="single" w:color="000000" w:sz="8" w:space="0"/>
              <w:right w:val="nil"/>
            </w:tcBorders>
            <w:tcMar>
              <w:top w:w="40" w:type="dxa"/>
              <w:left w:w="30" w:type="dxa"/>
              <w:bottom w:w="40" w:type="dxa"/>
              <w:right w:w="30" w:type="dxa"/>
            </w:tcMar>
          </w:tcPr>
          <w:p w14:paraId="20007A3F">
            <w:pPr>
              <w:spacing w:line="220" w:lineRule="auto"/>
              <w:jc w:val="center"/>
            </w:pPr>
            <w:r>
              <w:rPr>
                <w:sz w:val="18"/>
                <w:szCs w:val="18"/>
              </w:rPr>
              <w:t>45.0</w:t>
            </w:r>
          </w:p>
        </w:tc>
        <w:tc>
          <w:tcPr>
            <w:tcW w:w="1400" w:type="dxa"/>
            <w:tcBorders>
              <w:top w:val="nil"/>
              <w:left w:val="nil"/>
              <w:bottom w:val="single" w:color="000000" w:sz="8" w:space="0"/>
              <w:right w:val="nil"/>
            </w:tcBorders>
            <w:tcMar>
              <w:top w:w="40" w:type="dxa"/>
              <w:left w:w="30" w:type="dxa"/>
              <w:bottom w:w="40" w:type="dxa"/>
              <w:right w:w="30" w:type="dxa"/>
            </w:tcMar>
          </w:tcPr>
          <w:p w14:paraId="20007A76">
            <w:pPr>
              <w:spacing w:line="220" w:lineRule="auto"/>
              <w:jc w:val="center"/>
            </w:pPr>
            <w:r>
              <w:rPr>
                <w:sz w:val="18"/>
                <w:szCs w:val="18"/>
              </w:rPr>
              <w:t>62.7</w:t>
            </w:r>
          </w:p>
        </w:tc>
      </w:tr>
    </w:tbl>
    <w:p w14:paraId="20007AE4">
      <w:pPr>
        <w:spacing w:before="40" w:after="160" w:line="240" w:lineRule="auto"/>
        <w:jc w:val="left"/>
      </w:pPr>
      <w:r>
        <w:rPr>
          <w:i/>
          <w:iCs/>
          <w:sz w:val="20"/>
          <w:szCs w:val="20"/>
        </w:rPr>
        <w:t>Index-admission ascertainment uses diagnosis codes recorded for the hospitalisation during which the echocardiogram was performed; because these codes are assigned at discharge, they include conditions first diagnosed during that admission. Prior-admission ascertainment applies the same code groupings only to hospitalisations of the same patient discharged before the index admission date, and is therefore unambiguously antecedent; it is available only for the 4395 admissions (50.0%) with at least one recorded prior hospitalisation, and understates true comorbidity for patients whose earlier care took place elsewhere. The gradient across LVEF strata is markedly steeper under index-admission ascertainment (heart failure 84.7% versus 32.1% from the lowest to the highest stratum) than under prior-admission ascertainment (72.2% versus 34.5%), consistent with a proportion of heart-failure codes being assigned because the index echocardiogram showed a low ejection fraction. Restricting the analysis to the 1639 admissions with a prior hospitalisation and no antecedent cardiac diagnosis (82 with an LVEF below 30%, of whom 37 died) gave odds ratios of 1.42 (95% CI 0.84–2.39) for an LVEF below 30% and 1.36 (0.98–1.90) for an LVEF of 70% or higher (Table S3). Within the full prior-hospitalisation subgroup (n=4395), adding antecedent cardiac disease to the covariate set gave 1.27 (0.99–1.64) and 1.34 (1.07–1.69), against 1.19 (0.93–1.53) and 1.38 (1.10–1.74) without it. LVEF, left ventricular ejection fraction.</w:t>
      </w:r>
    </w:p>
    <w:p w14:paraId="20007B1B">
      <w:pPr>
        <w:spacing w:before="160" w:after="80"/>
        <w:rPr>
          <w:b/>
          <w:bCs/>
          <w:sz w:val="20"/>
          <w:szCs w:val="20"/>
        </w:rPr>
      </w:pPr>
    </w:p>
    <w:p w14:paraId="20007B52">
      <w:pPr>
        <w:spacing w:before="160" w:after="80"/>
      </w:pPr>
      <w:r>
        <w:rPr>
          <w:b/>
          <w:bCs/>
          <w:sz w:val="20"/>
          <w:szCs w:val="20"/>
        </w:rPr>
        <w:t xml:space="preserve">Table S9. </w:t>
      </w:r>
      <w:r>
        <w:rPr>
          <w:sz w:val="20"/>
          <w:szCs w:val="20"/>
        </w:rPr>
        <w:t>Multiple imputation, complete-case and time-to-event analyses of the association between LVEF category and 28-day mortality.</w:t>
      </w:r>
    </w:p>
    <w:p w14:paraId="20007B89">
      <w:pPr>
        <w:spacing w:before="160" w:after="80"/>
        <w:rPr>
          <w:b/>
          <w:bCs/>
          <w:sz w:val="20"/>
          <w:szCs w:val="20"/>
        </w:rPr>
      </w:pPr>
    </w:p>
    <w:tbl>
      <w:tblPr>
        <w:tblStyle w:val="11"/>
        <w:tblW w:w="936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2160"/>
        <w:gridCol w:w="2520"/>
        <w:gridCol w:w="2400"/>
        <w:gridCol w:w="2280"/>
      </w:tblGrid>
      <w:tr w14:paraId="20007C9C">
        <w:trPr>
          <w:tblHeader/>
        </w:trPr>
        <w:tc>
          <w:tcPr>
            <w:tcW w:w="2160" w:type="dxa"/>
            <w:tcBorders>
              <w:top w:val="single" w:color="000000" w:sz="8" w:space="0"/>
              <w:left w:val="nil"/>
              <w:bottom w:val="single" w:color="000000" w:sz="4" w:space="0"/>
              <w:right w:val="nil"/>
            </w:tcBorders>
            <w:tcMar>
              <w:top w:w="40" w:type="dxa"/>
              <w:left w:w="40" w:type="dxa"/>
              <w:bottom w:w="40" w:type="dxa"/>
              <w:right w:w="40" w:type="dxa"/>
            </w:tcMar>
          </w:tcPr>
          <w:p w14:paraId="20007BC0">
            <w:pPr>
              <w:spacing w:line="220" w:lineRule="auto"/>
              <w:jc w:val="left"/>
            </w:pPr>
            <w:r>
              <w:rPr>
                <w:b/>
                <w:bCs/>
                <w:sz w:val="18"/>
                <w:szCs w:val="18"/>
              </w:rPr>
              <w:t>LVEF category</w:t>
            </w:r>
          </w:p>
        </w:tc>
        <w:tc>
          <w:tcPr>
            <w:tcW w:w="2520" w:type="dxa"/>
            <w:tcBorders>
              <w:top w:val="single" w:color="000000" w:sz="8" w:space="0"/>
              <w:left w:val="nil"/>
              <w:bottom w:val="single" w:color="000000" w:sz="4" w:space="0"/>
              <w:right w:val="nil"/>
            </w:tcBorders>
            <w:tcMar>
              <w:top w:w="40" w:type="dxa"/>
              <w:left w:w="40" w:type="dxa"/>
              <w:bottom w:w="40" w:type="dxa"/>
              <w:right w:w="40" w:type="dxa"/>
            </w:tcMar>
          </w:tcPr>
          <w:p w14:paraId="20007BF7">
            <w:pPr>
              <w:spacing w:line="220" w:lineRule="auto"/>
              <w:jc w:val="center"/>
            </w:pPr>
            <w:r>
              <w:rPr>
                <w:b/>
                <w:bCs/>
                <w:sz w:val="18"/>
                <w:szCs w:val="18"/>
              </w:rPr>
              <w:t>Multiple imputation (n=8792), OR (95% CI)</w:t>
            </w:r>
          </w:p>
        </w:tc>
        <w:tc>
          <w:tcPr>
            <w:tcW w:w="2400" w:type="dxa"/>
            <w:tcBorders>
              <w:top w:val="single" w:color="000000" w:sz="8" w:space="0"/>
              <w:left w:val="nil"/>
              <w:bottom w:val="single" w:color="000000" w:sz="4" w:space="0"/>
              <w:right w:val="nil"/>
            </w:tcBorders>
            <w:tcMar>
              <w:top w:w="40" w:type="dxa"/>
              <w:left w:w="40" w:type="dxa"/>
              <w:bottom w:w="40" w:type="dxa"/>
              <w:right w:w="40" w:type="dxa"/>
            </w:tcMar>
          </w:tcPr>
          <w:p w14:paraId="20007C2E">
            <w:pPr>
              <w:spacing w:line="220" w:lineRule="auto"/>
              <w:jc w:val="center"/>
            </w:pPr>
            <w:r>
              <w:rPr>
                <w:b/>
                <w:bCs/>
                <w:sz w:val="18"/>
                <w:szCs w:val="18"/>
              </w:rPr>
              <w:t>Complete-case lactate (n=6683), OR (95% CI)</w:t>
            </w:r>
          </w:p>
        </w:tc>
        <w:tc>
          <w:tcPr>
            <w:tcW w:w="2280" w:type="dxa"/>
            <w:tcBorders>
              <w:top w:val="single" w:color="000000" w:sz="8" w:space="0"/>
              <w:left w:val="nil"/>
              <w:bottom w:val="single" w:color="000000" w:sz="4" w:space="0"/>
              <w:right w:val="nil"/>
            </w:tcBorders>
            <w:tcMar>
              <w:top w:w="40" w:type="dxa"/>
              <w:left w:w="40" w:type="dxa"/>
              <w:bottom w:w="40" w:type="dxa"/>
              <w:right w:w="40" w:type="dxa"/>
            </w:tcMar>
          </w:tcPr>
          <w:p w14:paraId="20007C65">
            <w:pPr>
              <w:spacing w:line="220" w:lineRule="auto"/>
              <w:jc w:val="center"/>
            </w:pPr>
            <w:r>
              <w:rPr>
                <w:b/>
                <w:bCs/>
                <w:sz w:val="18"/>
                <w:szCs w:val="18"/>
              </w:rPr>
              <w:t>28-day Cox model (n=8792), HR (95% CI)</w:t>
            </w:r>
          </w:p>
        </w:tc>
      </w:tr>
      <w:tr w14:paraId="20007DAF">
        <w:tc>
          <w:tcPr>
            <w:tcW w:w="2160" w:type="dxa"/>
            <w:tcBorders>
              <w:top w:val="nil"/>
              <w:left w:val="nil"/>
              <w:bottom w:val="nil"/>
              <w:right w:val="nil"/>
            </w:tcBorders>
            <w:tcMar>
              <w:top w:w="40" w:type="dxa"/>
              <w:left w:w="40" w:type="dxa"/>
              <w:bottom w:w="40" w:type="dxa"/>
              <w:right w:w="40" w:type="dxa"/>
            </w:tcMar>
          </w:tcPr>
          <w:p w14:paraId="20007CD3">
            <w:pPr>
              <w:spacing w:line="220" w:lineRule="auto"/>
              <w:jc w:val="left"/>
            </w:pPr>
            <w:r>
              <w:rPr>
                <w:sz w:val="18"/>
                <w:szCs w:val="18"/>
              </w:rPr>
              <w:t>&lt;30%</w:t>
            </w:r>
          </w:p>
        </w:tc>
        <w:tc>
          <w:tcPr>
            <w:tcW w:w="2520" w:type="dxa"/>
            <w:tcBorders>
              <w:top w:val="nil"/>
              <w:left w:val="nil"/>
              <w:bottom w:val="nil"/>
              <w:right w:val="nil"/>
            </w:tcBorders>
            <w:tcMar>
              <w:top w:w="40" w:type="dxa"/>
              <w:left w:w="40" w:type="dxa"/>
              <w:bottom w:w="40" w:type="dxa"/>
              <w:right w:w="40" w:type="dxa"/>
            </w:tcMar>
          </w:tcPr>
          <w:p w14:paraId="20007D0A">
            <w:pPr>
              <w:spacing w:line="220" w:lineRule="auto"/>
              <w:jc w:val="center"/>
            </w:pPr>
            <w:r>
              <w:rPr>
                <w:sz w:val="18"/>
                <w:szCs w:val="18"/>
              </w:rPr>
              <w:t>1.38 (1.16–1.65)</w:t>
            </w:r>
          </w:p>
        </w:tc>
        <w:tc>
          <w:tcPr>
            <w:tcW w:w="2400" w:type="dxa"/>
            <w:tcBorders>
              <w:top w:val="nil"/>
              <w:left w:val="nil"/>
              <w:bottom w:val="nil"/>
              <w:right w:val="nil"/>
            </w:tcBorders>
            <w:tcMar>
              <w:top w:w="40" w:type="dxa"/>
              <w:left w:w="40" w:type="dxa"/>
              <w:bottom w:w="40" w:type="dxa"/>
              <w:right w:w="40" w:type="dxa"/>
            </w:tcMar>
          </w:tcPr>
          <w:p w14:paraId="20007D41">
            <w:pPr>
              <w:spacing w:line="220" w:lineRule="auto"/>
              <w:jc w:val="center"/>
            </w:pPr>
            <w:r>
              <w:rPr>
                <w:sz w:val="18"/>
                <w:szCs w:val="18"/>
              </w:rPr>
              <w:t>1.50 (1.24–1.81)</w:t>
            </w:r>
          </w:p>
        </w:tc>
        <w:tc>
          <w:tcPr>
            <w:tcW w:w="2280" w:type="dxa"/>
            <w:tcBorders>
              <w:top w:val="nil"/>
              <w:left w:val="nil"/>
              <w:bottom w:val="nil"/>
              <w:right w:val="nil"/>
            </w:tcBorders>
            <w:tcMar>
              <w:top w:w="40" w:type="dxa"/>
              <w:left w:w="40" w:type="dxa"/>
              <w:bottom w:w="40" w:type="dxa"/>
              <w:right w:w="40" w:type="dxa"/>
            </w:tcMar>
          </w:tcPr>
          <w:p w14:paraId="20007D78">
            <w:pPr>
              <w:spacing w:line="220" w:lineRule="auto"/>
              <w:jc w:val="center"/>
            </w:pPr>
            <w:r>
              <w:rPr>
                <w:sz w:val="18"/>
                <w:szCs w:val="18"/>
              </w:rPr>
              <w:t>1.36 (1.18–1.56)</w:t>
            </w:r>
          </w:p>
        </w:tc>
      </w:tr>
      <w:tr w14:paraId="20007EC2">
        <w:tc>
          <w:tcPr>
            <w:tcW w:w="2160" w:type="dxa"/>
            <w:tcBorders>
              <w:top w:val="nil"/>
              <w:left w:val="nil"/>
              <w:bottom w:val="nil"/>
              <w:right w:val="nil"/>
            </w:tcBorders>
            <w:tcMar>
              <w:top w:w="40" w:type="dxa"/>
              <w:left w:w="40" w:type="dxa"/>
              <w:bottom w:w="40" w:type="dxa"/>
              <w:right w:w="40" w:type="dxa"/>
            </w:tcMar>
          </w:tcPr>
          <w:p w14:paraId="20007DE6">
            <w:pPr>
              <w:spacing w:line="220" w:lineRule="auto"/>
              <w:jc w:val="left"/>
            </w:pPr>
            <w:r>
              <w:rPr>
                <w:sz w:val="18"/>
                <w:szCs w:val="18"/>
              </w:rPr>
              <w:t>30–39%</w:t>
            </w:r>
          </w:p>
        </w:tc>
        <w:tc>
          <w:tcPr>
            <w:tcW w:w="2520" w:type="dxa"/>
            <w:tcBorders>
              <w:top w:val="nil"/>
              <w:left w:val="nil"/>
              <w:bottom w:val="nil"/>
              <w:right w:val="nil"/>
            </w:tcBorders>
            <w:tcMar>
              <w:top w:w="40" w:type="dxa"/>
              <w:left w:w="40" w:type="dxa"/>
              <w:bottom w:w="40" w:type="dxa"/>
              <w:right w:w="40" w:type="dxa"/>
            </w:tcMar>
          </w:tcPr>
          <w:p w14:paraId="20007E1D">
            <w:pPr>
              <w:spacing w:line="220" w:lineRule="auto"/>
              <w:jc w:val="center"/>
            </w:pPr>
            <w:r>
              <w:rPr>
                <w:sz w:val="18"/>
                <w:szCs w:val="18"/>
              </w:rPr>
              <w:t>1.05 (0.87–1.27)</w:t>
            </w:r>
          </w:p>
        </w:tc>
        <w:tc>
          <w:tcPr>
            <w:tcW w:w="2400" w:type="dxa"/>
            <w:tcBorders>
              <w:top w:val="nil"/>
              <w:left w:val="nil"/>
              <w:bottom w:val="nil"/>
              <w:right w:val="nil"/>
            </w:tcBorders>
            <w:tcMar>
              <w:top w:w="40" w:type="dxa"/>
              <w:left w:w="40" w:type="dxa"/>
              <w:bottom w:w="40" w:type="dxa"/>
              <w:right w:w="40" w:type="dxa"/>
            </w:tcMar>
          </w:tcPr>
          <w:p w14:paraId="20007E54">
            <w:pPr>
              <w:spacing w:line="220" w:lineRule="auto"/>
              <w:jc w:val="center"/>
            </w:pPr>
            <w:r>
              <w:rPr>
                <w:sz w:val="18"/>
                <w:szCs w:val="18"/>
              </w:rPr>
              <w:t>1.11 (0.90–1.36)</w:t>
            </w:r>
          </w:p>
        </w:tc>
        <w:tc>
          <w:tcPr>
            <w:tcW w:w="2280" w:type="dxa"/>
            <w:tcBorders>
              <w:top w:val="nil"/>
              <w:left w:val="nil"/>
              <w:bottom w:val="nil"/>
              <w:right w:val="nil"/>
            </w:tcBorders>
            <w:tcMar>
              <w:top w:w="40" w:type="dxa"/>
              <w:left w:w="40" w:type="dxa"/>
              <w:bottom w:w="40" w:type="dxa"/>
              <w:right w:w="40" w:type="dxa"/>
            </w:tcMar>
          </w:tcPr>
          <w:p w14:paraId="20007E8B">
            <w:pPr>
              <w:spacing w:line="220" w:lineRule="auto"/>
              <w:jc w:val="center"/>
            </w:pPr>
            <w:r>
              <w:rPr>
                <w:sz w:val="18"/>
                <w:szCs w:val="18"/>
              </w:rPr>
              <w:t>1.10 (0.94–1.27)</w:t>
            </w:r>
          </w:p>
        </w:tc>
      </w:tr>
      <w:tr w14:paraId="20007FD5">
        <w:tc>
          <w:tcPr>
            <w:tcW w:w="2160" w:type="dxa"/>
            <w:tcBorders>
              <w:top w:val="nil"/>
              <w:left w:val="nil"/>
              <w:bottom w:val="nil"/>
              <w:right w:val="nil"/>
            </w:tcBorders>
            <w:tcMar>
              <w:top w:w="40" w:type="dxa"/>
              <w:left w:w="40" w:type="dxa"/>
              <w:bottom w:w="40" w:type="dxa"/>
              <w:right w:w="40" w:type="dxa"/>
            </w:tcMar>
          </w:tcPr>
          <w:p w14:paraId="20007EF9">
            <w:pPr>
              <w:spacing w:line="220" w:lineRule="auto"/>
              <w:jc w:val="left"/>
            </w:pPr>
            <w:r>
              <w:rPr>
                <w:sz w:val="18"/>
                <w:szCs w:val="18"/>
              </w:rPr>
              <w:t>40–49%</w:t>
            </w:r>
          </w:p>
        </w:tc>
        <w:tc>
          <w:tcPr>
            <w:tcW w:w="2520" w:type="dxa"/>
            <w:tcBorders>
              <w:top w:val="nil"/>
              <w:left w:val="nil"/>
              <w:bottom w:val="nil"/>
              <w:right w:val="nil"/>
            </w:tcBorders>
            <w:tcMar>
              <w:top w:w="40" w:type="dxa"/>
              <w:left w:w="40" w:type="dxa"/>
              <w:bottom w:w="40" w:type="dxa"/>
              <w:right w:w="40" w:type="dxa"/>
            </w:tcMar>
          </w:tcPr>
          <w:p w14:paraId="20007F30">
            <w:pPr>
              <w:spacing w:line="220" w:lineRule="auto"/>
              <w:jc w:val="center"/>
            </w:pPr>
            <w:r>
              <w:rPr>
                <w:sz w:val="18"/>
                <w:szCs w:val="18"/>
              </w:rPr>
              <w:t>1.08 (0.89–1.30)</w:t>
            </w:r>
          </w:p>
        </w:tc>
        <w:tc>
          <w:tcPr>
            <w:tcW w:w="2400" w:type="dxa"/>
            <w:tcBorders>
              <w:top w:val="nil"/>
              <w:left w:val="nil"/>
              <w:bottom w:val="nil"/>
              <w:right w:val="nil"/>
            </w:tcBorders>
            <w:tcMar>
              <w:top w:w="40" w:type="dxa"/>
              <w:left w:w="40" w:type="dxa"/>
              <w:bottom w:w="40" w:type="dxa"/>
              <w:right w:w="40" w:type="dxa"/>
            </w:tcMar>
          </w:tcPr>
          <w:p w14:paraId="20007F67">
            <w:pPr>
              <w:spacing w:line="220" w:lineRule="auto"/>
              <w:jc w:val="center"/>
            </w:pPr>
            <w:r>
              <w:rPr>
                <w:sz w:val="18"/>
                <w:szCs w:val="18"/>
              </w:rPr>
              <w:t>1.10 (0.89–1.35)</w:t>
            </w:r>
          </w:p>
        </w:tc>
        <w:tc>
          <w:tcPr>
            <w:tcW w:w="2280" w:type="dxa"/>
            <w:tcBorders>
              <w:top w:val="nil"/>
              <w:left w:val="nil"/>
              <w:bottom w:val="nil"/>
              <w:right w:val="nil"/>
            </w:tcBorders>
            <w:tcMar>
              <w:top w:w="40" w:type="dxa"/>
              <w:left w:w="40" w:type="dxa"/>
              <w:bottom w:w="40" w:type="dxa"/>
              <w:right w:w="40" w:type="dxa"/>
            </w:tcMar>
          </w:tcPr>
          <w:p w14:paraId="20007F9E">
            <w:pPr>
              <w:spacing w:line="220" w:lineRule="auto"/>
              <w:jc w:val="center"/>
            </w:pPr>
            <w:r>
              <w:rPr>
                <w:sz w:val="18"/>
                <w:szCs w:val="18"/>
              </w:rPr>
              <w:t>1.11 (0.95–1.29)</w:t>
            </w:r>
          </w:p>
        </w:tc>
      </w:tr>
      <w:tr w14:paraId="200080E8">
        <w:tc>
          <w:tcPr>
            <w:tcW w:w="2160" w:type="dxa"/>
            <w:tcBorders>
              <w:top w:val="nil"/>
              <w:left w:val="nil"/>
              <w:bottom w:val="nil"/>
              <w:right w:val="nil"/>
            </w:tcBorders>
            <w:tcMar>
              <w:top w:w="40" w:type="dxa"/>
              <w:left w:w="40" w:type="dxa"/>
              <w:bottom w:w="40" w:type="dxa"/>
              <w:right w:w="40" w:type="dxa"/>
            </w:tcMar>
          </w:tcPr>
          <w:p w14:paraId="2000800C">
            <w:pPr>
              <w:spacing w:line="220" w:lineRule="auto"/>
              <w:jc w:val="left"/>
            </w:pPr>
            <w:r>
              <w:rPr>
                <w:sz w:val="18"/>
                <w:szCs w:val="18"/>
              </w:rPr>
              <w:t>50–59% (reference)</w:t>
            </w:r>
          </w:p>
        </w:tc>
        <w:tc>
          <w:tcPr>
            <w:tcW w:w="2520" w:type="dxa"/>
            <w:tcBorders>
              <w:top w:val="nil"/>
              <w:left w:val="nil"/>
              <w:bottom w:val="nil"/>
              <w:right w:val="nil"/>
            </w:tcBorders>
            <w:tcMar>
              <w:top w:w="40" w:type="dxa"/>
              <w:left w:w="40" w:type="dxa"/>
              <w:bottom w:w="40" w:type="dxa"/>
              <w:right w:w="40" w:type="dxa"/>
            </w:tcMar>
          </w:tcPr>
          <w:p w14:paraId="20008043">
            <w:pPr>
              <w:spacing w:line="220" w:lineRule="auto"/>
              <w:jc w:val="center"/>
            </w:pPr>
            <w:r>
              <w:rPr>
                <w:sz w:val="18"/>
                <w:szCs w:val="18"/>
              </w:rPr>
              <w:t>1.00 (reference)</w:t>
            </w:r>
          </w:p>
        </w:tc>
        <w:tc>
          <w:tcPr>
            <w:tcW w:w="2400" w:type="dxa"/>
            <w:tcBorders>
              <w:top w:val="nil"/>
              <w:left w:val="nil"/>
              <w:bottom w:val="nil"/>
              <w:right w:val="nil"/>
            </w:tcBorders>
            <w:tcMar>
              <w:top w:w="40" w:type="dxa"/>
              <w:left w:w="40" w:type="dxa"/>
              <w:bottom w:w="40" w:type="dxa"/>
              <w:right w:w="40" w:type="dxa"/>
            </w:tcMar>
          </w:tcPr>
          <w:p w14:paraId="2000807A">
            <w:pPr>
              <w:spacing w:line="220" w:lineRule="auto"/>
              <w:jc w:val="center"/>
            </w:pPr>
            <w:r>
              <w:rPr>
                <w:sz w:val="18"/>
                <w:szCs w:val="18"/>
              </w:rPr>
              <w:t>1.00 (reference)</w:t>
            </w:r>
          </w:p>
        </w:tc>
        <w:tc>
          <w:tcPr>
            <w:tcW w:w="2280" w:type="dxa"/>
            <w:tcBorders>
              <w:top w:val="nil"/>
              <w:left w:val="nil"/>
              <w:bottom w:val="nil"/>
              <w:right w:val="nil"/>
            </w:tcBorders>
            <w:tcMar>
              <w:top w:w="40" w:type="dxa"/>
              <w:left w:w="40" w:type="dxa"/>
              <w:bottom w:w="40" w:type="dxa"/>
              <w:right w:w="40" w:type="dxa"/>
            </w:tcMar>
          </w:tcPr>
          <w:p w14:paraId="200080B1">
            <w:pPr>
              <w:spacing w:line="220" w:lineRule="auto"/>
              <w:jc w:val="center"/>
            </w:pPr>
            <w:r>
              <w:rPr>
                <w:sz w:val="18"/>
                <w:szCs w:val="18"/>
              </w:rPr>
              <w:t>1.00 (reference)</w:t>
            </w:r>
          </w:p>
        </w:tc>
      </w:tr>
      <w:tr w14:paraId="200081FB">
        <w:tc>
          <w:tcPr>
            <w:tcW w:w="2160" w:type="dxa"/>
            <w:tcBorders>
              <w:top w:val="nil"/>
              <w:left w:val="nil"/>
              <w:bottom w:val="nil"/>
              <w:right w:val="nil"/>
            </w:tcBorders>
            <w:tcMar>
              <w:top w:w="40" w:type="dxa"/>
              <w:left w:w="40" w:type="dxa"/>
              <w:bottom w:w="40" w:type="dxa"/>
              <w:right w:w="40" w:type="dxa"/>
            </w:tcMar>
          </w:tcPr>
          <w:p w14:paraId="2000811F">
            <w:pPr>
              <w:spacing w:line="220" w:lineRule="auto"/>
              <w:jc w:val="left"/>
            </w:pPr>
            <w:r>
              <w:rPr>
                <w:sz w:val="18"/>
                <w:szCs w:val="18"/>
              </w:rPr>
              <w:t>60–69%</w:t>
            </w:r>
          </w:p>
        </w:tc>
        <w:tc>
          <w:tcPr>
            <w:tcW w:w="2520" w:type="dxa"/>
            <w:tcBorders>
              <w:top w:val="nil"/>
              <w:left w:val="nil"/>
              <w:bottom w:val="nil"/>
              <w:right w:val="nil"/>
            </w:tcBorders>
            <w:tcMar>
              <w:top w:w="40" w:type="dxa"/>
              <w:left w:w="40" w:type="dxa"/>
              <w:bottom w:w="40" w:type="dxa"/>
              <w:right w:w="40" w:type="dxa"/>
            </w:tcMar>
          </w:tcPr>
          <w:p w14:paraId="20008156">
            <w:pPr>
              <w:spacing w:line="220" w:lineRule="auto"/>
              <w:jc w:val="center"/>
            </w:pPr>
            <w:r>
              <w:rPr>
                <w:sz w:val="18"/>
                <w:szCs w:val="18"/>
              </w:rPr>
              <w:t>1.04 (0.90–1.21)</w:t>
            </w:r>
          </w:p>
        </w:tc>
        <w:tc>
          <w:tcPr>
            <w:tcW w:w="2400" w:type="dxa"/>
            <w:tcBorders>
              <w:top w:val="nil"/>
              <w:left w:val="nil"/>
              <w:bottom w:val="nil"/>
              <w:right w:val="nil"/>
            </w:tcBorders>
            <w:tcMar>
              <w:top w:w="40" w:type="dxa"/>
              <w:left w:w="40" w:type="dxa"/>
              <w:bottom w:w="40" w:type="dxa"/>
              <w:right w:w="40" w:type="dxa"/>
            </w:tcMar>
          </w:tcPr>
          <w:p w14:paraId="2000818D">
            <w:pPr>
              <w:spacing w:line="220" w:lineRule="auto"/>
              <w:jc w:val="center"/>
            </w:pPr>
            <w:r>
              <w:rPr>
                <w:sz w:val="18"/>
                <w:szCs w:val="18"/>
              </w:rPr>
              <w:t>1.09 (0.92–1.29)</w:t>
            </w:r>
          </w:p>
        </w:tc>
        <w:tc>
          <w:tcPr>
            <w:tcW w:w="2280" w:type="dxa"/>
            <w:tcBorders>
              <w:top w:val="nil"/>
              <w:left w:val="nil"/>
              <w:bottom w:val="nil"/>
              <w:right w:val="nil"/>
            </w:tcBorders>
            <w:tcMar>
              <w:top w:w="40" w:type="dxa"/>
              <w:left w:w="40" w:type="dxa"/>
              <w:bottom w:w="40" w:type="dxa"/>
              <w:right w:w="40" w:type="dxa"/>
            </w:tcMar>
          </w:tcPr>
          <w:p w14:paraId="200081C4">
            <w:pPr>
              <w:spacing w:line="220" w:lineRule="auto"/>
              <w:jc w:val="center"/>
            </w:pPr>
            <w:r>
              <w:rPr>
                <w:sz w:val="18"/>
                <w:szCs w:val="18"/>
              </w:rPr>
              <w:t>1.03 (0.91–1.16)</w:t>
            </w:r>
          </w:p>
        </w:tc>
      </w:tr>
      <w:tr w14:paraId="2000830E">
        <w:tc>
          <w:tcPr>
            <w:tcW w:w="2160" w:type="dxa"/>
            <w:tcBorders>
              <w:top w:val="nil"/>
              <w:left w:val="nil"/>
              <w:bottom w:val="single" w:color="000000" w:sz="8" w:space="0"/>
              <w:right w:val="nil"/>
            </w:tcBorders>
            <w:tcMar>
              <w:top w:w="40" w:type="dxa"/>
              <w:left w:w="40" w:type="dxa"/>
              <w:bottom w:w="40" w:type="dxa"/>
              <w:right w:w="40" w:type="dxa"/>
            </w:tcMar>
          </w:tcPr>
          <w:p w14:paraId="20008232">
            <w:pPr>
              <w:spacing w:line="220" w:lineRule="auto"/>
              <w:jc w:val="left"/>
            </w:pPr>
            <w:r>
              <w:rPr>
                <w:sz w:val="18"/>
                <w:szCs w:val="18"/>
              </w:rPr>
              <w:t>≥70%</w:t>
            </w:r>
          </w:p>
        </w:tc>
        <w:tc>
          <w:tcPr>
            <w:tcW w:w="2520" w:type="dxa"/>
            <w:tcBorders>
              <w:top w:val="nil"/>
              <w:left w:val="nil"/>
              <w:bottom w:val="single" w:color="000000" w:sz="8" w:space="0"/>
              <w:right w:val="nil"/>
            </w:tcBorders>
            <w:tcMar>
              <w:top w:w="40" w:type="dxa"/>
              <w:left w:w="40" w:type="dxa"/>
              <w:bottom w:w="40" w:type="dxa"/>
              <w:right w:w="40" w:type="dxa"/>
            </w:tcMar>
          </w:tcPr>
          <w:p w14:paraId="20008269">
            <w:pPr>
              <w:spacing w:line="220" w:lineRule="auto"/>
              <w:jc w:val="center"/>
            </w:pPr>
            <w:r>
              <w:rPr>
                <w:sz w:val="18"/>
                <w:szCs w:val="18"/>
              </w:rPr>
              <w:t>1.40 (1.19–1.64)</w:t>
            </w:r>
          </w:p>
        </w:tc>
        <w:tc>
          <w:tcPr>
            <w:tcW w:w="2400" w:type="dxa"/>
            <w:tcBorders>
              <w:top w:val="nil"/>
              <w:left w:val="nil"/>
              <w:bottom w:val="single" w:color="000000" w:sz="8" w:space="0"/>
              <w:right w:val="nil"/>
            </w:tcBorders>
            <w:tcMar>
              <w:top w:w="40" w:type="dxa"/>
              <w:left w:w="40" w:type="dxa"/>
              <w:bottom w:w="40" w:type="dxa"/>
              <w:right w:w="40" w:type="dxa"/>
            </w:tcMar>
          </w:tcPr>
          <w:p w14:paraId="200082A0">
            <w:pPr>
              <w:spacing w:line="220" w:lineRule="auto"/>
              <w:jc w:val="center"/>
            </w:pPr>
            <w:r>
              <w:rPr>
                <w:sz w:val="18"/>
                <w:szCs w:val="18"/>
              </w:rPr>
              <w:t>1.43 (1.20–1.71)</w:t>
            </w:r>
          </w:p>
        </w:tc>
        <w:tc>
          <w:tcPr>
            <w:tcW w:w="2280" w:type="dxa"/>
            <w:tcBorders>
              <w:top w:val="nil"/>
              <w:left w:val="nil"/>
              <w:bottom w:val="single" w:color="000000" w:sz="8" w:space="0"/>
              <w:right w:val="nil"/>
            </w:tcBorders>
            <w:tcMar>
              <w:top w:w="40" w:type="dxa"/>
              <w:left w:w="40" w:type="dxa"/>
              <w:bottom w:w="40" w:type="dxa"/>
              <w:right w:w="40" w:type="dxa"/>
            </w:tcMar>
          </w:tcPr>
          <w:p w14:paraId="200082D7">
            <w:pPr>
              <w:spacing w:line="220" w:lineRule="auto"/>
              <w:jc w:val="center"/>
            </w:pPr>
            <w:r>
              <w:rPr>
                <w:sz w:val="18"/>
                <w:szCs w:val="18"/>
              </w:rPr>
              <w:t>1.33 (1.17–1.51)</w:t>
            </w:r>
          </w:p>
        </w:tc>
      </w:tr>
    </w:tbl>
    <w:p w14:paraId="20008345">
      <w:pPr>
        <w:spacing w:before="40" w:after="160" w:line="240" w:lineRule="auto"/>
        <w:jc w:val="left"/>
      </w:pPr>
      <w:r>
        <w:rPr>
          <w:i/>
          <w:iCs/>
          <w:sz w:val="20"/>
          <w:szCs w:val="20"/>
        </w:rPr>
        <w:t>The proportional-hazards assumption of the Cox model was assessed with scaled Schoenfeld residuals and was satisfied for every LVEF category; hazard ratios are smaller than the corresponding odds ratios because the outcome is common, not because the association differs. Multiple imputation used 100 imputed datasets in which log-transformed maximum 24-hour serum lactate—the only incompletely recorded covariate, missing in 2109 admissions (24.0%)—was drawn from a Bayesian normal linear model containing every analysis covariate and the outcome, with estimates combined by Rubin’s rules. The complete-case analysis was restricted to admissions with a measured lactate. The Cox model uses time from the qualifying echocardiogram to death, censored at 28 days, and is reported so that the fixed-horizon logistic analysis of the primary outcome and the time-to-event analysis of the 90-day outcome can be compared on the same scale; all-cause death is the only event and, because vital status is ascertained from linked out-of-hospital records, discharge does not act as a competing event. All models were adjusted for age, sex, SOFA score, Charlson Comorbidity Index, atrial fibrillation, log-transformed serum lactate, invasive mechanical ventilation, any vasopressor and maximum KDIGO acute kidney injury stage. CI, confidence interval; HR, hazard ratio; LVEF, left ventricular ejection fraction; OR, odds ratio.</w:t>
      </w:r>
    </w:p>
    <w:p w14:paraId="2000837C">
      <w:pPr>
        <w:spacing w:before="160" w:after="80"/>
        <w:rPr>
          <w:b/>
          <w:bCs/>
          <w:sz w:val="20"/>
          <w:szCs w:val="20"/>
        </w:rPr>
      </w:pPr>
    </w:p>
    <w:p w14:paraId="450B92BC">
      <w:pPr>
        <w:spacing w:before="120" w:after="40" w:line="240" w:lineRule="auto"/>
        <w:jc w:val="center"/>
      </w:pPr>
      <w:r>
        <w:drawing>
          <wp:inline distT="0" distB="0" distL="114300" distR="114300">
            <wp:extent cx="5120640" cy="3544570"/>
            <wp:effectExtent l="0" t="0" r="101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5120640" cy="3545058"/>
                    </a:xfrm>
                    <a:prstGeom prst="rect">
                      <a:avLst/>
                    </a:prstGeom>
                  </pic:spPr>
                </pic:pic>
              </a:graphicData>
            </a:graphic>
          </wp:inline>
        </w:drawing>
      </w:r>
    </w:p>
    <w:p w14:paraId="2BDCD677">
      <w:pPr>
        <w:spacing w:before="40" w:after="160" w:line="240" w:lineRule="auto"/>
        <w:jc w:val="left"/>
      </w:pPr>
      <w:r>
        <w:rPr>
          <w:b/>
          <w:bCs/>
          <w:i/>
          <w:iCs/>
          <w:sz w:val="20"/>
          <w:szCs w:val="20"/>
        </w:rPr>
        <w:t xml:space="preserve">Fig. S1. </w:t>
      </w:r>
      <w:r>
        <w:rPr>
          <w:i/>
          <w:iCs/>
          <w:sz w:val="20"/>
          <w:szCs w:val="20"/>
        </w:rPr>
        <w:t>Distribution of left ventricular ejection fraction (LVEF) in the analytic cohort. Histogram of the LVEF point estimate; the clustering at rounded values reflects the interval coding of LVEF in the source echocardiography reports.</w:t>
      </w:r>
    </w:p>
    <w:sectPr>
      <w:footerReference r:id="rId3" w:type="default"/>
      <w:pgSz w:w="12240" w:h="15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ongti SC">
    <w:panose1 w:val="02010800040101010101"/>
    <w:charset w:val="86"/>
    <w:family w:val="auto"/>
    <w:pitch w:val="default"/>
    <w:sig w:usb0="00000001" w:usb1="080F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Times New Roman Bold">
    <w:panose1 w:val="02020603050405020304"/>
    <w:charset w:val="00"/>
    <w:family w:val="auto"/>
    <w:pitch w:val="default"/>
    <w:sig w:usb0="E0002AEF" w:usb1="C0007841"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8C37E"/>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displayBackgroundShape w:val="1"/>
  <w:documentProtection w:enforcement="0"/>
  <w:compat>
    <w:useFELayout/>
    <w:compatSetting w:name="compatibilityMode" w:uri="http://schemas.microsoft.com/office/word" w:val="15"/>
  </w:compat>
  <w:rsids>
    <w:rsidRoot w:val="00000000"/>
    <w:rsid w:val="5DFF921A"/>
    <w:rsid w:val="6FE91E3C"/>
    <w:rsid w:val="7FB776A1"/>
    <w:rsid w:val="CF57ADC6"/>
    <w:rsid w:val="DF66A7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4"/>
      <w:szCs w:val="24"/>
    </w:rPr>
  </w:style>
  <w:style w:type="paragraph" w:styleId="2">
    <w:name w:val="heading 1"/>
    <w:next w:val="1"/>
    <w:qFormat/>
    <w:uiPriority w:val="0"/>
    <w:pPr>
      <w:spacing w:before="240" w:after="160"/>
      <w:outlineLvl w:val="0"/>
    </w:pPr>
    <w:rPr>
      <w:rFonts w:ascii="Times New Roman" w:hAnsi="Times New Roman" w:eastAsia="Times New Roman" w:cs="Times New Roman"/>
      <w:b/>
      <w:bCs/>
      <w:color w:val="000000"/>
      <w:sz w:val="30"/>
      <w:szCs w:val="30"/>
    </w:rPr>
  </w:style>
  <w:style w:type="paragraph" w:styleId="3">
    <w:name w:val="heading 2"/>
    <w:next w:val="1"/>
    <w:qFormat/>
    <w:uiPriority w:val="0"/>
    <w:pPr>
      <w:spacing w:before="200" w:after="120"/>
      <w:outlineLvl w:val="1"/>
    </w:pPr>
    <w:rPr>
      <w:rFonts w:ascii="Times New Roman" w:hAnsi="Times New Roman" w:eastAsia="Times New Roman" w:cs="Times New Roman"/>
      <w:b/>
      <w:bCs/>
      <w:color w:val="000000"/>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uiPriority w:val="99"/>
    <w:pPr>
      <w:spacing w:after="0" w:line="240" w:lineRule="auto"/>
    </w:pPr>
    <w:rPr>
      <w:rFonts w:ascii="Times New Roman" w:hAnsi="Times New Roman" w:eastAsia="Times New Roman" w:cs="Times New Roman"/>
      <w:sz w:val="20"/>
      <w:szCs w:val="20"/>
    </w:rPr>
  </w:style>
  <w:style w:type="paragraph" w:styleId="9">
    <w:name w:val="footnote text"/>
    <w:link w:val="17"/>
    <w:semiHidden/>
    <w:unhideWhenUsed/>
    <w:uiPriority w:val="99"/>
    <w:pPr>
      <w:spacing w:after="0" w:line="240" w:lineRule="auto"/>
    </w:pPr>
    <w:rPr>
      <w:rFonts w:ascii="Times New Roman" w:hAnsi="Times New Roman" w:eastAsia="Times New Roman" w:cs="Times New Roman"/>
      <w:sz w:val="20"/>
      <w:szCs w:val="20"/>
    </w:rPr>
  </w:style>
  <w:style w:type="paragraph" w:styleId="10">
    <w:name w:val="Title"/>
    <w:qFormat/>
    <w:uiPriority w:val="0"/>
    <w:rPr>
      <w:rFonts w:ascii="Times New Roman" w:hAnsi="Times New Roman" w:eastAsia="Times New Roman" w:cs="Times New Roman"/>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0</TotalTime>
  <ScaleCrop>false</ScaleCrop>
  <LinksUpToDate>false</LinksUpToDate>
  <Application>WPS Office_7.3.1.8967_F1E327BC-269C-435d-A152-05C5408002CA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2026-06-10T02:04:00Z</dcterms:created>
  <dc:creator>Un-named</dc:creator>
  <cp:lastModifiedBy>邵录军</cp:lastModifiedBy>
  <dcterms:modified xsi:type="dcterms:W3CDTF">2026-08-28T13:17:57Z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153D93817D35338F13C8276A342AD96E_42</vt:lpwstr>
  </property>
</Properties>
</file>